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bookmarkStart w:id="161" w:name="_GoBack"/>
      <w:bookmarkEnd w:id="161"/>
      <w:r>
        <w:rPr>
          <w:rFonts w:hint="eastAsia"/>
          <w:color w:val="000000"/>
        </w:rPr>
        <w:t>采购代理机构备</w:t>
      </w:r>
      <w:r>
        <w:rPr>
          <w:rFonts w:hint="eastAsia" w:ascii="宋体" w:hAnsi="宋体"/>
          <w:color w:val="000000"/>
        </w:rPr>
        <w:t>案号：CQCBJQ</w:t>
      </w:r>
      <w:r>
        <w:rPr>
          <w:rFonts w:ascii="宋体" w:hAnsi="宋体"/>
          <w:color w:val="000000"/>
        </w:rPr>
        <w:t>2210-314</w:t>
      </w:r>
    </w:p>
    <w:p>
      <w:pPr>
        <w:jc w:val="center"/>
        <w:rPr>
          <w:color w:val="000000"/>
        </w:rPr>
      </w:pPr>
    </w:p>
    <w:p>
      <w:pPr>
        <w:jc w:val="center"/>
        <w:outlineLvl w:val="0"/>
        <w:rPr>
          <w:color w:val="000000"/>
          <w:sz w:val="44"/>
          <w:szCs w:val="44"/>
        </w:rPr>
      </w:pPr>
    </w:p>
    <w:p>
      <w:pPr>
        <w:jc w:val="center"/>
        <w:outlineLvl w:val="0"/>
        <w:rPr>
          <w:rFonts w:ascii="宋体" w:hAnsi="宋体"/>
          <w:b/>
          <w:color w:val="000000"/>
          <w:sz w:val="48"/>
          <w:szCs w:val="48"/>
        </w:rPr>
      </w:pPr>
      <w:r>
        <w:rPr>
          <w:rFonts w:hint="eastAsia" w:ascii="宋体" w:hAnsi="宋体"/>
          <w:b/>
          <w:color w:val="000000"/>
          <w:sz w:val="48"/>
          <w:szCs w:val="48"/>
        </w:rPr>
        <w:t>2023年西部陆海新通道专题宣传片</w:t>
      </w:r>
    </w:p>
    <w:p>
      <w:pPr>
        <w:outlineLvl w:val="0"/>
        <w:rPr>
          <w:rFonts w:ascii="宋体" w:hAnsi="宋体"/>
          <w:color w:val="000000"/>
          <w:spacing w:val="80"/>
          <w:sz w:val="72"/>
          <w:szCs w:val="72"/>
        </w:rPr>
      </w:pPr>
    </w:p>
    <w:p>
      <w:pPr>
        <w:pStyle w:val="22"/>
      </w:pPr>
    </w:p>
    <w:p>
      <w:pPr>
        <w:pStyle w:val="23"/>
      </w:pPr>
    </w:p>
    <w:p>
      <w:pPr>
        <w:pStyle w:val="23"/>
      </w:pPr>
    </w:p>
    <w:p>
      <w:pPr>
        <w:jc w:val="center"/>
        <w:outlineLvl w:val="0"/>
        <w:rPr>
          <w:rFonts w:ascii="宋体" w:hAnsi="宋体"/>
          <w:color w:val="000000"/>
          <w:spacing w:val="80"/>
          <w:sz w:val="72"/>
          <w:szCs w:val="72"/>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SZFKAWLCG2022-028</w:t>
      </w:r>
    </w:p>
    <w:p>
      <w:pPr>
        <w:spacing w:line="700" w:lineRule="exact"/>
        <w:jc w:val="center"/>
        <w:rPr>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22"/>
      </w:pPr>
    </w:p>
    <w:p>
      <w:pPr>
        <w:pStyle w:val="23"/>
      </w:pPr>
    </w:p>
    <w:p/>
    <w:p>
      <w:pPr>
        <w:pStyle w:val="23"/>
      </w:pPr>
    </w:p>
    <w:p/>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十</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"_Toc117500810" </w:instrText>
      </w:r>
      <w:r>
        <w:fldChar w:fldCharType="separate"/>
      </w:r>
      <w:r>
        <w:rPr>
          <w:rStyle w:val="65"/>
          <w:rFonts w:ascii="宋体" w:hAnsi="宋体"/>
        </w:rPr>
        <w:t>第一篇  采购邀请书</w:t>
      </w:r>
      <w:r>
        <w:tab/>
      </w:r>
      <w:r>
        <w:fldChar w:fldCharType="begin"/>
      </w:r>
      <w:r>
        <w:instrText xml:space="preserve"> PAGEREF _Toc117500810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"_Toc117500811" </w:instrText>
      </w:r>
      <w:r>
        <w:fldChar w:fldCharType="separate"/>
      </w:r>
      <w:r>
        <w:rPr>
          <w:rStyle w:val="65"/>
          <w:rFonts w:ascii="宋体" w:hAnsi="宋体"/>
        </w:rPr>
        <w:t>一、竞争性比选内容</w:t>
      </w:r>
      <w:r>
        <w:tab/>
      </w:r>
      <w:r>
        <w:fldChar w:fldCharType="begin"/>
      </w:r>
      <w:r>
        <w:instrText xml:space="preserve"> PAGEREF _Toc117500811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"_Toc117500812" </w:instrText>
      </w:r>
      <w:r>
        <w:fldChar w:fldCharType="separate"/>
      </w:r>
      <w:r>
        <w:rPr>
          <w:rStyle w:val="65"/>
          <w:rFonts w:ascii="宋体" w:hAnsi="宋体"/>
        </w:rPr>
        <w:t>二、资金来源</w:t>
      </w:r>
      <w:r>
        <w:tab/>
      </w:r>
      <w:r>
        <w:fldChar w:fldCharType="begin"/>
      </w:r>
      <w:r>
        <w:instrText xml:space="preserve"> PAGEREF _Toc117500812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"_Toc117500813" </w:instrText>
      </w:r>
      <w:r>
        <w:fldChar w:fldCharType="separate"/>
      </w:r>
      <w:r>
        <w:rPr>
          <w:rStyle w:val="65"/>
          <w:rFonts w:ascii="宋体" w:hAnsi="宋体"/>
        </w:rPr>
        <w:t>三、供应商资格条件</w:t>
      </w:r>
      <w:r>
        <w:tab/>
      </w:r>
      <w:r>
        <w:fldChar w:fldCharType="begin"/>
      </w:r>
      <w:r>
        <w:instrText xml:space="preserve"> PAGEREF _Toc117500813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"_Toc117500814" </w:instrText>
      </w:r>
      <w:r>
        <w:fldChar w:fldCharType="separate"/>
      </w:r>
      <w:r>
        <w:rPr>
          <w:rStyle w:val="65"/>
          <w:rFonts w:ascii="宋体" w:hAnsi="宋体"/>
        </w:rPr>
        <w:t>四、比选有关说明</w:t>
      </w:r>
      <w:r>
        <w:tab/>
      </w:r>
      <w:r>
        <w:fldChar w:fldCharType="begin"/>
      </w:r>
      <w:r>
        <w:instrText xml:space="preserve"> PAGEREF _Toc117500814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"_Toc117500815" </w:instrText>
      </w:r>
      <w:r>
        <w:fldChar w:fldCharType="separate"/>
      </w:r>
      <w:r>
        <w:rPr>
          <w:rStyle w:val="65"/>
          <w:rFonts w:ascii="宋体" w:hAnsi="宋体"/>
        </w:rPr>
        <w:t>五、比选保证金</w:t>
      </w:r>
      <w:r>
        <w:tab/>
      </w:r>
      <w:r>
        <w:fldChar w:fldCharType="begin"/>
      </w:r>
      <w:r>
        <w:instrText xml:space="preserve"> PAGEREF _Toc117500815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"_Toc117500816" </w:instrText>
      </w:r>
      <w:r>
        <w:fldChar w:fldCharType="separate"/>
      </w:r>
      <w:r>
        <w:rPr>
          <w:rStyle w:val="65"/>
          <w:rFonts w:ascii="宋体" w:hAnsi="宋体"/>
        </w:rPr>
        <w:t>六、采购项目需落实的政府采购政策</w:t>
      </w:r>
      <w:r>
        <w:tab/>
      </w:r>
      <w:r>
        <w:fldChar w:fldCharType="begin"/>
      </w:r>
      <w:r>
        <w:instrText xml:space="preserve"> PAGEREF _Toc117500816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"_Toc117500817" </w:instrText>
      </w:r>
      <w:r>
        <w:fldChar w:fldCharType="separate"/>
      </w:r>
      <w:r>
        <w:rPr>
          <w:rStyle w:val="65"/>
          <w:rFonts w:ascii="宋体" w:hAnsi="宋体"/>
        </w:rPr>
        <w:t>七、其它有关规定</w:t>
      </w:r>
      <w:r>
        <w:tab/>
      </w:r>
      <w:r>
        <w:fldChar w:fldCharType="begin"/>
      </w:r>
      <w:r>
        <w:instrText xml:space="preserve"> PAGEREF _Toc117500817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"_Toc117500818" </w:instrText>
      </w:r>
      <w:r>
        <w:fldChar w:fldCharType="separate"/>
      </w:r>
      <w:r>
        <w:rPr>
          <w:rStyle w:val="65"/>
          <w:rFonts w:ascii="宋体" w:hAnsi="宋体"/>
        </w:rPr>
        <w:t>八、联系方式</w:t>
      </w:r>
      <w:r>
        <w:tab/>
      </w:r>
      <w:r>
        <w:fldChar w:fldCharType="begin"/>
      </w:r>
      <w:r>
        <w:instrText xml:space="preserve"> PAGEREF _Toc117500818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"_Toc117500819" </w:instrText>
      </w:r>
      <w:r>
        <w:fldChar w:fldCharType="separate"/>
      </w:r>
      <w:r>
        <w:rPr>
          <w:rStyle w:val="65"/>
          <w:rFonts w:ascii="宋体" w:hAnsi="宋体"/>
        </w:rPr>
        <w:t>第二篇  采购技术和服务需求</w:t>
      </w:r>
      <w:r>
        <w:tab/>
      </w:r>
      <w:r>
        <w:fldChar w:fldCharType="begin"/>
      </w:r>
      <w:r>
        <w:instrText xml:space="preserve"> PAGEREF _Toc117500819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"_Toc117500820" </w:instrText>
      </w:r>
      <w:r>
        <w:fldChar w:fldCharType="separate"/>
      </w:r>
      <w:r>
        <w:rPr>
          <w:rStyle w:val="65"/>
          <w:rFonts w:ascii="宋体" w:hAnsi="宋体"/>
        </w:rPr>
        <w:t>一、项目概况</w:t>
      </w:r>
      <w:r>
        <w:tab/>
      </w:r>
      <w:r>
        <w:fldChar w:fldCharType="begin"/>
      </w:r>
      <w:r>
        <w:instrText xml:space="preserve"> PAGEREF _Toc117500820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"_Toc117500821" </w:instrText>
      </w:r>
      <w:r>
        <w:fldChar w:fldCharType="separate"/>
      </w:r>
      <w:r>
        <w:rPr>
          <w:rStyle w:val="65"/>
          <w:rFonts w:ascii="宋体" w:hAnsi="宋体"/>
        </w:rPr>
        <w:t>※二、项目内容</w:t>
      </w:r>
      <w:r>
        <w:tab/>
      </w:r>
      <w:r>
        <w:fldChar w:fldCharType="begin"/>
      </w:r>
      <w:r>
        <w:instrText xml:space="preserve"> PAGEREF _Toc117500821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"_Toc117500822" </w:instrText>
      </w:r>
      <w:r>
        <w:fldChar w:fldCharType="separate"/>
      </w:r>
      <w:r>
        <w:rPr>
          <w:rStyle w:val="65"/>
          <w:rFonts w:ascii="宋体" w:hAnsi="宋体"/>
        </w:rPr>
        <w:t>※三、服务要求</w:t>
      </w:r>
      <w:r>
        <w:tab/>
      </w:r>
      <w:r>
        <w:fldChar w:fldCharType="begin"/>
      </w:r>
      <w:r>
        <w:instrText xml:space="preserve"> PAGEREF _Toc117500822 \h </w:instrText>
      </w:r>
      <w:r>
        <w:fldChar w:fldCharType="separate"/>
      </w:r>
      <w:r>
        <w:t>- 7 -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"_Toc117500823" </w:instrText>
      </w:r>
      <w:r>
        <w:fldChar w:fldCharType="separate"/>
      </w:r>
      <w:r>
        <w:rPr>
          <w:rStyle w:val="65"/>
          <w:rFonts w:ascii="宋体" w:hAnsi="宋体"/>
        </w:rPr>
        <w:t>第三篇  项目商务需求</w:t>
      </w:r>
      <w:r>
        <w:tab/>
      </w:r>
      <w:r>
        <w:fldChar w:fldCharType="begin"/>
      </w:r>
      <w:r>
        <w:instrText xml:space="preserve"> PAGEREF _Toc117500823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"_Toc117500824" </w:instrText>
      </w:r>
      <w:r>
        <w:fldChar w:fldCharType="separate"/>
      </w:r>
      <w:r>
        <w:rPr>
          <w:rStyle w:val="65"/>
          <w:rFonts w:ascii="宋体" w:hAnsi="宋体"/>
        </w:rPr>
        <w:t>一、服务时间、地点及验收方式</w:t>
      </w:r>
      <w:r>
        <w:tab/>
      </w:r>
      <w:r>
        <w:fldChar w:fldCharType="begin"/>
      </w:r>
      <w:r>
        <w:instrText xml:space="preserve"> PAGEREF _Toc117500824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"_Toc117500825"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_Toc117500825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"_Toc117500826"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_Toc117500826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"_Toc117500827" </w:instrText>
      </w:r>
      <w:r>
        <w:fldChar w:fldCharType="separate"/>
      </w:r>
      <w:r>
        <w:rPr>
          <w:rStyle w:val="65"/>
        </w:rPr>
        <w:t>四、违约条款</w:t>
      </w:r>
      <w:r>
        <w:tab/>
      </w:r>
      <w:r>
        <w:fldChar w:fldCharType="begin"/>
      </w:r>
      <w:r>
        <w:instrText xml:space="preserve"> PAGEREF _Toc117500827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"_Toc117500828" </w:instrText>
      </w:r>
      <w:r>
        <w:fldChar w:fldCharType="separate"/>
      </w:r>
      <w:r>
        <w:rPr>
          <w:rStyle w:val="65"/>
        </w:rPr>
        <w:t>五、保密要求</w:t>
      </w:r>
      <w:r>
        <w:tab/>
      </w:r>
      <w:r>
        <w:fldChar w:fldCharType="begin"/>
      </w:r>
      <w:r>
        <w:instrText xml:space="preserve"> PAGEREF _Toc117500828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"_Toc117500829" </w:instrText>
      </w:r>
      <w:r>
        <w:fldChar w:fldCharType="separate"/>
      </w:r>
      <w:r>
        <w:rPr>
          <w:rStyle w:val="65"/>
        </w:rPr>
        <w:t>六、知识产权</w:t>
      </w:r>
      <w:r>
        <w:tab/>
      </w:r>
      <w:r>
        <w:fldChar w:fldCharType="begin"/>
      </w:r>
      <w:r>
        <w:instrText xml:space="preserve"> PAGEREF _Toc117500829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"_Toc117500830" </w:instrText>
      </w:r>
      <w:r>
        <w:fldChar w:fldCharType="separate"/>
      </w:r>
      <w:r>
        <w:rPr>
          <w:rStyle w:val="65"/>
        </w:rPr>
        <w:t>七、其他</w:t>
      </w:r>
      <w:r>
        <w:tab/>
      </w:r>
      <w:r>
        <w:fldChar w:fldCharType="begin"/>
      </w:r>
      <w:r>
        <w:instrText xml:space="preserve"> PAGEREF _Toc117500830 \h </w:instrText>
      </w:r>
      <w:r>
        <w:fldChar w:fldCharType="separate"/>
      </w:r>
      <w:r>
        <w:t>- 10 -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"_Toc117500831" </w:instrText>
      </w:r>
      <w:r>
        <w:fldChar w:fldCharType="separate"/>
      </w:r>
      <w:r>
        <w:rPr>
          <w:rStyle w:val="65"/>
          <w:rFonts w:ascii="宋体" w:hAnsi="宋体"/>
        </w:rPr>
        <w:t>第四篇  比选程序及方法、评审标准、无效响应和采购终止</w:t>
      </w:r>
      <w:r>
        <w:tab/>
      </w:r>
      <w:r>
        <w:fldChar w:fldCharType="begin"/>
      </w:r>
      <w:r>
        <w:instrText xml:space="preserve"> PAGEREF _Toc117500831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"_Toc117500832" </w:instrText>
      </w:r>
      <w:r>
        <w:fldChar w:fldCharType="separate"/>
      </w:r>
      <w:r>
        <w:rPr>
          <w:rStyle w:val="65"/>
          <w:rFonts w:ascii="宋体" w:hAnsi="宋体"/>
        </w:rPr>
        <w:t>一、比选程序及方法</w:t>
      </w:r>
      <w:r>
        <w:tab/>
      </w:r>
      <w:r>
        <w:fldChar w:fldCharType="begin"/>
      </w:r>
      <w:r>
        <w:instrText xml:space="preserve"> PAGEREF _Toc117500832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"_Toc117500833" </w:instrText>
      </w:r>
      <w:r>
        <w:fldChar w:fldCharType="separate"/>
      </w:r>
      <w:r>
        <w:rPr>
          <w:rStyle w:val="65"/>
          <w:rFonts w:ascii="宋体" w:hAnsi="宋体"/>
        </w:rPr>
        <w:t>二、评审标准</w:t>
      </w:r>
      <w:r>
        <w:tab/>
      </w:r>
      <w:r>
        <w:fldChar w:fldCharType="begin"/>
      </w:r>
      <w:r>
        <w:instrText xml:space="preserve"> PAGEREF _Toc117500833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"_Toc117500834" </w:instrText>
      </w:r>
      <w:r>
        <w:fldChar w:fldCharType="separate"/>
      </w:r>
      <w:r>
        <w:rPr>
          <w:rStyle w:val="65"/>
          <w:rFonts w:ascii="宋体" w:hAnsi="宋体"/>
        </w:rPr>
        <w:t>三、无效响应</w:t>
      </w:r>
      <w:r>
        <w:tab/>
      </w:r>
      <w:r>
        <w:fldChar w:fldCharType="begin"/>
      </w:r>
      <w:r>
        <w:instrText xml:space="preserve"> PAGEREF _Toc117500834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"_Toc117500835" </w:instrText>
      </w:r>
      <w:r>
        <w:fldChar w:fldCharType="separate"/>
      </w:r>
      <w:r>
        <w:rPr>
          <w:rStyle w:val="65"/>
          <w:rFonts w:ascii="宋体" w:hAnsi="宋体"/>
        </w:rPr>
        <w:t>四、采购终止</w:t>
      </w:r>
      <w:r>
        <w:tab/>
      </w:r>
      <w:r>
        <w:fldChar w:fldCharType="begin"/>
      </w:r>
      <w:r>
        <w:instrText xml:space="preserve"> PAGEREF _Toc117500835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"_Toc117500836" </w:instrText>
      </w:r>
      <w:r>
        <w:fldChar w:fldCharType="separate"/>
      </w:r>
      <w:r>
        <w:rPr>
          <w:rStyle w:val="65"/>
          <w:rFonts w:ascii="宋体" w:hAnsi="宋体"/>
        </w:rPr>
        <w:t>第五篇  供应商须知</w:t>
      </w:r>
      <w:r>
        <w:tab/>
      </w:r>
      <w:r>
        <w:fldChar w:fldCharType="begin"/>
      </w:r>
      <w:r>
        <w:instrText xml:space="preserve"> PAGEREF _Toc117500836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"_Toc117500837" </w:instrText>
      </w:r>
      <w:r>
        <w:fldChar w:fldCharType="separate"/>
      </w:r>
      <w:r>
        <w:rPr>
          <w:rStyle w:val="65"/>
          <w:rFonts w:ascii="宋体" w:hAnsi="宋体"/>
        </w:rPr>
        <w:t>一、比选费用</w:t>
      </w:r>
      <w:r>
        <w:tab/>
      </w:r>
      <w:r>
        <w:fldChar w:fldCharType="begin"/>
      </w:r>
      <w:r>
        <w:instrText xml:space="preserve"> PAGEREF _Toc117500837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"_Toc117500838" </w:instrText>
      </w:r>
      <w:r>
        <w:fldChar w:fldCharType="separate"/>
      </w:r>
      <w:r>
        <w:rPr>
          <w:rStyle w:val="65"/>
          <w:rFonts w:ascii="宋体" w:hAnsi="宋体"/>
        </w:rPr>
        <w:t>二、竞争性比选文件</w:t>
      </w:r>
      <w:r>
        <w:tab/>
      </w:r>
      <w:r>
        <w:fldChar w:fldCharType="begin"/>
      </w:r>
      <w:r>
        <w:instrText xml:space="preserve"> PAGEREF _Toc117500838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"_Toc117500839" </w:instrText>
      </w:r>
      <w:r>
        <w:fldChar w:fldCharType="separate"/>
      </w:r>
      <w:r>
        <w:rPr>
          <w:rStyle w:val="65"/>
          <w:rFonts w:ascii="宋体" w:hAnsi="宋体"/>
        </w:rPr>
        <w:t>三、比选要求</w:t>
      </w:r>
      <w:r>
        <w:tab/>
      </w:r>
      <w:r>
        <w:fldChar w:fldCharType="begin"/>
      </w:r>
      <w:r>
        <w:instrText xml:space="preserve"> PAGEREF _Toc117500839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"_Toc117500840" </w:instrText>
      </w:r>
      <w:r>
        <w:fldChar w:fldCharType="separate"/>
      </w:r>
      <w:r>
        <w:rPr>
          <w:rStyle w:val="65"/>
          <w:rFonts w:ascii="宋体" w:hAnsi="宋体"/>
        </w:rPr>
        <w:t>四、成交供应商的确认和变更</w:t>
      </w:r>
      <w:r>
        <w:tab/>
      </w:r>
      <w:r>
        <w:fldChar w:fldCharType="begin"/>
      </w:r>
      <w:r>
        <w:instrText xml:space="preserve"> PAGEREF _Toc117500840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"_Toc117500841" </w:instrText>
      </w:r>
      <w:r>
        <w:fldChar w:fldCharType="separate"/>
      </w:r>
      <w:r>
        <w:rPr>
          <w:rStyle w:val="65"/>
          <w:rFonts w:ascii="宋体" w:hAnsi="宋体"/>
        </w:rPr>
        <w:t>五、成交通知</w:t>
      </w:r>
      <w:r>
        <w:tab/>
      </w:r>
      <w:r>
        <w:fldChar w:fldCharType="begin"/>
      </w:r>
      <w:r>
        <w:instrText xml:space="preserve"> PAGEREF _Toc117500841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"_Toc117500842" </w:instrText>
      </w:r>
      <w:r>
        <w:fldChar w:fldCharType="separate"/>
      </w:r>
      <w:r>
        <w:rPr>
          <w:rStyle w:val="65"/>
          <w:rFonts w:ascii="宋体" w:hAnsi="宋体"/>
        </w:rPr>
        <w:t>六、关于质疑和投诉</w:t>
      </w:r>
      <w:r>
        <w:tab/>
      </w:r>
      <w:r>
        <w:fldChar w:fldCharType="begin"/>
      </w:r>
      <w:r>
        <w:instrText xml:space="preserve"> PAGEREF _Toc117500842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"_Toc117500843" </w:instrText>
      </w:r>
      <w:r>
        <w:fldChar w:fldCharType="separate"/>
      </w:r>
      <w:r>
        <w:rPr>
          <w:rStyle w:val="65"/>
          <w:rFonts w:ascii="宋体" w:hAnsi="宋体"/>
        </w:rPr>
        <w:t>七、采购代理服务费</w:t>
      </w:r>
      <w:r>
        <w:tab/>
      </w:r>
      <w:r>
        <w:fldChar w:fldCharType="begin"/>
      </w:r>
      <w:r>
        <w:instrText xml:space="preserve"> PAGEREF _Toc117500843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"_Toc117500844" </w:instrText>
      </w:r>
      <w:r>
        <w:fldChar w:fldCharType="separate"/>
      </w:r>
      <w:r>
        <w:rPr>
          <w:rStyle w:val="65"/>
          <w:rFonts w:ascii="宋体" w:hAnsi="宋体"/>
        </w:rPr>
        <w:t>八、签订合同</w:t>
      </w:r>
      <w:r>
        <w:tab/>
      </w:r>
      <w:r>
        <w:fldChar w:fldCharType="begin"/>
      </w:r>
      <w:r>
        <w:instrText xml:space="preserve"> PAGEREF _Toc117500844 \h </w:instrText>
      </w:r>
      <w:r>
        <w:fldChar w:fldCharType="separate"/>
      </w:r>
      <w:r>
        <w:t>- 20 -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"_Toc117500845" </w:instrText>
      </w:r>
      <w:r>
        <w:fldChar w:fldCharType="separate"/>
      </w:r>
      <w:r>
        <w:rPr>
          <w:rStyle w:val="65"/>
          <w:rFonts w:ascii="宋体" w:hAnsi="宋体"/>
        </w:rPr>
        <w:t>第六篇  合同草案条款</w:t>
      </w:r>
      <w:r>
        <w:tab/>
      </w:r>
      <w:r>
        <w:fldChar w:fldCharType="begin"/>
      </w:r>
      <w:r>
        <w:instrText xml:space="preserve"> PAGEREF _Toc117500845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"_Toc117500846" </w:instrText>
      </w:r>
      <w:r>
        <w:fldChar w:fldCharType="separate"/>
      </w:r>
      <w:r>
        <w:rPr>
          <w:rStyle w:val="65"/>
          <w:rFonts w:ascii="宋体" w:hAnsi="宋体"/>
        </w:rPr>
        <w:t>一、合同主要条款</w:t>
      </w:r>
      <w:r>
        <w:tab/>
      </w:r>
      <w:r>
        <w:fldChar w:fldCharType="begin"/>
      </w:r>
      <w:r>
        <w:instrText xml:space="preserve"> PAGEREF _Toc117500846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"_Toc117500847" </w:instrText>
      </w:r>
      <w:r>
        <w:fldChar w:fldCharType="separate"/>
      </w:r>
      <w:r>
        <w:rPr>
          <w:rStyle w:val="65"/>
          <w:rFonts w:ascii="宋体" w:hAnsi="宋体"/>
        </w:rPr>
        <w:t>二、政府采购合同（格式）</w:t>
      </w:r>
      <w:r>
        <w:tab/>
      </w:r>
      <w:r>
        <w:fldChar w:fldCharType="begin"/>
      </w:r>
      <w:r>
        <w:instrText xml:space="preserve"> PAGEREF _Toc117500847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"_Toc117500848" </w:instrText>
      </w:r>
      <w:r>
        <w:fldChar w:fldCharType="separate"/>
      </w:r>
      <w:r>
        <w:rPr>
          <w:rStyle w:val="65"/>
          <w:rFonts w:ascii="宋体" w:hAnsi="宋体"/>
        </w:rPr>
        <w:t>第七篇  响应文件编制要求</w:t>
      </w:r>
      <w:r>
        <w:tab/>
      </w:r>
      <w:r>
        <w:fldChar w:fldCharType="begin"/>
      </w:r>
      <w:r>
        <w:instrText xml:space="preserve"> PAGEREF _Toc117500848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"_Toc117500849" </w:instrText>
      </w:r>
      <w:r>
        <w:fldChar w:fldCharType="separate"/>
      </w:r>
      <w:r>
        <w:rPr>
          <w:rStyle w:val="65"/>
          <w:rFonts w:ascii="宋体" w:hAnsi="宋体"/>
        </w:rPr>
        <w:t>一、经济部分</w:t>
      </w:r>
      <w:r>
        <w:tab/>
      </w:r>
      <w:r>
        <w:fldChar w:fldCharType="begin"/>
      </w:r>
      <w:r>
        <w:instrText xml:space="preserve"> PAGEREF _Toc117500849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"_Toc117500850" </w:instrText>
      </w:r>
      <w:r>
        <w:fldChar w:fldCharType="separate"/>
      </w:r>
      <w:r>
        <w:rPr>
          <w:rStyle w:val="65"/>
          <w:rFonts w:ascii="宋体" w:hAnsi="宋体"/>
        </w:rPr>
        <w:t>二、技术部分</w:t>
      </w:r>
      <w:r>
        <w:tab/>
      </w:r>
      <w:r>
        <w:fldChar w:fldCharType="begin"/>
      </w:r>
      <w:r>
        <w:instrText xml:space="preserve"> PAGEREF _Toc117500850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"_Toc117500851" </w:instrText>
      </w:r>
      <w:r>
        <w:fldChar w:fldCharType="separate"/>
      </w:r>
      <w:r>
        <w:rPr>
          <w:rStyle w:val="65"/>
          <w:rFonts w:ascii="宋体" w:hAnsi="宋体"/>
        </w:rPr>
        <w:t>三、商务部分</w:t>
      </w:r>
      <w:r>
        <w:tab/>
      </w:r>
      <w:r>
        <w:fldChar w:fldCharType="begin"/>
      </w:r>
      <w:r>
        <w:instrText xml:space="preserve"> PAGEREF _Toc117500851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"_Toc117500852" </w:instrText>
      </w:r>
      <w:r>
        <w:fldChar w:fldCharType="separate"/>
      </w:r>
      <w:r>
        <w:rPr>
          <w:rStyle w:val="65"/>
          <w:rFonts w:ascii="宋体" w:hAnsi="宋体"/>
        </w:rPr>
        <w:t>四、资格条件及其他</w:t>
      </w:r>
      <w:r>
        <w:tab/>
      </w:r>
      <w:r>
        <w:fldChar w:fldCharType="begin"/>
      </w:r>
      <w:r>
        <w:instrText xml:space="preserve"> PAGEREF _Toc117500852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2"/>
        <w:spacing w:line="360" w:lineRule="auto"/>
        <w:jc w:val="center"/>
        <w:rPr>
          <w:rFonts w:ascii="宋体" w:hAnsi="宋体" w:eastAsia="宋体"/>
          <w:color w:val="000000"/>
          <w:sz w:val="36"/>
          <w:szCs w:val="30"/>
        </w:rPr>
      </w:pPr>
      <w:bookmarkStart w:id="0" w:name="_Toc12789052"/>
      <w:bookmarkStart w:id="1" w:name="_Toc11641050"/>
      <w:bookmarkStart w:id="2" w:name="_Toc117500810"/>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西部陆海新通道物流和运营组织中心的委托，对2023年西部陆海新通道专题宣传片（项目号：</w:t>
      </w:r>
      <w:r>
        <w:rPr>
          <w:rFonts w:ascii="宋体" w:hAnsi="宋体"/>
          <w:color w:val="000000"/>
          <w:sz w:val="24"/>
          <w:szCs w:val="24"/>
        </w:rPr>
        <w:t>SZFKAWLCG2022-028</w:t>
      </w:r>
      <w:r>
        <w:rPr>
          <w:rFonts w:hint="eastAsia" w:ascii="宋体" w:hAnsi="宋体"/>
          <w:color w:val="000000"/>
          <w:sz w:val="24"/>
          <w:szCs w:val="24"/>
        </w:rPr>
        <w:t>）进行竞争性比选采购。欢迎有资格的供应商前来参与比选。</w:t>
      </w:r>
    </w:p>
    <w:p>
      <w:pPr>
        <w:pStyle w:val="4"/>
        <w:spacing w:before="0" w:after="0" w:line="360" w:lineRule="auto"/>
        <w:ind w:firstLine="480" w:firstLineChars="200"/>
        <w:rPr>
          <w:rFonts w:ascii="宋体" w:hAnsi="宋体"/>
          <w:color w:val="000000"/>
          <w:sz w:val="24"/>
          <w:szCs w:val="24"/>
        </w:rPr>
      </w:pPr>
      <w:bookmarkStart w:id="3" w:name="_Toc117500811"/>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97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97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2023年西部陆海新通道专题宣传片</w:t>
            </w:r>
          </w:p>
        </w:tc>
        <w:tc>
          <w:tcPr>
            <w:tcW w:w="1275"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49.8</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8000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pPr>
        <w:pStyle w:val="4"/>
        <w:spacing w:before="0" w:after="0" w:line="360" w:lineRule="auto"/>
        <w:ind w:firstLine="480" w:firstLineChars="200"/>
        <w:rPr>
          <w:rFonts w:ascii="宋体" w:hAnsi="宋体"/>
          <w:sz w:val="24"/>
          <w:szCs w:val="24"/>
        </w:rPr>
      </w:pPr>
      <w:bookmarkStart w:id="9" w:name="_Toc117500812"/>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49.8</w:t>
      </w:r>
      <w:r>
        <w:rPr>
          <w:rFonts w:hint="eastAsia" w:ascii="宋体" w:hAnsi="宋体"/>
          <w:sz w:val="24"/>
          <w:szCs w:val="24"/>
        </w:rPr>
        <w:t>万元。</w:t>
      </w:r>
      <w:bookmarkEnd w:id="6"/>
      <w:bookmarkEnd w:id="7"/>
    </w:p>
    <w:p>
      <w:pPr>
        <w:pStyle w:val="4"/>
        <w:spacing w:before="0" w:after="0" w:line="360" w:lineRule="auto"/>
        <w:ind w:firstLine="480" w:firstLineChars="200"/>
        <w:rPr>
          <w:rFonts w:ascii="宋体" w:hAnsi="宋体"/>
          <w:color w:val="000000"/>
          <w:sz w:val="24"/>
          <w:szCs w:val="24"/>
        </w:rPr>
      </w:pPr>
      <w:bookmarkStart w:id="10" w:name="_Toc117500813"/>
      <w:bookmarkStart w:id="11" w:name="_Toc75258773"/>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4"/>
        <w:spacing w:before="0" w:after="0" w:line="360" w:lineRule="auto"/>
        <w:ind w:firstLine="480" w:firstLineChars="200"/>
        <w:rPr>
          <w:rFonts w:ascii="宋体" w:hAnsi="宋体"/>
          <w:color w:val="000000"/>
          <w:sz w:val="24"/>
          <w:szCs w:val="24"/>
        </w:rPr>
      </w:pPr>
      <w:bookmarkStart w:id="13" w:name="_Toc117500814"/>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color w:val="000000"/>
                <w:sz w:val="30"/>
                <w:szCs w:val="30"/>
              </w:rPr>
            </w:pPr>
            <w:r>
              <w:rPr>
                <w:color w:val="000000"/>
                <w:sz w:val="30"/>
                <w:szCs w:val="30"/>
              </w:rPr>
              <w:t>SZFKAWLCG2022-028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2023年西部陆海新通道专题宣传片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手机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办公电话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传真</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（三）竞争性比选文件报名期限：2022年</w:t>
      </w:r>
      <w:r>
        <w:rPr>
          <w:rFonts w:ascii="宋体" w:hAnsi="宋体"/>
          <w:color w:val="000000"/>
          <w:sz w:val="24"/>
          <w:szCs w:val="24"/>
        </w:rPr>
        <w:t>10</w:t>
      </w:r>
      <w:r>
        <w:rPr>
          <w:rFonts w:hint="eastAsia" w:ascii="宋体" w:hAnsi="宋体"/>
          <w:color w:val="000000"/>
          <w:sz w:val="24"/>
          <w:szCs w:val="24"/>
        </w:rPr>
        <w:t>月</w:t>
      </w:r>
      <w:r>
        <w:rPr>
          <w:rFonts w:ascii="宋体" w:hAnsi="宋体"/>
          <w:color w:val="000000"/>
          <w:sz w:val="24"/>
          <w:szCs w:val="24"/>
        </w:rPr>
        <w:t>24</w:t>
      </w:r>
      <w:r>
        <w:rPr>
          <w:rFonts w:hint="eastAsia" w:ascii="宋体" w:hAnsi="宋体"/>
          <w:color w:val="000000"/>
          <w:sz w:val="24"/>
          <w:szCs w:val="24"/>
        </w:rPr>
        <w:t>日-2022年</w:t>
      </w:r>
      <w:r>
        <w:rPr>
          <w:rFonts w:ascii="宋体" w:hAnsi="宋体"/>
          <w:color w:val="000000"/>
          <w:sz w:val="24"/>
          <w:szCs w:val="24"/>
        </w:rPr>
        <w:t>10</w:t>
      </w:r>
      <w:r>
        <w:rPr>
          <w:rFonts w:hint="eastAsia" w:ascii="宋体" w:hAnsi="宋体"/>
          <w:color w:val="000000"/>
          <w:sz w:val="24"/>
          <w:szCs w:val="24"/>
        </w:rPr>
        <w:t>月</w:t>
      </w:r>
      <w:r>
        <w:rPr>
          <w:rFonts w:ascii="宋体" w:hAnsi="宋体"/>
          <w:color w:val="000000"/>
          <w:sz w:val="24"/>
          <w:szCs w:val="24"/>
        </w:rPr>
        <w:t>29</w:t>
      </w:r>
      <w:r>
        <w:rPr>
          <w:rFonts w:hint="eastAsia" w:ascii="宋体" w:hAnsi="宋体"/>
          <w:color w:val="000000"/>
          <w:sz w:val="24"/>
          <w:szCs w:val="24"/>
        </w:rPr>
        <w:t>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（七）响应文件递交开始和截止时间：2022年</w:t>
      </w:r>
      <w:r>
        <w:rPr>
          <w:rFonts w:ascii="宋体" w:hAnsi="宋体"/>
          <w:sz w:val="24"/>
          <w:szCs w:val="24"/>
        </w:rPr>
        <w:t>11</w:t>
      </w:r>
      <w:r>
        <w:rPr>
          <w:rFonts w:hint="eastAsia" w:ascii="宋体" w:hAnsi="宋体"/>
          <w:sz w:val="24"/>
          <w:szCs w:val="24"/>
        </w:rPr>
        <w:t>月</w:t>
      </w:r>
      <w:r>
        <w:rPr>
          <w:rFonts w:ascii="宋体" w:hAnsi="宋体"/>
          <w:sz w:val="24"/>
          <w:szCs w:val="24"/>
        </w:rPr>
        <w:t>1</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3</w:t>
      </w:r>
      <w:r>
        <w:rPr>
          <w:rFonts w:hint="eastAsia" w:ascii="宋体" w:hAnsi="宋体"/>
          <w:sz w:val="24"/>
          <w:szCs w:val="24"/>
        </w:rPr>
        <w:t>0-</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（八）响应文件开启时间：2022年</w:t>
      </w:r>
      <w:r>
        <w:rPr>
          <w:rFonts w:ascii="宋体" w:hAnsi="宋体"/>
          <w:sz w:val="24"/>
          <w:szCs w:val="24"/>
        </w:rPr>
        <w:t>11</w:t>
      </w:r>
      <w:r>
        <w:rPr>
          <w:rFonts w:hint="eastAsia" w:ascii="宋体" w:hAnsi="宋体"/>
          <w:sz w:val="24"/>
          <w:szCs w:val="24"/>
        </w:rPr>
        <w:t>月</w:t>
      </w:r>
      <w:r>
        <w:rPr>
          <w:rFonts w:ascii="宋体" w:hAnsi="宋体"/>
          <w:sz w:val="24"/>
          <w:szCs w:val="24"/>
        </w:rPr>
        <w:t>1</w:t>
      </w:r>
      <w:r>
        <w:rPr>
          <w:rFonts w:hint="eastAsia" w:ascii="宋体" w:hAnsi="宋体"/>
          <w:sz w:val="24"/>
          <w:szCs w:val="24"/>
        </w:rPr>
        <w:t>日北京时间1</w:t>
      </w:r>
      <w:r>
        <w:rPr>
          <w:rFonts w:ascii="宋体" w:hAnsi="宋体"/>
          <w:sz w:val="24"/>
          <w:szCs w:val="24"/>
        </w:rPr>
        <w:t>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pPr>
        <w:pStyle w:val="4"/>
        <w:spacing w:before="0" w:after="0" w:line="360" w:lineRule="auto"/>
        <w:ind w:firstLine="480" w:firstLineChars="200"/>
        <w:rPr>
          <w:rFonts w:ascii="宋体" w:hAnsi="宋体"/>
          <w:color w:val="000000"/>
          <w:sz w:val="24"/>
          <w:szCs w:val="24"/>
        </w:rPr>
      </w:pPr>
      <w:bookmarkStart w:id="14" w:name="_Toc373860294"/>
      <w:bookmarkStart w:id="15" w:name="_Toc75258775"/>
      <w:bookmarkStart w:id="16" w:name="_Toc117500815"/>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），由供应商从其单位账户将比选保证金汇至以下任一账户，比选保证金的到账截止时间为2022年</w:t>
      </w:r>
      <w:r>
        <w:rPr>
          <w:rFonts w:ascii="宋体" w:hAnsi="宋体"/>
          <w:color w:val="000000"/>
          <w:sz w:val="24"/>
          <w:szCs w:val="24"/>
        </w:rPr>
        <w:t>10</w:t>
      </w:r>
      <w:r>
        <w:rPr>
          <w:rFonts w:hint="eastAsia" w:ascii="宋体" w:hAnsi="宋体"/>
          <w:color w:val="000000"/>
          <w:sz w:val="24"/>
          <w:szCs w:val="24"/>
        </w:rPr>
        <w:t>月</w:t>
      </w:r>
      <w:r>
        <w:rPr>
          <w:rFonts w:ascii="宋体" w:hAnsi="宋体"/>
          <w:color w:val="000000"/>
          <w:sz w:val="24"/>
          <w:szCs w:val="24"/>
        </w:rPr>
        <w:t>31</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w:t>
      </w:r>
      <w:r>
        <w:rPr>
          <w:rFonts w:ascii="宋体" w:hAnsi="宋体"/>
          <w:color w:val="000000"/>
          <w:sz w:val="24"/>
          <w:szCs w:val="24"/>
        </w:rPr>
        <w:t>3</w:t>
      </w:r>
      <w:r>
        <w:rPr>
          <w:rFonts w:hint="eastAsia" w:ascii="宋体" w:hAnsi="宋体"/>
          <w:color w:val="000000"/>
          <w:sz w:val="24"/>
          <w:szCs w:val="24"/>
        </w:rPr>
        <w:t>）88758852。</w:t>
      </w:r>
    </w:p>
    <w:p>
      <w:pPr>
        <w:pStyle w:val="4"/>
        <w:spacing w:before="0" w:after="0" w:line="360" w:lineRule="auto"/>
        <w:ind w:firstLine="480" w:firstLineChars="200"/>
        <w:rPr>
          <w:rFonts w:ascii="宋体" w:hAnsi="宋体"/>
          <w:color w:val="000000"/>
          <w:sz w:val="24"/>
          <w:szCs w:val="24"/>
        </w:rPr>
      </w:pPr>
      <w:bookmarkStart w:id="18" w:name="_Toc117500816"/>
      <w:bookmarkStart w:id="19" w:name="_Toc75258776"/>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4"/>
        <w:spacing w:before="0" w:after="0" w:line="360" w:lineRule="auto"/>
        <w:ind w:firstLine="480" w:firstLineChars="200"/>
        <w:rPr>
          <w:rFonts w:ascii="宋体" w:hAnsi="宋体"/>
          <w:color w:val="000000"/>
          <w:sz w:val="24"/>
          <w:szCs w:val="24"/>
        </w:rPr>
      </w:pPr>
      <w:bookmarkStart w:id="20" w:name="_Toc117500817"/>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60" w:lineRule="auto"/>
        <w:ind w:firstLine="480" w:firstLineChars="200"/>
        <w:rPr>
          <w:rFonts w:ascii="宋体" w:hAnsi="宋体"/>
          <w:color w:val="000000"/>
          <w:sz w:val="24"/>
          <w:szCs w:val="24"/>
        </w:rPr>
      </w:pPr>
      <w:bookmarkStart w:id="22" w:name="_Toc117500818"/>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西部陆海新通道物流和运营组织中心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联系人：朱老师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w:t>
      </w:r>
      <w:r>
        <w:rPr>
          <w:rFonts w:ascii="宋体" w:hAnsi="宋体"/>
          <w:sz w:val="24"/>
          <w:szCs w:val="24"/>
        </w:rPr>
        <w:t>3</w:t>
      </w:r>
      <w:r>
        <w:rPr>
          <w:rFonts w:hint="eastAsia" w:ascii="宋体" w:hAnsi="宋体"/>
          <w:sz w:val="24"/>
          <w:szCs w:val="24"/>
        </w:rPr>
        <w:t>）</w:t>
      </w:r>
      <w:r>
        <w:rPr>
          <w:rFonts w:ascii="宋体" w:hAnsi="宋体"/>
          <w:sz w:val="24"/>
          <w:szCs w:val="24"/>
        </w:rPr>
        <w:t>63151468</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8</w:t>
      </w:r>
      <w:r>
        <w:rPr>
          <w:rFonts w:hint="eastAsia" w:ascii="宋体" w:hAnsi="宋体"/>
          <w:color w:val="000000"/>
          <w:sz w:val="24"/>
          <w:szCs w:val="24"/>
        </w:rPr>
        <w:t>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w:t>
      </w:r>
      <w:r>
        <w:rPr>
          <w:rFonts w:ascii="宋体" w:hAnsi="宋体"/>
          <w:color w:val="000000"/>
          <w:sz w:val="24"/>
          <w:szCs w:val="24"/>
        </w:rPr>
        <w:t>3</w:t>
      </w:r>
      <w:r>
        <w:rPr>
          <w:rFonts w:hint="eastAsia" w:ascii="宋体" w:hAnsi="宋体"/>
          <w:color w:val="000000"/>
          <w:sz w:val="24"/>
          <w:szCs w:val="24"/>
        </w:rPr>
        <w:t>）8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w:t>
      </w:r>
      <w:r>
        <w:rPr>
          <w:rFonts w:ascii="宋体" w:hAnsi="宋体"/>
          <w:color w:val="000000"/>
          <w:sz w:val="24"/>
          <w:szCs w:val="24"/>
        </w:rPr>
        <w:t>3</w:t>
      </w:r>
      <w:r>
        <w:rPr>
          <w:rFonts w:hint="eastAsia" w:ascii="宋体" w:hAnsi="宋体"/>
          <w:color w:val="000000"/>
          <w:sz w:val="24"/>
          <w:szCs w:val="24"/>
        </w:rPr>
        <w:t>）88505947</w:t>
      </w:r>
    </w:p>
    <w:p>
      <w:pPr>
        <w:snapToGrid w:val="0"/>
        <w:spacing w:line="360" w:lineRule="auto"/>
        <w:ind w:firstLine="480" w:firstLineChars="200"/>
        <w:rPr>
          <w:rFonts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bookmarkEnd w:id="23"/>
      <w:bookmarkEnd w:id="24"/>
      <w:bookmarkEnd w:id="25"/>
    </w:p>
    <w:p>
      <w:pPr>
        <w:pStyle w:val="2"/>
        <w:pageBreakBefore/>
        <w:spacing w:line="360" w:lineRule="auto"/>
        <w:jc w:val="center"/>
        <w:rPr>
          <w:rFonts w:ascii="宋体" w:hAnsi="宋体" w:eastAsia="宋体"/>
          <w:color w:val="000000"/>
          <w:sz w:val="36"/>
          <w:szCs w:val="30"/>
        </w:rPr>
      </w:pPr>
      <w:bookmarkStart w:id="26" w:name="_Toc117500819"/>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bookmarkEnd w:id="27"/>
      <w:bookmarkEnd w:id="28"/>
    </w:p>
    <w:p>
      <w:pPr>
        <w:pStyle w:val="4"/>
        <w:spacing w:before="0" w:after="0" w:line="360" w:lineRule="auto"/>
        <w:ind w:firstLine="480" w:firstLineChars="200"/>
        <w:rPr>
          <w:rFonts w:ascii="宋体" w:hAnsi="宋体"/>
          <w:color w:val="000000"/>
          <w:sz w:val="24"/>
          <w:szCs w:val="24"/>
        </w:rPr>
      </w:pPr>
      <w:bookmarkStart w:id="30" w:name="_Toc117500820"/>
      <w:bookmarkStart w:id="31" w:name="_Toc77245311"/>
      <w:bookmarkStart w:id="32" w:name="_Toc116644925"/>
      <w:bookmarkStart w:id="33" w:name="_Toc30016"/>
      <w:bookmarkStart w:id="34" w:name="_Toc18057005"/>
      <w:r>
        <w:rPr>
          <w:rFonts w:hint="eastAsia" w:ascii="宋体" w:hAnsi="宋体"/>
          <w:color w:val="000000"/>
          <w:sz w:val="24"/>
          <w:szCs w:val="24"/>
        </w:rPr>
        <w:t>一、项目概况</w:t>
      </w:r>
      <w:bookmarkEnd w:id="30"/>
      <w:bookmarkEnd w:id="31"/>
      <w:bookmarkEnd w:id="32"/>
      <w:bookmarkEnd w:id="33"/>
      <w:bookmarkEnd w:id="34"/>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建设西部陆海新通道是加快形成以国内大循环为主体、国内国际双循环相互促进新发展格局的重要举措。西部陆海新通道建设5年来，聚焦物流、交通、产业、经贸等重点领域，取得了长足进步。5年来，国际大通道功能凸显，促进国际物流、人员、资金、信息等加速融合，已成为西部地区联通世界的重要通道，为畅通国内国际双循环注入新动能，为保障全球产业链供应链稳定、推动世界经济复苏做出重要贡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了更好的宣传和展示西部陆海新通道建设取得的成果，提升通道品牌的影响力和传播力，拟开展制作2023年西部陆海新通道最新建设成果的专题宣传片，进一步增进社会各界对西部陆海新通道建设的了解和认识，扩大对外宣传的载体。</w:t>
      </w:r>
    </w:p>
    <w:p>
      <w:pPr>
        <w:pStyle w:val="4"/>
        <w:spacing w:before="0" w:after="0" w:line="360" w:lineRule="auto"/>
        <w:ind w:firstLine="480" w:firstLineChars="200"/>
        <w:rPr>
          <w:rFonts w:ascii="宋体" w:hAnsi="宋体"/>
          <w:color w:val="000000"/>
          <w:sz w:val="24"/>
          <w:szCs w:val="24"/>
        </w:rPr>
      </w:pPr>
      <w:bookmarkStart w:id="35" w:name="_Toc18057007"/>
      <w:bookmarkStart w:id="36" w:name="_Toc116644926"/>
      <w:bookmarkStart w:id="37" w:name="_Toc15181"/>
      <w:bookmarkStart w:id="38" w:name="_Toc117500821"/>
      <w:bookmarkStart w:id="39" w:name="_Toc77245312"/>
      <w:r>
        <w:rPr>
          <w:rFonts w:hint="eastAsia" w:ascii="宋体" w:hAnsi="宋体"/>
          <w:color w:val="000000"/>
          <w:sz w:val="24"/>
          <w:szCs w:val="24"/>
        </w:rPr>
        <w:t>※二、项目内容</w:t>
      </w:r>
      <w:bookmarkEnd w:id="35"/>
      <w:bookmarkEnd w:id="36"/>
      <w:bookmarkEnd w:id="37"/>
      <w:bookmarkEnd w:id="38"/>
      <w:bookmarkEnd w:id="3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需要在通道“13+2”省区市范围内广泛收集翔实的最新建设成果和数据，对贯彻《西部陆海新通道总体规划》、《“十四五”推进西部陆海新通道高质量建设实施方案》重点任务建设最新情况进行系统性总结和合理化展示，全面客观、多维度的反映西部陆海新通道最新建设成果。</w:t>
      </w:r>
    </w:p>
    <w:p>
      <w:pPr>
        <w:pStyle w:val="4"/>
        <w:spacing w:before="0" w:after="0" w:line="360" w:lineRule="auto"/>
        <w:ind w:firstLine="480" w:firstLineChars="200"/>
        <w:rPr>
          <w:rFonts w:ascii="宋体" w:hAnsi="宋体"/>
          <w:color w:val="000000"/>
          <w:sz w:val="24"/>
          <w:szCs w:val="24"/>
        </w:rPr>
      </w:pPr>
      <w:bookmarkStart w:id="40" w:name="_Toc63408937"/>
      <w:bookmarkStart w:id="41" w:name="_Toc117500822"/>
      <w:bookmarkStart w:id="42" w:name="_Toc58488637"/>
      <w:bookmarkStart w:id="43" w:name="_Toc116644927"/>
      <w:r>
        <w:rPr>
          <w:rFonts w:hint="eastAsia" w:ascii="宋体" w:hAnsi="宋体"/>
          <w:color w:val="000000"/>
          <w:sz w:val="24"/>
          <w:szCs w:val="24"/>
        </w:rPr>
        <w:t>※三、服务要求</w:t>
      </w:r>
      <w:bookmarkEnd w:id="40"/>
      <w:bookmarkEnd w:id="41"/>
      <w:bookmarkEnd w:id="42"/>
      <w:bookmarkEnd w:id="43"/>
      <w:bookmarkStart w:id="44" w:name="_Hlk59996317"/>
      <w:bookmarkEnd w:id="44"/>
      <w:bookmarkStart w:id="45" w:name="_Toc58488638"/>
      <w:bookmarkEnd w:id="45"/>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供应商需具有西部陆海新通道领域的基础认识，对西部陆海新通道建设成果展现方式有深刻见解。</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一</w:t>
      </w:r>
      <w:r>
        <w:rPr>
          <w:rFonts w:ascii="宋体" w:hAnsi="宋体"/>
          <w:color w:val="000000"/>
          <w:sz w:val="24"/>
          <w:szCs w:val="24"/>
        </w:rPr>
        <w:t>）技术要求</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数字高清格式</w:t>
      </w:r>
      <w:r>
        <w:rPr>
          <w:rFonts w:hint="eastAsia" w:ascii="宋体" w:hAnsi="宋体"/>
          <w:color w:val="000000"/>
          <w:sz w:val="24"/>
          <w:szCs w:val="24"/>
        </w:rPr>
        <w:t>3840*2160</w:t>
      </w:r>
      <w:r>
        <w:rPr>
          <w:rFonts w:ascii="宋体" w:hAnsi="宋体"/>
          <w:color w:val="000000"/>
          <w:sz w:val="24"/>
          <w:szCs w:val="24"/>
        </w:rPr>
        <w:t>，视频格式MP4，音频格式（编码格式不限，但要求清晰、无杂音）。</w:t>
      </w:r>
      <w:r>
        <w:rPr>
          <w:rFonts w:hint="eastAsia" w:ascii="宋体" w:hAnsi="宋体"/>
          <w:color w:val="000000"/>
          <w:sz w:val="24"/>
          <w:szCs w:val="24"/>
        </w:rPr>
        <w:t>交付两个版本成片，一版为完整版，一版为裸片</w:t>
      </w:r>
      <w:r>
        <w:rPr>
          <w:rFonts w:ascii="宋体" w:hAnsi="宋体"/>
          <w:color w:val="000000"/>
          <w:sz w:val="24"/>
          <w:szCs w:val="24"/>
        </w:rPr>
        <w:t>，保证</w:t>
      </w:r>
      <w:r>
        <w:rPr>
          <w:rFonts w:hint="eastAsia" w:ascii="宋体" w:hAnsi="宋体"/>
          <w:color w:val="000000"/>
          <w:sz w:val="24"/>
          <w:szCs w:val="24"/>
        </w:rPr>
        <w:t>成片</w:t>
      </w:r>
      <w:r>
        <w:rPr>
          <w:rFonts w:ascii="宋体" w:hAnsi="宋体"/>
          <w:color w:val="000000"/>
          <w:sz w:val="24"/>
          <w:szCs w:val="24"/>
        </w:rPr>
        <w:t>逻辑连贯顺畅、简明扼要、重点突出、画面富有冲击力、后期技术手段纯熟、音画时间轴高度吻合。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（二）摄制要求</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1.拥有高效稳定的制作团队，包括拍摄、文案、剪辑、特效等专业人员。摄制组能够做到分工明确，责任到人。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具备拍摄4K（3840*2160）像素分辨率电影级画面的能力；及以上规格摄影机进行拍摄，并配备摄制所需镜头组。配备有导演、摄像师、摄像助理、灯光师、航拍师，场工等工作人员参与摄制工作，且主要人员未经采购人同意，不能随意更改。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3.负责视频后期制作：需配备数字高清非编工作站等设备，负责剪辑、包装、音频、配音等。</w:t>
      </w:r>
      <w:r>
        <w:rPr>
          <w:rFonts w:hint="eastAsia" w:ascii="宋体" w:hAnsi="宋体"/>
          <w:color w:val="000000"/>
          <w:sz w:val="24"/>
          <w:szCs w:val="24"/>
        </w:rPr>
        <w:br w:type="textWrapping"/>
      </w:r>
      <w:r>
        <w:rPr>
          <w:rFonts w:hint="eastAsia" w:ascii="宋体" w:hAnsi="宋体"/>
          <w:color w:val="000000"/>
          <w:sz w:val="24"/>
          <w:szCs w:val="24"/>
        </w:rPr>
        <w:t xml:space="preserve">    4.材料及规格要求：原始素材质量4K，分辨率要求达到3840*2160成片为标准高清数据文件，需配合采购人输出不同格式，满足主流媒体播放需求。</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5.由采购人提供拍摄场地，供应商保证拍摄素材画质清晰，构图工整，达到影视要求。</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.按照实景拍摄+AE、特效制作+素材剪辑要求进行制作，具体结合最终确认脚本内容分配时长比例</w:t>
      </w:r>
      <w:r>
        <w:rPr>
          <w:rFonts w:ascii="宋体" w:hAnsi="宋体"/>
          <w:color w:val="000000"/>
          <w:sz w:val="24"/>
          <w:szCs w:val="24"/>
        </w:rPr>
        <w:t>，</w:t>
      </w:r>
      <w:r>
        <w:rPr>
          <w:rFonts w:hint="eastAsia" w:ascii="宋体" w:hAnsi="宋体"/>
          <w:color w:val="000000"/>
          <w:sz w:val="24"/>
          <w:szCs w:val="24"/>
        </w:rPr>
        <w:t>制作视频特效需包括：创意、AE包装、渲染、合成。</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.音乐版权要求：视频内容配备相应的背景音乐，背景音乐不能侵权，如有第三方提出侵权指控，成交供应商应承担由此产生的一切法律责任和费用。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（三）成品片要求</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1．视频格式：mp4格式及其他。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2．画面清晰、剪辑流畅、影片结构逻辑关系通顺、表意简明、包装风格干净、节奏明朗。</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四</w:t>
      </w:r>
      <w:r>
        <w:rPr>
          <w:rFonts w:ascii="宋体" w:hAnsi="宋体"/>
          <w:color w:val="000000"/>
          <w:sz w:val="24"/>
          <w:szCs w:val="24"/>
        </w:rPr>
        <w:t>）</w:t>
      </w:r>
      <w:r>
        <w:rPr>
          <w:rFonts w:hint="eastAsia" w:ascii="宋体" w:hAnsi="宋体"/>
          <w:color w:val="000000"/>
          <w:sz w:val="24"/>
          <w:szCs w:val="24"/>
        </w:rPr>
        <w:t>服务要求内容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后续制作要求</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在视频定稿后，</w:t>
      </w:r>
      <w:r>
        <w:rPr>
          <w:rFonts w:ascii="宋体" w:hAnsi="宋体"/>
          <w:color w:val="000000"/>
          <w:sz w:val="24"/>
          <w:szCs w:val="24"/>
        </w:rPr>
        <w:t>12</w:t>
      </w:r>
      <w:r>
        <w:rPr>
          <w:rFonts w:hint="eastAsia" w:ascii="宋体" w:hAnsi="宋体"/>
          <w:color w:val="000000"/>
          <w:sz w:val="24"/>
          <w:szCs w:val="24"/>
        </w:rPr>
        <w:t>个月内能够根据采购人需要对成片视频字幕、已有拍摄的素材更换、画面比例、时长等内容进行物理剪辑、修改，达到采购人需求。</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质量要求</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成片质量要求：主线符合采购人要求标准文案，逻辑连贯顺畅、节奏张弛有度、重点突出、画面富有冲击力、后期技术手段纯熟、音画时间轴高度吻合，成片需吻合经采购人确认的文案及分镜脚本；</w:t>
      </w:r>
    </w:p>
    <w:p>
      <w:pPr>
        <w:pStyle w:val="22"/>
      </w:pPr>
    </w:p>
    <w:p>
      <w:pPr>
        <w:pStyle w:val="2"/>
        <w:pageBreakBefore/>
        <w:spacing w:line="360" w:lineRule="auto"/>
        <w:jc w:val="center"/>
        <w:rPr>
          <w:rFonts w:ascii="宋体" w:hAnsi="宋体" w:eastAsia="宋体"/>
          <w:color w:val="000000"/>
          <w:sz w:val="36"/>
          <w:szCs w:val="30"/>
        </w:rPr>
      </w:pPr>
      <w:bookmarkStart w:id="46" w:name="_Toc117500823"/>
      <w:r>
        <w:rPr>
          <w:rFonts w:hint="eastAsia" w:ascii="宋体" w:hAnsi="宋体" w:eastAsia="宋体"/>
          <w:color w:val="000000"/>
          <w:sz w:val="36"/>
          <w:szCs w:val="30"/>
        </w:rPr>
        <w:t>第三篇  项目商务需求</w:t>
      </w:r>
      <w:bookmarkEnd w:id="29"/>
      <w:bookmarkEnd w:id="46"/>
    </w:p>
    <w:p>
      <w:pPr>
        <w:snapToGrid w:val="0"/>
        <w:spacing w:line="360" w:lineRule="auto"/>
        <w:ind w:firstLine="420" w:firstLineChars="200"/>
        <w:rPr>
          <w:rFonts w:ascii="宋体" w:hAnsi="宋体"/>
          <w:b/>
          <w:color w:val="000000"/>
          <w:sz w:val="24"/>
          <w:szCs w:val="24"/>
        </w:rPr>
      </w:pPr>
      <w:bookmarkStart w:id="47" w:name="_Toc267320049"/>
      <w:r>
        <w:rPr>
          <w:rFonts w:hint="eastAsia" w:ascii="宋体" w:hAnsi="宋体"/>
          <w:b/>
          <w:color w:val="000000"/>
          <w:sz w:val="21"/>
          <w:szCs w:val="21"/>
        </w:rPr>
        <w:t>“※”标注的要求为符合性审查中的实质性要求，投标文件若不满足按无效投标处理。</w:t>
      </w:r>
      <w:bookmarkEnd w:id="47"/>
    </w:p>
    <w:p>
      <w:pPr>
        <w:pStyle w:val="4"/>
        <w:spacing w:before="0" w:after="0" w:line="360" w:lineRule="auto"/>
        <w:ind w:firstLine="480" w:firstLineChars="200"/>
        <w:rPr>
          <w:rFonts w:ascii="宋体" w:hAnsi="宋体"/>
          <w:sz w:val="24"/>
          <w:szCs w:val="24"/>
        </w:rPr>
      </w:pPr>
      <w:bookmarkStart w:id="48" w:name="_Toc117500824"/>
      <w:bookmarkStart w:id="49" w:name="_Toc14860569"/>
      <w:bookmarkStart w:id="50" w:name="_Toc83905718"/>
      <w:bookmarkStart w:id="51" w:name="_Toc484611845"/>
      <w:bookmarkStart w:id="52" w:name="_Toc51854596"/>
      <w:r>
        <w:rPr>
          <w:rFonts w:hint="eastAsia" w:ascii="宋体" w:hAnsi="宋体"/>
          <w:sz w:val="24"/>
          <w:szCs w:val="24"/>
        </w:rPr>
        <w:t>一、服务时间、地点及验收方式</w:t>
      </w:r>
      <w:bookmarkEnd w:id="48"/>
      <w:bookmarkEnd w:id="49"/>
      <w:bookmarkEnd w:id="50"/>
      <w:bookmarkEnd w:id="51"/>
      <w:bookmarkEnd w:id="52"/>
    </w:p>
    <w:p>
      <w:pPr>
        <w:snapToGrid w:val="0"/>
        <w:spacing w:line="360" w:lineRule="auto"/>
        <w:ind w:firstLine="480" w:firstLineChars="200"/>
        <w:rPr>
          <w:rFonts w:ascii="宋体" w:hAnsi="宋体"/>
          <w:b/>
          <w:bCs/>
          <w:color w:val="000000"/>
          <w:sz w:val="24"/>
          <w:szCs w:val="24"/>
        </w:rPr>
      </w:pPr>
      <w:bookmarkStart w:id="53" w:name="_Toc344475121"/>
      <w:r>
        <w:rPr>
          <w:rFonts w:hint="eastAsia" w:ascii="宋体" w:hAnsi="宋体"/>
          <w:b/>
          <w:bCs/>
          <w:color w:val="000000"/>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合同签订后2个月完成所有工作内容。</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（二）服务地点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西部陆海新通道物流和运营组织中心指定或同意的重庆市主城区内地点。</w:t>
      </w:r>
    </w:p>
    <w:p>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（三）验收方式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1.验收单位：西部陆海新通道物流和运营组织中心。</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合同执行完毕后，采购人在7个工作日内对成交供应商的完成情况按照国家及行业相关标准、竞争性磋商文件规定对合同标的物进行验收，如验收达不到相关规定要求，视为该项目验收不合格，采购人有权立即终止合同（供应商需根据采购人要求修改）。由此对采购人造成一定的损失，成交供应商应承担一切责任，并赔偿所造成的损失。</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成交供应商制作的初剪样片同时满足验收通用标准和专用标准后方为验收合格。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（1）验收通用标准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总时长在合同约定范围内；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品质大小：4K（3840*2160）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语言：中文，配中文字幕。</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（2）验收专用标准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成交供应商需根据采购人要求修改，修改标准按分镜脚本进行，如修改意见脱离分镜脚本，双方需协商。</w:t>
      </w:r>
    </w:p>
    <w:p>
      <w:pPr>
        <w:pStyle w:val="4"/>
        <w:spacing w:before="0" w:after="0" w:line="360" w:lineRule="auto"/>
        <w:ind w:firstLine="480" w:firstLineChars="200"/>
        <w:rPr>
          <w:sz w:val="24"/>
          <w:szCs w:val="24"/>
        </w:rPr>
      </w:pPr>
      <w:bookmarkStart w:id="54" w:name="_Toc117500825"/>
      <w:bookmarkStart w:id="55" w:name="_Toc51854597"/>
      <w:bookmarkStart w:id="56" w:name="_Toc14860570"/>
      <w:bookmarkStart w:id="57" w:name="_Toc484611846"/>
      <w:bookmarkStart w:id="58" w:name="_Toc83905719"/>
      <w:r>
        <w:rPr>
          <w:sz w:val="24"/>
          <w:szCs w:val="24"/>
        </w:rPr>
        <w:t>※</w:t>
      </w:r>
      <w:r>
        <w:rPr>
          <w:rFonts w:hint="eastAsia"/>
          <w:sz w:val="24"/>
          <w:szCs w:val="24"/>
        </w:rPr>
        <w:t>二、</w:t>
      </w:r>
      <w:bookmarkEnd w:id="53"/>
      <w:r>
        <w:rPr>
          <w:rFonts w:hint="eastAsia"/>
          <w:sz w:val="24"/>
          <w:szCs w:val="24"/>
        </w:rPr>
        <w:t>报价要求</w:t>
      </w:r>
      <w:bookmarkEnd w:id="54"/>
      <w:bookmarkEnd w:id="55"/>
      <w:bookmarkEnd w:id="56"/>
      <w:bookmarkEnd w:id="57"/>
      <w:bookmarkEnd w:id="58"/>
    </w:p>
    <w:p>
      <w:pPr>
        <w:snapToGrid w:val="0"/>
        <w:spacing w:line="360" w:lineRule="auto"/>
        <w:ind w:firstLine="480" w:firstLineChars="200"/>
        <w:rPr>
          <w:sz w:val="24"/>
          <w:szCs w:val="24"/>
        </w:rPr>
      </w:pPr>
      <w:r>
        <w:rPr>
          <w:rFonts w:hint="eastAsia"/>
          <w:sz w:val="24"/>
          <w:szCs w:val="24"/>
        </w:rPr>
        <w:t>报价包括完成本项目所需的包括（但不限于）脚本撰写费、拍摄费、后期制作费、旁白配音费、设备费、策划费、沟通协调费、后续制作费、服务费、税费等一切费用。因成交供应商自身原因造成漏报、少报皆由其自行承担责任，采购人不再补偿。</w:t>
      </w:r>
    </w:p>
    <w:p>
      <w:pPr>
        <w:pStyle w:val="4"/>
        <w:spacing w:before="0" w:after="0" w:line="360" w:lineRule="auto"/>
        <w:ind w:firstLine="480" w:firstLineChars="200"/>
        <w:rPr>
          <w:sz w:val="24"/>
          <w:szCs w:val="24"/>
        </w:rPr>
      </w:pPr>
      <w:bookmarkStart w:id="59" w:name="_Toc484611849"/>
      <w:bookmarkStart w:id="60" w:name="_Toc344475122"/>
      <w:bookmarkStart w:id="61" w:name="_Toc14860571"/>
      <w:bookmarkStart w:id="62" w:name="_Toc83905720"/>
      <w:bookmarkStart w:id="63" w:name="_Toc117500826"/>
      <w:bookmarkStart w:id="64" w:name="_Toc51854598"/>
      <w:r>
        <w:rPr>
          <w:sz w:val="24"/>
          <w:szCs w:val="24"/>
        </w:rPr>
        <w:t>※</w:t>
      </w:r>
      <w:r>
        <w:rPr>
          <w:rFonts w:hint="eastAsia"/>
          <w:sz w:val="24"/>
          <w:szCs w:val="24"/>
        </w:rPr>
        <w:t>三、付款方式</w:t>
      </w:r>
      <w:bookmarkEnd w:id="59"/>
      <w:bookmarkEnd w:id="60"/>
      <w:bookmarkEnd w:id="61"/>
      <w:bookmarkEnd w:id="62"/>
      <w:bookmarkEnd w:id="63"/>
      <w:bookmarkEnd w:id="64"/>
    </w:p>
    <w:p>
      <w:pPr>
        <w:snapToGrid w:val="0"/>
        <w:spacing w:line="360" w:lineRule="auto"/>
        <w:ind w:firstLine="480" w:firstLineChars="200"/>
        <w:rPr>
          <w:sz w:val="24"/>
          <w:szCs w:val="24"/>
        </w:rPr>
      </w:pPr>
      <w:bookmarkStart w:id="65" w:name="_Toc344475123"/>
      <w:r>
        <w:rPr>
          <w:rFonts w:hint="eastAsia"/>
          <w:sz w:val="24"/>
          <w:szCs w:val="24"/>
        </w:rPr>
        <w:t>（一）合同签订后，成交供应商向采购人提供发票，采购人在5个工作日内向成交供应商支付合同金额的40%；</w:t>
      </w:r>
    </w:p>
    <w:p>
      <w:pPr>
        <w:snapToGrid w:val="0"/>
        <w:spacing w:line="360" w:lineRule="auto"/>
        <w:ind w:firstLine="480" w:firstLineChars="200"/>
        <w:rPr>
          <w:sz w:val="24"/>
          <w:szCs w:val="24"/>
        </w:rPr>
      </w:pPr>
      <w:r>
        <w:rPr>
          <w:rFonts w:hint="eastAsia"/>
          <w:sz w:val="24"/>
          <w:szCs w:val="24"/>
        </w:rPr>
        <w:t>（二）拍摄完成后，后期剪辑工作开始前，成交供应商向采购人提供发票，采购人在5个工作日内向成交供应商支付合同金额的30%；</w:t>
      </w:r>
    </w:p>
    <w:p>
      <w:pPr>
        <w:snapToGrid w:val="0"/>
        <w:spacing w:line="360" w:lineRule="auto"/>
        <w:ind w:firstLine="480" w:firstLineChars="200"/>
        <w:rPr>
          <w:sz w:val="24"/>
          <w:szCs w:val="24"/>
        </w:rPr>
      </w:pPr>
      <w:r>
        <w:rPr>
          <w:rFonts w:hint="eastAsia"/>
          <w:sz w:val="24"/>
          <w:szCs w:val="24"/>
        </w:rPr>
        <w:t>（三）视频完成，经采购人确认无修改后，成交供应商向采购人提供发票，采购人在5个工作日内向成交供应商支付合同金额的30%。</w:t>
      </w:r>
      <w:bookmarkEnd w:id="65"/>
    </w:p>
    <w:p>
      <w:pPr>
        <w:pStyle w:val="4"/>
        <w:spacing w:before="0" w:after="0" w:line="360" w:lineRule="auto"/>
        <w:ind w:firstLine="480" w:firstLineChars="200"/>
        <w:rPr>
          <w:sz w:val="24"/>
          <w:szCs w:val="24"/>
        </w:rPr>
      </w:pPr>
      <w:bookmarkStart w:id="66" w:name="_Toc77245324"/>
      <w:bookmarkStart w:id="67" w:name="_Toc28867"/>
      <w:bookmarkStart w:id="68" w:name="_Toc117500827"/>
      <w:bookmarkStart w:id="69" w:name="_Toc116644932"/>
      <w:bookmarkStart w:id="70" w:name="_Hlk117154081"/>
      <w:r>
        <w:rPr>
          <w:rFonts w:hint="eastAsia"/>
          <w:sz w:val="24"/>
          <w:szCs w:val="24"/>
        </w:rPr>
        <w:t>四、违约条款</w:t>
      </w:r>
      <w:bookmarkEnd w:id="66"/>
      <w:bookmarkEnd w:id="67"/>
      <w:bookmarkEnd w:id="68"/>
      <w:bookmarkEnd w:id="69"/>
    </w:p>
    <w:p>
      <w:pPr>
        <w:snapToGrid w:val="0"/>
        <w:spacing w:line="360" w:lineRule="auto"/>
        <w:ind w:firstLine="480" w:firstLineChars="200"/>
        <w:rPr>
          <w:rFonts w:ascii="宋体" w:hAnsi="宋体"/>
          <w:sz w:val="24"/>
          <w:szCs w:val="24"/>
        </w:rPr>
      </w:pPr>
      <w:r>
        <w:rPr>
          <w:rFonts w:hint="eastAsia" w:ascii="宋体" w:hAnsi="宋体"/>
          <w:sz w:val="24"/>
          <w:szCs w:val="24"/>
        </w:rPr>
        <w:t>若成交供应商未在规定时间节点内完成相应工作内容的，每延后1天成交供应商应向采购人支付合同金额</w:t>
      </w:r>
      <w:r>
        <w:rPr>
          <w:rFonts w:ascii="宋体" w:hAnsi="宋体"/>
          <w:sz w:val="24"/>
          <w:szCs w:val="24"/>
        </w:rPr>
        <w:t>1</w:t>
      </w:r>
      <w:r>
        <w:rPr>
          <w:rFonts w:hint="eastAsia" w:ascii="宋体" w:hAnsi="宋体"/>
          <w:sz w:val="24"/>
          <w:szCs w:val="24"/>
        </w:rPr>
        <w:t>%的违约金。延后时间累计达10天的，采购人有权终止合同，没收成交供应商的履约保证金，并追究相关法律责任。</w:t>
      </w:r>
      <w:bookmarkEnd w:id="70"/>
    </w:p>
    <w:p>
      <w:pPr>
        <w:pStyle w:val="4"/>
        <w:spacing w:before="0" w:after="0" w:line="360" w:lineRule="auto"/>
        <w:ind w:firstLine="480" w:firstLineChars="200"/>
        <w:rPr>
          <w:sz w:val="24"/>
          <w:szCs w:val="24"/>
        </w:rPr>
      </w:pPr>
      <w:bookmarkStart w:id="71" w:name="_Toc73626116"/>
      <w:bookmarkStart w:id="72" w:name="_Toc12980464"/>
      <w:bookmarkStart w:id="73" w:name="_Toc117500828"/>
      <w:bookmarkStart w:id="74" w:name="_Toc77245325"/>
      <w:bookmarkStart w:id="75" w:name="_Toc116644933"/>
      <w:bookmarkStart w:id="76" w:name="_Toc74638456"/>
      <w:bookmarkStart w:id="77" w:name="_Toc69287475"/>
      <w:r>
        <w:rPr>
          <w:rFonts w:hint="eastAsia"/>
          <w:sz w:val="24"/>
          <w:szCs w:val="24"/>
        </w:rPr>
        <w:t>五、保密要求</w:t>
      </w:r>
      <w:bookmarkEnd w:id="71"/>
      <w:bookmarkEnd w:id="72"/>
      <w:bookmarkEnd w:id="73"/>
      <w:bookmarkEnd w:id="74"/>
      <w:bookmarkEnd w:id="75"/>
      <w:bookmarkEnd w:id="76"/>
      <w:bookmarkEnd w:id="77"/>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pPr>
        <w:pStyle w:val="4"/>
        <w:spacing w:before="0" w:after="0" w:line="360" w:lineRule="auto"/>
        <w:ind w:firstLine="480" w:firstLineChars="200"/>
        <w:rPr>
          <w:sz w:val="24"/>
          <w:szCs w:val="24"/>
        </w:rPr>
      </w:pPr>
      <w:bookmarkStart w:id="78" w:name="_Toc26845"/>
      <w:bookmarkStart w:id="79" w:name="_Toc77245327"/>
      <w:bookmarkStart w:id="80" w:name="_Toc117500829"/>
      <w:bookmarkStart w:id="81" w:name="_Toc116644934"/>
      <w:r>
        <w:rPr>
          <w:rFonts w:hint="eastAsia"/>
          <w:sz w:val="24"/>
          <w:szCs w:val="24"/>
        </w:rPr>
        <w:t>六、知识产权</w:t>
      </w:r>
      <w:bookmarkEnd w:id="78"/>
      <w:bookmarkEnd w:id="79"/>
      <w:bookmarkEnd w:id="80"/>
      <w:bookmarkEnd w:id="81"/>
    </w:p>
    <w:p>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sz w:val="24"/>
          <w:szCs w:val="24"/>
        </w:rPr>
      </w:pPr>
      <w:r>
        <w:rPr>
          <w:rFonts w:hint="eastAsia" w:ascii="宋体" w:hAnsi="宋体"/>
          <w:b/>
          <w:bCs/>
          <w:sz w:val="24"/>
          <w:szCs w:val="24"/>
        </w:rPr>
        <w:t>本项目知识产权归采购人所有，成交供应商需配合采购人对本项目知识产权进行保护。</w:t>
      </w:r>
    </w:p>
    <w:p>
      <w:pPr>
        <w:pStyle w:val="4"/>
        <w:spacing w:before="0" w:after="0" w:line="360" w:lineRule="auto"/>
        <w:ind w:firstLine="480" w:firstLineChars="200"/>
        <w:rPr>
          <w:sz w:val="24"/>
          <w:szCs w:val="24"/>
        </w:rPr>
      </w:pPr>
      <w:bookmarkStart w:id="82" w:name="_Toc77245328"/>
      <w:bookmarkStart w:id="83" w:name="_Toc17774"/>
      <w:bookmarkStart w:id="84" w:name="_Toc116644935"/>
      <w:bookmarkStart w:id="85" w:name="_Toc117500830"/>
      <w:r>
        <w:rPr>
          <w:rFonts w:hint="eastAsia"/>
          <w:sz w:val="24"/>
          <w:szCs w:val="24"/>
        </w:rPr>
        <w:t>七、其他</w:t>
      </w:r>
      <w:bookmarkEnd w:id="82"/>
      <w:bookmarkEnd w:id="83"/>
      <w:bookmarkEnd w:id="84"/>
      <w:bookmarkEnd w:id="85"/>
    </w:p>
    <w:p>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pPr>
        <w:pStyle w:val="2"/>
        <w:pageBreakBefore/>
        <w:spacing w:line="360" w:lineRule="auto"/>
        <w:jc w:val="center"/>
        <w:rPr>
          <w:rFonts w:ascii="宋体" w:hAnsi="宋体" w:eastAsia="宋体"/>
          <w:color w:val="000000"/>
          <w:sz w:val="36"/>
          <w:szCs w:val="30"/>
        </w:rPr>
      </w:pPr>
      <w:bookmarkStart w:id="86" w:name="_Toc117500831"/>
      <w:r>
        <w:rPr>
          <w:rFonts w:hint="eastAsia" w:ascii="宋体" w:hAnsi="宋体" w:eastAsia="宋体"/>
          <w:color w:val="000000"/>
          <w:sz w:val="36"/>
          <w:szCs w:val="30"/>
        </w:rPr>
        <w:t>第四篇  比选程序及方法、评审标准、无效响应和采购终止</w:t>
      </w:r>
      <w:bookmarkEnd w:id="86"/>
    </w:p>
    <w:p>
      <w:pPr>
        <w:pStyle w:val="4"/>
        <w:snapToGrid w:val="0"/>
        <w:spacing w:before="0" w:after="0" w:line="360" w:lineRule="auto"/>
        <w:ind w:firstLine="480" w:firstLineChars="200"/>
        <w:rPr>
          <w:rFonts w:ascii="宋体" w:hAnsi="宋体"/>
          <w:color w:val="000000"/>
          <w:sz w:val="24"/>
          <w:szCs w:val="24"/>
        </w:rPr>
      </w:pPr>
      <w:bookmarkStart w:id="87" w:name="_Toc117500832"/>
      <w:r>
        <w:rPr>
          <w:rFonts w:hint="eastAsia" w:ascii="宋体" w:hAnsi="宋体"/>
          <w:color w:val="000000"/>
          <w:sz w:val="24"/>
          <w:szCs w:val="24"/>
        </w:rPr>
        <w:t>一、比选程序及方法</w:t>
      </w:r>
      <w:bookmarkEnd w:id="87"/>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4"/>
        <w:spacing w:before="0" w:after="0" w:line="440" w:lineRule="exact"/>
        <w:ind w:firstLine="480" w:firstLineChars="200"/>
        <w:rPr>
          <w:rFonts w:ascii="宋体" w:hAnsi="宋体"/>
          <w:color w:val="000000"/>
          <w:sz w:val="24"/>
          <w:szCs w:val="24"/>
        </w:rPr>
      </w:pPr>
      <w:bookmarkStart w:id="88" w:name="_Toc117500833"/>
      <w:r>
        <w:rPr>
          <w:rFonts w:hint="eastAsia" w:ascii="宋体" w:hAnsi="宋体"/>
          <w:color w:val="000000"/>
          <w:sz w:val="24"/>
          <w:szCs w:val="24"/>
        </w:rPr>
        <w:t>二、</w:t>
      </w:r>
      <w:bookmarkStart w:id="89" w:name="_Toc342913394"/>
      <w:bookmarkStart w:id="90" w:name="_Toc102227320"/>
      <w:r>
        <w:rPr>
          <w:rFonts w:hint="eastAsia" w:ascii="宋体" w:hAnsi="宋体"/>
          <w:color w:val="000000"/>
          <w:sz w:val="24"/>
          <w:szCs w:val="24"/>
        </w:rPr>
        <w:t>评审标准</w:t>
      </w:r>
      <w:bookmarkEnd w:id="88"/>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276"/>
        <w:gridCol w:w="439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blHeader/>
        </w:trPr>
        <w:tc>
          <w:tcPr>
            <w:tcW w:w="567" w:type="dxa"/>
            <w:vAlign w:val="center"/>
          </w:tcPr>
          <w:p>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pPr>
              <w:spacing w:line="240" w:lineRule="atLeast"/>
              <w:ind w:firstLine="28"/>
              <w:jc w:val="center"/>
              <w:rPr>
                <w:rFonts w:ascii="宋体" w:hAnsi="宋体"/>
                <w:b/>
                <w:sz w:val="21"/>
                <w:szCs w:val="21"/>
              </w:rPr>
            </w:pPr>
            <w:r>
              <w:rPr>
                <w:rFonts w:ascii="宋体" w:hAnsi="宋体"/>
                <w:b/>
                <w:sz w:val="21"/>
                <w:szCs w:val="21"/>
              </w:rPr>
              <w:t>评分因素</w:t>
            </w:r>
          </w:p>
          <w:p>
            <w:pPr>
              <w:spacing w:line="240" w:lineRule="atLeast"/>
              <w:ind w:firstLine="28"/>
              <w:jc w:val="center"/>
              <w:rPr>
                <w:rFonts w:ascii="宋体" w:hAnsi="宋体"/>
                <w:b/>
                <w:sz w:val="21"/>
                <w:szCs w:val="21"/>
              </w:rPr>
            </w:pPr>
            <w:r>
              <w:rPr>
                <w:rFonts w:ascii="宋体" w:hAnsi="宋体"/>
                <w:b/>
                <w:sz w:val="21"/>
                <w:szCs w:val="21"/>
              </w:rPr>
              <w:t>及权值</w:t>
            </w:r>
          </w:p>
        </w:tc>
        <w:tc>
          <w:tcPr>
            <w:tcW w:w="1276" w:type="dxa"/>
            <w:vAlign w:val="center"/>
          </w:tcPr>
          <w:p>
            <w:pPr>
              <w:spacing w:line="240" w:lineRule="atLeast"/>
              <w:ind w:firstLine="28"/>
              <w:jc w:val="center"/>
              <w:rPr>
                <w:rFonts w:ascii="宋体" w:hAnsi="宋体"/>
                <w:b/>
                <w:sz w:val="21"/>
                <w:szCs w:val="21"/>
              </w:rPr>
            </w:pPr>
            <w:r>
              <w:rPr>
                <w:rFonts w:ascii="宋体" w:hAnsi="宋体"/>
                <w:b/>
                <w:sz w:val="21"/>
                <w:szCs w:val="21"/>
              </w:rPr>
              <w:t>分值</w:t>
            </w:r>
          </w:p>
        </w:tc>
        <w:tc>
          <w:tcPr>
            <w:tcW w:w="4394" w:type="dxa"/>
            <w:vAlign w:val="center"/>
          </w:tcPr>
          <w:p>
            <w:pPr>
              <w:spacing w:line="240" w:lineRule="atLeast"/>
              <w:ind w:firstLine="28"/>
              <w:jc w:val="center"/>
              <w:rPr>
                <w:rFonts w:ascii="宋体" w:hAnsi="宋体"/>
                <w:b/>
                <w:sz w:val="21"/>
                <w:szCs w:val="21"/>
              </w:rPr>
            </w:pPr>
            <w:r>
              <w:rPr>
                <w:rFonts w:ascii="宋体" w:hAnsi="宋体"/>
                <w:b/>
                <w:sz w:val="21"/>
                <w:szCs w:val="21"/>
              </w:rPr>
              <w:t>评分标准</w:t>
            </w:r>
          </w:p>
        </w:tc>
        <w:tc>
          <w:tcPr>
            <w:tcW w:w="1985" w:type="dxa"/>
            <w:vAlign w:val="center"/>
          </w:tcPr>
          <w:p>
            <w:pPr>
              <w:spacing w:line="240" w:lineRule="atLeast"/>
              <w:jc w:val="center"/>
              <w:rPr>
                <w:rFonts w:ascii="宋体" w:hAnsi="宋体"/>
                <w:b/>
                <w:sz w:val="21"/>
                <w:szCs w:val="21"/>
              </w:rPr>
            </w:pPr>
            <w:r>
              <w:rPr>
                <w:rFonts w:ascii="宋体" w:hAnsi="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6" w:hRule="atLeast"/>
        </w:trPr>
        <w:tc>
          <w:tcPr>
            <w:tcW w:w="567" w:type="dxa"/>
            <w:vAlign w:val="center"/>
          </w:tcPr>
          <w:p>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pPr>
              <w:spacing w:line="240" w:lineRule="atLeast"/>
              <w:ind w:firstLine="28"/>
              <w:jc w:val="center"/>
              <w:rPr>
                <w:rFonts w:ascii="宋体" w:hAnsi="宋体"/>
                <w:sz w:val="21"/>
                <w:szCs w:val="21"/>
              </w:rPr>
            </w:pPr>
            <w:r>
              <w:rPr>
                <w:rFonts w:hint="eastAsia" w:ascii="宋体" w:hAnsi="宋体"/>
                <w:sz w:val="21"/>
                <w:szCs w:val="21"/>
              </w:rPr>
              <w:t>磋商报价</w:t>
            </w:r>
          </w:p>
          <w:p>
            <w:pPr>
              <w:spacing w:line="240" w:lineRule="atLeast"/>
              <w:ind w:firstLine="28"/>
              <w:jc w:val="center"/>
              <w:rPr>
                <w:rFonts w:ascii="宋体" w:hAnsi="宋体"/>
                <w:sz w:val="21"/>
                <w:szCs w:val="21"/>
              </w:rPr>
            </w:pPr>
            <w:r>
              <w:rPr>
                <w:rFonts w:hint="eastAsia" w:ascii="宋体" w:hAnsi="宋体"/>
                <w:sz w:val="21"/>
                <w:szCs w:val="21"/>
              </w:rPr>
              <w:t>（15%）</w:t>
            </w:r>
          </w:p>
        </w:tc>
        <w:tc>
          <w:tcPr>
            <w:tcW w:w="1276" w:type="dxa"/>
            <w:vAlign w:val="center"/>
          </w:tcPr>
          <w:p>
            <w:pPr>
              <w:spacing w:line="240" w:lineRule="atLeast"/>
              <w:ind w:firstLine="28"/>
              <w:jc w:val="center"/>
              <w:rPr>
                <w:rFonts w:ascii="宋体" w:hAnsi="宋体"/>
                <w:sz w:val="21"/>
                <w:szCs w:val="21"/>
              </w:rPr>
            </w:pPr>
            <w:r>
              <w:rPr>
                <w:rFonts w:hint="eastAsia" w:ascii="宋体" w:hAnsi="宋体"/>
                <w:sz w:val="21"/>
                <w:szCs w:val="21"/>
              </w:rPr>
              <w:t>15分</w:t>
            </w:r>
          </w:p>
        </w:tc>
        <w:tc>
          <w:tcPr>
            <w:tcW w:w="4394" w:type="dxa"/>
            <w:vAlign w:val="center"/>
          </w:tcPr>
          <w:p>
            <w:pPr>
              <w:spacing w:line="240" w:lineRule="atLeast"/>
              <w:rPr>
                <w:rFonts w:ascii="宋体" w:hAnsi="宋体"/>
                <w:sz w:val="21"/>
                <w:szCs w:val="21"/>
              </w:rPr>
            </w:pPr>
            <w:r>
              <w:rPr>
                <w:rFonts w:hint="eastAsia" w:ascii="宋体" w:hAnsi="宋体"/>
                <w:sz w:val="21"/>
                <w:szCs w:val="21"/>
              </w:rPr>
              <w:t>满足磋商文件资格要求且最后报价最低的供应商的价格为磋商基准价，按照下列公式计算每个供应商的磋商报价得分。</w:t>
            </w:r>
          </w:p>
          <w:p>
            <w:pPr>
              <w:spacing w:line="240" w:lineRule="atLeast"/>
              <w:rPr>
                <w:rFonts w:ascii="宋体" w:hAnsi="宋体"/>
                <w:sz w:val="21"/>
                <w:szCs w:val="21"/>
              </w:rPr>
            </w:pPr>
            <w:r>
              <w:rPr>
                <w:rFonts w:hint="eastAsia" w:ascii="宋体" w:hAnsi="宋体"/>
                <w:sz w:val="21"/>
                <w:szCs w:val="21"/>
              </w:rPr>
              <w:t>磋商报价得分=（磋商基准价/最后磋商报价）×价格权值×100</w:t>
            </w:r>
          </w:p>
        </w:tc>
        <w:tc>
          <w:tcPr>
            <w:tcW w:w="1985" w:type="dxa"/>
            <w:vAlign w:val="center"/>
          </w:tcPr>
          <w:p>
            <w:pPr>
              <w:spacing w:line="240" w:lineRule="atLeast"/>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18" w:hRule="atLeast"/>
        </w:trPr>
        <w:tc>
          <w:tcPr>
            <w:tcW w:w="567" w:type="dxa"/>
            <w:vMerge w:val="restart"/>
            <w:vAlign w:val="center"/>
          </w:tcPr>
          <w:p>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（45%）</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hint="eastAsia" w:ascii="宋体" w:hAnsi="宋体"/>
                <w:sz w:val="21"/>
                <w:szCs w:val="21"/>
              </w:rPr>
              <w:t>（45分）</w:t>
            </w:r>
          </w:p>
        </w:tc>
        <w:tc>
          <w:tcPr>
            <w:tcW w:w="4394" w:type="dxa"/>
            <w:vAlign w:val="center"/>
          </w:tcPr>
          <w:p>
            <w:pPr>
              <w:spacing w:line="240" w:lineRule="atLeast"/>
              <w:rPr>
                <w:rFonts w:ascii="宋体" w:hAnsi="宋体"/>
                <w:sz w:val="21"/>
                <w:szCs w:val="21"/>
              </w:rPr>
            </w:pPr>
            <w:r>
              <w:rPr>
                <w:rFonts w:hint="eastAsia" w:ascii="宋体" w:hAnsi="宋体"/>
                <w:sz w:val="21"/>
                <w:szCs w:val="21"/>
              </w:rPr>
              <w:t>1.项目总体理解（</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供应商对本项目背景、目的、意义及具体要求等进行阐述，根据供应商总体理解的准确性、合理性、详尽程度进行评分。</w:t>
            </w:r>
          </w:p>
          <w:p>
            <w:pPr>
              <w:spacing w:line="240" w:lineRule="atLeast"/>
              <w:rPr>
                <w:rFonts w:ascii="宋体" w:hAnsi="宋体"/>
                <w:sz w:val="21"/>
                <w:szCs w:val="21"/>
              </w:rPr>
            </w:pPr>
            <w:r>
              <w:rPr>
                <w:rFonts w:hint="eastAsia" w:ascii="宋体" w:hAnsi="宋体"/>
                <w:sz w:val="21"/>
                <w:szCs w:val="21"/>
              </w:rPr>
              <w:t>理解准确、合理、详尽得1</w:t>
            </w:r>
            <w:r>
              <w:rPr>
                <w:rFonts w:ascii="宋体" w:hAnsi="宋体"/>
                <w:sz w:val="21"/>
                <w:szCs w:val="21"/>
              </w:rPr>
              <w:t>5</w:t>
            </w:r>
            <w:r>
              <w:rPr>
                <w:rFonts w:hint="eastAsia" w:ascii="宋体" w:hAnsi="宋体"/>
                <w:sz w:val="21"/>
                <w:szCs w:val="21"/>
              </w:rPr>
              <w:t>分；理解较准确、较合理、较详尽得</w:t>
            </w:r>
            <w:r>
              <w:rPr>
                <w:rFonts w:ascii="宋体" w:hAnsi="宋体"/>
                <w:sz w:val="21"/>
                <w:szCs w:val="21"/>
              </w:rPr>
              <w:t>10</w:t>
            </w:r>
            <w:r>
              <w:rPr>
                <w:rFonts w:hint="eastAsia" w:ascii="宋体" w:hAnsi="宋体"/>
                <w:sz w:val="21"/>
                <w:szCs w:val="21"/>
              </w:rPr>
              <w:t>分；理解一般得</w:t>
            </w:r>
            <w:r>
              <w:rPr>
                <w:rFonts w:ascii="宋体" w:hAnsi="宋体"/>
                <w:sz w:val="21"/>
                <w:szCs w:val="21"/>
              </w:rPr>
              <w:t>5</w:t>
            </w:r>
            <w:r>
              <w:rPr>
                <w:rFonts w:hint="eastAsia" w:ascii="宋体" w:hAnsi="宋体"/>
                <w:sz w:val="21"/>
                <w:szCs w:val="21"/>
              </w:rPr>
              <w:t>分；理解不准确、不合理、不详尽得1分；未提供不得分。</w:t>
            </w:r>
          </w:p>
        </w:tc>
        <w:tc>
          <w:tcPr>
            <w:tcW w:w="1985" w:type="dxa"/>
            <w:vMerge w:val="restart"/>
            <w:vAlign w:val="center"/>
          </w:tcPr>
          <w:p>
            <w:pPr>
              <w:spacing w:line="240" w:lineRule="atLeast"/>
              <w:ind w:left="-38"/>
              <w:rPr>
                <w:rFonts w:ascii="宋体" w:hAnsi="宋体"/>
                <w:sz w:val="21"/>
                <w:szCs w:val="21"/>
              </w:rPr>
            </w:pPr>
            <w:r>
              <w:rPr>
                <w:rFonts w:hint="eastAsia" w:ascii="宋体" w:hAnsi="宋体"/>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567"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394" w:type="dxa"/>
            <w:vAlign w:val="center"/>
          </w:tcPr>
          <w:p>
            <w:pPr>
              <w:spacing w:line="240" w:lineRule="atLeast"/>
              <w:rPr>
                <w:rFonts w:ascii="宋体" w:hAnsi="宋体"/>
                <w:sz w:val="21"/>
                <w:szCs w:val="21"/>
              </w:rPr>
            </w:pPr>
            <w:r>
              <w:rPr>
                <w:rFonts w:hint="eastAsia" w:ascii="宋体" w:hAnsi="宋体"/>
                <w:sz w:val="21"/>
                <w:szCs w:val="21"/>
              </w:rPr>
              <w:t>2.创意方案（20分）</w:t>
            </w:r>
          </w:p>
          <w:p>
            <w:pPr>
              <w:spacing w:line="240" w:lineRule="atLeast"/>
              <w:rPr>
                <w:rFonts w:ascii="宋体" w:hAnsi="宋体"/>
                <w:sz w:val="21"/>
                <w:szCs w:val="21"/>
              </w:rPr>
            </w:pPr>
            <w:r>
              <w:rPr>
                <w:rFonts w:hint="eastAsia" w:ascii="宋体" w:hAnsi="宋体"/>
                <w:sz w:val="21"/>
                <w:szCs w:val="21"/>
              </w:rPr>
              <w:t>充分理解本项目采购内容，编写创意方案。方案必须是准确理解西部陆海新通道宣传片需展示的概念及内涵基础上，全面展现西部陆海新通道发展的整体形象，让受众充分了解和认识西部陆海新通道发展成效。根据供应商提供内容的合理性、针对性、可操作性进行评分。</w:t>
            </w:r>
          </w:p>
          <w:p>
            <w:pPr>
              <w:spacing w:line="240" w:lineRule="atLeast"/>
              <w:rPr>
                <w:rFonts w:ascii="宋体" w:hAnsi="宋体"/>
                <w:sz w:val="21"/>
                <w:szCs w:val="21"/>
              </w:rPr>
            </w:pPr>
            <w:r>
              <w:rPr>
                <w:rFonts w:hint="eastAsia" w:ascii="宋体" w:hAnsi="宋体"/>
                <w:sz w:val="21"/>
                <w:szCs w:val="21"/>
              </w:rPr>
              <w:t>方案合理、针对性与可操作性强得</w:t>
            </w:r>
            <w:r>
              <w:rPr>
                <w:rFonts w:ascii="宋体" w:hAnsi="宋体"/>
                <w:sz w:val="21"/>
                <w:szCs w:val="21"/>
              </w:rPr>
              <w:t>20</w:t>
            </w:r>
            <w:r>
              <w:rPr>
                <w:rFonts w:hint="eastAsia" w:ascii="宋体" w:hAnsi="宋体"/>
                <w:sz w:val="21"/>
                <w:szCs w:val="21"/>
              </w:rPr>
              <w:t>分；方案较合理、针对性与可操作性较强得</w:t>
            </w:r>
            <w:r>
              <w:rPr>
                <w:rFonts w:ascii="宋体" w:hAnsi="宋体"/>
                <w:sz w:val="21"/>
                <w:szCs w:val="21"/>
              </w:rPr>
              <w:t>12</w:t>
            </w:r>
            <w:r>
              <w:rPr>
                <w:rFonts w:hint="eastAsia" w:ascii="宋体" w:hAnsi="宋体"/>
                <w:sz w:val="21"/>
                <w:szCs w:val="21"/>
              </w:rPr>
              <w:t>分；方案一般、针对性与可操作性一般得</w:t>
            </w:r>
            <w:r>
              <w:rPr>
                <w:rFonts w:ascii="宋体" w:hAnsi="宋体"/>
                <w:sz w:val="21"/>
                <w:szCs w:val="21"/>
              </w:rPr>
              <w:t>4</w:t>
            </w:r>
            <w:r>
              <w:rPr>
                <w:rFonts w:hint="eastAsia" w:ascii="宋体" w:hAnsi="宋体"/>
                <w:sz w:val="21"/>
                <w:szCs w:val="21"/>
              </w:rPr>
              <w:t>分；方案不合理、针对性与可操作性不强得1分；未提供不得分。</w:t>
            </w:r>
          </w:p>
        </w:tc>
        <w:tc>
          <w:tcPr>
            <w:tcW w:w="1985"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39" w:hRule="atLeast"/>
        </w:trPr>
        <w:tc>
          <w:tcPr>
            <w:tcW w:w="567"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394" w:type="dxa"/>
            <w:vAlign w:val="center"/>
          </w:tcPr>
          <w:p>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.工作计划及人员组织方案（10分）</w:t>
            </w:r>
          </w:p>
          <w:p>
            <w:pPr>
              <w:spacing w:line="240" w:lineRule="atLeast"/>
              <w:rPr>
                <w:rFonts w:ascii="宋体" w:hAnsi="宋体"/>
                <w:sz w:val="21"/>
                <w:szCs w:val="21"/>
              </w:rPr>
            </w:pPr>
            <w:r>
              <w:rPr>
                <w:rFonts w:hint="eastAsia" w:ascii="宋体" w:hAnsi="宋体"/>
                <w:sz w:val="21"/>
                <w:szCs w:val="21"/>
              </w:rPr>
              <w:t>根据供应商提出的具体工作方案，对时间进度安排计划、人员组织方案等，从合理性、操作性、可实施性进行评分。</w:t>
            </w:r>
          </w:p>
          <w:p>
            <w:pPr>
              <w:spacing w:line="240" w:lineRule="atLeast"/>
              <w:rPr>
                <w:rFonts w:ascii="宋体" w:hAnsi="宋体"/>
                <w:sz w:val="21"/>
                <w:szCs w:val="21"/>
              </w:rPr>
            </w:pPr>
            <w:r>
              <w:rPr>
                <w:rFonts w:hint="eastAsia" w:ascii="宋体" w:hAnsi="宋体"/>
                <w:sz w:val="21"/>
                <w:szCs w:val="21"/>
              </w:rPr>
              <w:t>进度计划安排合理、人员组织得当、时间控制严谨，得1</w:t>
            </w:r>
            <w:r>
              <w:rPr>
                <w:rFonts w:ascii="宋体" w:hAnsi="宋体"/>
                <w:sz w:val="21"/>
                <w:szCs w:val="21"/>
              </w:rPr>
              <w:t>0</w:t>
            </w:r>
            <w:r>
              <w:rPr>
                <w:rFonts w:hint="eastAsia" w:ascii="宋体" w:hAnsi="宋体"/>
                <w:sz w:val="21"/>
                <w:szCs w:val="21"/>
              </w:rPr>
              <w:t>分；计划安排较合理、人员组织较得当、时间控制相对紧凑，得7分；计划安排一般、人员组织一般、时间控制相对松散，得4分；计划安排不合理、人员组织不当、时间安排无统筹，得1分；未提供不得分。</w:t>
            </w:r>
          </w:p>
        </w:tc>
        <w:tc>
          <w:tcPr>
            <w:tcW w:w="1985"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3" w:hRule="atLeast"/>
        </w:trPr>
        <w:tc>
          <w:tcPr>
            <w:tcW w:w="567"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0%）</w:t>
            </w:r>
          </w:p>
        </w:tc>
        <w:tc>
          <w:tcPr>
            <w:tcW w:w="1276" w:type="dxa"/>
            <w:vAlign w:val="center"/>
          </w:tcPr>
          <w:p>
            <w:pPr>
              <w:spacing w:line="240" w:lineRule="atLeast"/>
              <w:jc w:val="center"/>
              <w:rPr>
                <w:rFonts w:ascii="宋体" w:hAnsi="宋体"/>
                <w:sz w:val="21"/>
                <w:szCs w:val="21"/>
              </w:rPr>
            </w:pPr>
            <w:r>
              <w:rPr>
                <w:rFonts w:hint="eastAsia" w:ascii="宋体" w:hAnsi="宋体"/>
                <w:sz w:val="21"/>
                <w:szCs w:val="21"/>
              </w:rPr>
              <w:t>增值服务</w:t>
            </w:r>
          </w:p>
          <w:p>
            <w:pPr>
              <w:spacing w:line="240" w:lineRule="atLeast"/>
              <w:jc w:val="center"/>
              <w:rPr>
                <w:rFonts w:ascii="宋体" w:hAnsi="宋体"/>
                <w:sz w:val="21"/>
                <w:szCs w:val="21"/>
              </w:rPr>
            </w:pPr>
            <w:r>
              <w:rPr>
                <w:rFonts w:hint="eastAsia" w:ascii="宋体" w:hAnsi="宋体"/>
                <w:sz w:val="21"/>
                <w:szCs w:val="21"/>
              </w:rPr>
              <w:t>（</w:t>
            </w:r>
            <w:r>
              <w:rPr>
                <w:rFonts w:ascii="宋体" w:hAnsi="宋体"/>
                <w:sz w:val="21"/>
                <w:szCs w:val="21"/>
              </w:rPr>
              <w:t>10</w:t>
            </w:r>
            <w:r>
              <w:rPr>
                <w:rFonts w:hint="eastAsia" w:ascii="宋体" w:hAnsi="宋体"/>
                <w:sz w:val="21"/>
                <w:szCs w:val="21"/>
              </w:rPr>
              <w:t>分）</w:t>
            </w:r>
          </w:p>
        </w:tc>
        <w:tc>
          <w:tcPr>
            <w:tcW w:w="4394" w:type="dxa"/>
            <w:vAlign w:val="center"/>
          </w:tcPr>
          <w:p>
            <w:pPr>
              <w:spacing w:line="240" w:lineRule="atLeast"/>
              <w:rPr>
                <w:rFonts w:ascii="宋体" w:hAnsi="宋体"/>
                <w:sz w:val="21"/>
                <w:szCs w:val="21"/>
              </w:rPr>
            </w:pPr>
            <w:r>
              <w:rPr>
                <w:rFonts w:hint="eastAsia" w:ascii="宋体" w:hAnsi="宋体" w:cs="宋体"/>
                <w:kern w:val="0"/>
                <w:sz w:val="21"/>
                <w:szCs w:val="21"/>
              </w:rPr>
              <w:t>供应商承诺在项目验收合格并交收完成后，还可提供内容修改服务的，每承诺1个月得</w:t>
            </w:r>
            <w:r>
              <w:rPr>
                <w:rFonts w:ascii="宋体" w:hAnsi="宋体" w:cs="宋体"/>
                <w:kern w:val="0"/>
                <w:sz w:val="21"/>
                <w:szCs w:val="21"/>
              </w:rPr>
              <w:t>5</w:t>
            </w:r>
            <w:r>
              <w:rPr>
                <w:rFonts w:hint="eastAsia" w:ascii="宋体" w:hAnsi="宋体" w:cs="宋体"/>
                <w:kern w:val="0"/>
                <w:sz w:val="21"/>
                <w:szCs w:val="21"/>
              </w:rPr>
              <w:t>分，满分</w:t>
            </w:r>
            <w:r>
              <w:rPr>
                <w:rFonts w:ascii="宋体" w:hAnsi="宋体" w:cs="宋体"/>
                <w:kern w:val="0"/>
                <w:sz w:val="21"/>
                <w:szCs w:val="21"/>
              </w:rPr>
              <w:t>10</w:t>
            </w:r>
            <w:r>
              <w:rPr>
                <w:rFonts w:hint="eastAsia" w:ascii="宋体" w:hAnsi="宋体" w:cs="宋体"/>
                <w:kern w:val="0"/>
                <w:sz w:val="21"/>
                <w:szCs w:val="21"/>
              </w:rPr>
              <w:t>分。</w:t>
            </w:r>
          </w:p>
        </w:tc>
        <w:tc>
          <w:tcPr>
            <w:tcW w:w="1985" w:type="dxa"/>
            <w:vAlign w:val="center"/>
          </w:tcPr>
          <w:p>
            <w:pPr>
              <w:spacing w:line="240" w:lineRule="atLeast"/>
              <w:ind w:left="-38"/>
              <w:rPr>
                <w:rFonts w:ascii="宋体" w:hAnsi="宋体"/>
                <w:sz w:val="21"/>
                <w:szCs w:val="21"/>
              </w:rPr>
            </w:pPr>
            <w:r>
              <w:rPr>
                <w:rFonts w:hint="eastAsia" w:ascii="宋体" w:hAnsi="宋体"/>
                <w:sz w:val="21"/>
                <w:szCs w:val="21"/>
              </w:rPr>
              <w:t>提供加盖公章的承诺原件，格式自拟。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567"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restart"/>
            <w:vAlign w:val="center"/>
          </w:tcPr>
          <w:p>
            <w:pPr>
              <w:spacing w:line="240" w:lineRule="atLeast"/>
              <w:jc w:val="center"/>
              <w:rPr>
                <w:rFonts w:ascii="宋体" w:hAnsi="宋体"/>
                <w:sz w:val="21"/>
                <w:szCs w:val="21"/>
              </w:rPr>
            </w:pPr>
            <w:r>
              <w:rPr>
                <w:rFonts w:hint="eastAsia" w:ascii="宋体" w:hAnsi="宋体"/>
                <w:sz w:val="21"/>
                <w:szCs w:val="21"/>
              </w:rPr>
              <w:t>供应商实力（</w:t>
            </w:r>
            <w:r>
              <w:rPr>
                <w:rFonts w:ascii="宋体" w:hAnsi="宋体"/>
                <w:sz w:val="21"/>
                <w:szCs w:val="21"/>
              </w:rPr>
              <w:t>30</w:t>
            </w:r>
            <w:r>
              <w:rPr>
                <w:rFonts w:hint="eastAsia" w:ascii="宋体" w:hAnsi="宋体"/>
                <w:sz w:val="21"/>
                <w:szCs w:val="21"/>
              </w:rPr>
              <w:t>分）</w:t>
            </w:r>
          </w:p>
        </w:tc>
        <w:tc>
          <w:tcPr>
            <w:tcW w:w="4394" w:type="dxa"/>
            <w:vAlign w:val="center"/>
          </w:tcPr>
          <w:p>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资质能力（1</w:t>
            </w:r>
            <w:r>
              <w:rPr>
                <w:rFonts w:ascii="宋体" w:hAnsi="宋体"/>
                <w:sz w:val="21"/>
                <w:szCs w:val="21"/>
              </w:rPr>
              <w:t>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供应商具备广播电视节目制作经营许可证的得10分，不具备得0分。</w:t>
            </w:r>
          </w:p>
        </w:tc>
        <w:tc>
          <w:tcPr>
            <w:tcW w:w="1985" w:type="dxa"/>
            <w:vAlign w:val="center"/>
          </w:tcPr>
          <w:p>
            <w:pPr>
              <w:spacing w:line="240" w:lineRule="atLeast"/>
              <w:ind w:left="-38"/>
              <w:rPr>
                <w:rFonts w:ascii="宋体" w:hAnsi="宋体"/>
                <w:sz w:val="21"/>
                <w:szCs w:val="21"/>
              </w:rPr>
            </w:pPr>
            <w:r>
              <w:rPr>
                <w:rFonts w:hint="eastAsia" w:ascii="宋体" w:hAnsi="宋体"/>
                <w:sz w:val="21"/>
                <w:szCs w:val="21"/>
              </w:rPr>
              <w:t>提供证书复印件，加盖供应商公章。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567"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jc w:val="center"/>
              <w:rPr>
                <w:rFonts w:ascii="宋体" w:hAnsi="宋体"/>
                <w:sz w:val="21"/>
                <w:szCs w:val="21"/>
              </w:rPr>
            </w:pPr>
          </w:p>
        </w:tc>
        <w:tc>
          <w:tcPr>
            <w:tcW w:w="4394" w:type="dxa"/>
            <w:vAlign w:val="center"/>
          </w:tcPr>
          <w:p>
            <w:pPr>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设备能力（6分）</w:t>
            </w:r>
          </w:p>
          <w:p>
            <w:pPr>
              <w:spacing w:line="240" w:lineRule="atLeast"/>
              <w:rPr>
                <w:rFonts w:ascii="宋体" w:hAnsi="宋体"/>
                <w:sz w:val="21"/>
                <w:szCs w:val="21"/>
              </w:rPr>
            </w:pPr>
            <w:r>
              <w:rPr>
                <w:rFonts w:hint="eastAsia" w:ascii="宋体" w:hAnsi="宋体"/>
                <w:sz w:val="21"/>
                <w:szCs w:val="21"/>
              </w:rPr>
              <w:t>供应商具备自有固定摄影棚得3分，具备摄影器材并提供证明3分，不具备得0分。</w:t>
            </w:r>
          </w:p>
        </w:tc>
        <w:tc>
          <w:tcPr>
            <w:tcW w:w="1985" w:type="dxa"/>
            <w:vAlign w:val="center"/>
          </w:tcPr>
          <w:p>
            <w:pPr>
              <w:spacing w:line="240" w:lineRule="atLeast"/>
              <w:ind w:left="-38"/>
              <w:rPr>
                <w:rFonts w:ascii="宋体" w:hAnsi="宋体"/>
                <w:sz w:val="21"/>
                <w:szCs w:val="21"/>
              </w:rPr>
            </w:pPr>
            <w:r>
              <w:rPr>
                <w:rFonts w:hint="eastAsia" w:ascii="宋体" w:hAnsi="宋体"/>
                <w:sz w:val="21"/>
                <w:szCs w:val="21"/>
              </w:rPr>
              <w:t>提供设备为供应商自有（提供购买发票或固定资产证明）或租赁（提供租赁合同）及设备清晰实景照片加盖供应商公章。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trPr>
        <w:tc>
          <w:tcPr>
            <w:tcW w:w="567"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jc w:val="center"/>
              <w:rPr>
                <w:rFonts w:ascii="宋体" w:hAnsi="宋体"/>
                <w:sz w:val="21"/>
                <w:szCs w:val="21"/>
              </w:rPr>
            </w:pPr>
          </w:p>
        </w:tc>
        <w:tc>
          <w:tcPr>
            <w:tcW w:w="4394" w:type="dxa"/>
            <w:vAlign w:val="center"/>
          </w:tcPr>
          <w:p>
            <w:pPr>
              <w:spacing w:line="240" w:lineRule="atLeast"/>
              <w:rPr>
                <w:rFonts w:ascii="宋体" w:hAnsi="宋体" w:cs="宋体"/>
                <w:sz w:val="21"/>
                <w:szCs w:val="21"/>
              </w:rPr>
            </w:pPr>
            <w:r>
              <w:rPr>
                <w:rFonts w:hint="eastAsia" w:ascii="宋体" w:hAnsi="宋体" w:cs="宋体"/>
                <w:sz w:val="21"/>
                <w:szCs w:val="21"/>
              </w:rPr>
              <w:t>3.获奖情况（14分）</w:t>
            </w:r>
          </w:p>
          <w:p>
            <w:pPr>
              <w:spacing w:line="240" w:lineRule="atLeast"/>
              <w:rPr>
                <w:rFonts w:ascii="宋体" w:hAnsi="宋体" w:cs="宋体"/>
                <w:sz w:val="21"/>
                <w:szCs w:val="21"/>
              </w:rPr>
            </w:pPr>
            <w:r>
              <w:rPr>
                <w:rFonts w:hint="eastAsia" w:ascii="宋体" w:hAnsi="宋体" w:cs="宋体"/>
                <w:sz w:val="21"/>
                <w:szCs w:val="21"/>
              </w:rPr>
              <w:t>（1）供应商曾经作品获得过国家级及以上奖项，每提供1个得4分，其他级奖项，每提供1个得2分。</w:t>
            </w:r>
          </w:p>
          <w:p>
            <w:pPr>
              <w:spacing w:line="240" w:lineRule="atLeast"/>
              <w:rPr>
                <w:rFonts w:ascii="宋体" w:hAnsi="宋体" w:cs="宋体"/>
                <w:sz w:val="21"/>
                <w:szCs w:val="21"/>
              </w:rPr>
            </w:pPr>
            <w:r>
              <w:rPr>
                <w:rFonts w:hint="eastAsia" w:ascii="宋体" w:hAnsi="宋体" w:cs="宋体"/>
                <w:sz w:val="21"/>
                <w:szCs w:val="21"/>
              </w:rPr>
              <w:t>（2）纪录片作品在卫视级及以上平台播出的，每提供一个得2分。</w:t>
            </w:r>
          </w:p>
          <w:p>
            <w:pPr>
              <w:spacing w:line="240" w:lineRule="atLeast"/>
              <w:rPr>
                <w:rFonts w:eastAsia="黑体"/>
              </w:rPr>
            </w:pPr>
            <w:r>
              <w:rPr>
                <w:rFonts w:hint="eastAsia" w:ascii="宋体" w:hAnsi="宋体" w:cs="宋体"/>
                <w:sz w:val="21"/>
                <w:szCs w:val="21"/>
              </w:rPr>
              <w:t>（3）两项总分不超过14分。</w:t>
            </w:r>
          </w:p>
        </w:tc>
        <w:tc>
          <w:tcPr>
            <w:tcW w:w="1985" w:type="dxa"/>
            <w:vAlign w:val="center"/>
          </w:tcPr>
          <w:p>
            <w:pPr>
              <w:spacing w:line="240" w:lineRule="atLeast"/>
              <w:ind w:left="-38"/>
              <w:rPr>
                <w:rFonts w:ascii="宋体" w:hAnsi="宋体"/>
                <w:sz w:val="21"/>
                <w:szCs w:val="21"/>
              </w:rPr>
            </w:pPr>
            <w:r>
              <w:rPr>
                <w:rFonts w:hint="eastAsia" w:ascii="宋体" w:hAnsi="宋体"/>
                <w:sz w:val="21"/>
                <w:szCs w:val="21"/>
              </w:rPr>
              <w:t>提供证明材料，加盖供应商公章。</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4"/>
        <w:spacing w:before="0" w:after="0" w:line="360" w:lineRule="auto"/>
        <w:ind w:firstLine="480" w:firstLineChars="200"/>
        <w:rPr>
          <w:rFonts w:ascii="宋体" w:hAnsi="宋体"/>
          <w:color w:val="000000"/>
          <w:sz w:val="24"/>
          <w:szCs w:val="24"/>
        </w:rPr>
      </w:pPr>
      <w:bookmarkStart w:id="91" w:name="_Toc117500834"/>
      <w:r>
        <w:rPr>
          <w:rFonts w:hint="eastAsia" w:ascii="宋体" w:hAnsi="宋体"/>
          <w:color w:val="000000"/>
          <w:sz w:val="24"/>
          <w:szCs w:val="24"/>
        </w:rPr>
        <w:t>三、无效响应</w:t>
      </w:r>
      <w:bookmarkEnd w:id="91"/>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4"/>
        <w:spacing w:before="0" w:after="0" w:line="360" w:lineRule="auto"/>
        <w:ind w:firstLine="480" w:firstLineChars="200"/>
        <w:rPr>
          <w:rFonts w:ascii="宋体" w:hAnsi="宋体"/>
          <w:color w:val="000000"/>
          <w:sz w:val="24"/>
          <w:szCs w:val="24"/>
        </w:rPr>
      </w:pPr>
      <w:bookmarkStart w:id="92" w:name="_Toc117500835"/>
      <w:r>
        <w:rPr>
          <w:rFonts w:hint="eastAsia" w:ascii="宋体" w:hAnsi="宋体"/>
          <w:color w:val="000000"/>
          <w:sz w:val="24"/>
          <w:szCs w:val="24"/>
        </w:rPr>
        <w:t>四、</w:t>
      </w:r>
      <w:bookmarkEnd w:id="89"/>
      <w:bookmarkEnd w:id="90"/>
      <w:r>
        <w:rPr>
          <w:rFonts w:hint="eastAsia" w:ascii="宋体" w:hAnsi="宋体"/>
          <w:color w:val="000000"/>
          <w:sz w:val="24"/>
          <w:szCs w:val="24"/>
        </w:rPr>
        <w:t>采购终止</w:t>
      </w:r>
      <w:bookmarkEnd w:id="92"/>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2"/>
        <w:spacing w:line="360" w:lineRule="auto"/>
        <w:jc w:val="center"/>
        <w:rPr>
          <w:rFonts w:ascii="宋体" w:hAnsi="宋体" w:eastAsia="宋体"/>
          <w:color w:val="000000"/>
          <w:sz w:val="36"/>
          <w:szCs w:val="30"/>
        </w:rPr>
      </w:pPr>
      <w:bookmarkStart w:id="93" w:name="_Toc117500836"/>
      <w:bookmarkStart w:id="94" w:name="_Toc102227313"/>
      <w:r>
        <w:rPr>
          <w:rFonts w:hint="eastAsia" w:ascii="宋体" w:hAnsi="宋体" w:eastAsia="宋体"/>
          <w:color w:val="000000"/>
          <w:sz w:val="36"/>
          <w:szCs w:val="30"/>
        </w:rPr>
        <w:t>第五篇  供应商须知</w:t>
      </w:r>
      <w:bookmarkEnd w:id="93"/>
      <w:bookmarkEnd w:id="94"/>
    </w:p>
    <w:p>
      <w:pPr>
        <w:pStyle w:val="4"/>
        <w:spacing w:before="0" w:after="0" w:line="360" w:lineRule="auto"/>
        <w:ind w:firstLine="480" w:firstLineChars="200"/>
        <w:rPr>
          <w:rFonts w:ascii="宋体" w:hAnsi="宋体"/>
          <w:color w:val="000000"/>
          <w:sz w:val="24"/>
          <w:szCs w:val="24"/>
        </w:rPr>
      </w:pPr>
      <w:bookmarkStart w:id="95" w:name="_Toc117500837"/>
      <w:bookmarkStart w:id="96" w:name="_Toc342913389"/>
      <w:r>
        <w:rPr>
          <w:rFonts w:hint="eastAsia" w:ascii="宋体" w:hAnsi="宋体"/>
          <w:color w:val="000000"/>
          <w:sz w:val="24"/>
          <w:szCs w:val="24"/>
        </w:rPr>
        <w:t>一、比选费用</w:t>
      </w:r>
      <w:bookmarkEnd w:id="95"/>
      <w:bookmarkEnd w:id="96"/>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4"/>
        <w:tabs>
          <w:tab w:val="left" w:pos="2640"/>
        </w:tabs>
        <w:spacing w:before="0" w:after="0" w:line="360" w:lineRule="auto"/>
        <w:ind w:firstLine="480" w:firstLineChars="200"/>
        <w:rPr>
          <w:rFonts w:ascii="宋体" w:hAnsi="宋体"/>
          <w:color w:val="000000"/>
          <w:sz w:val="24"/>
          <w:szCs w:val="24"/>
        </w:rPr>
      </w:pPr>
      <w:bookmarkStart w:id="97" w:name="_Toc117500838"/>
      <w:bookmarkStart w:id="98" w:name="_Toc342913391"/>
      <w:r>
        <w:rPr>
          <w:rFonts w:hint="eastAsia" w:ascii="宋体" w:hAnsi="宋体"/>
          <w:color w:val="000000"/>
          <w:sz w:val="24"/>
          <w:szCs w:val="24"/>
        </w:rPr>
        <w:t>二、竞争性比选文件</w:t>
      </w:r>
      <w:bookmarkEnd w:id="97"/>
      <w:bookmarkEnd w:id="98"/>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9" w:name="_Toc318159160"/>
      <w:bookmarkStart w:id="100" w:name="_Toc318159349"/>
      <w:bookmarkStart w:id="101" w:name="_Toc318159780"/>
      <w:bookmarkStart w:id="102" w:name="_Toc318166429"/>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bookmarkEnd w:id="99"/>
      <w:bookmarkEnd w:id="100"/>
      <w:bookmarkEnd w:id="101"/>
      <w:bookmarkEnd w:id="102"/>
    </w:p>
    <w:p>
      <w:pPr>
        <w:pStyle w:val="4"/>
        <w:spacing w:before="0" w:after="0" w:line="360" w:lineRule="auto"/>
        <w:ind w:firstLine="480" w:firstLineChars="200"/>
        <w:rPr>
          <w:rFonts w:ascii="宋体" w:hAnsi="宋体"/>
          <w:color w:val="000000"/>
          <w:sz w:val="24"/>
          <w:szCs w:val="24"/>
        </w:rPr>
      </w:pPr>
      <w:bookmarkStart w:id="103" w:name="_Toc117500839"/>
      <w:bookmarkStart w:id="104" w:name="_Toc102227318"/>
      <w:bookmarkStart w:id="105" w:name="_Toc342913392"/>
      <w:bookmarkStart w:id="106" w:name="_Toc179714297"/>
      <w:r>
        <w:rPr>
          <w:rFonts w:hint="eastAsia" w:ascii="宋体" w:hAnsi="宋体"/>
          <w:color w:val="000000"/>
          <w:sz w:val="24"/>
          <w:szCs w:val="24"/>
        </w:rPr>
        <w:t>三、比选要求</w:t>
      </w:r>
      <w:bookmarkEnd w:id="103"/>
      <w:bookmarkEnd w:id="104"/>
      <w:bookmarkEnd w:id="105"/>
      <w:bookmarkEnd w:id="106"/>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4"/>
        <w:spacing w:before="0" w:after="0" w:line="360" w:lineRule="auto"/>
        <w:ind w:firstLine="480" w:firstLineChars="200"/>
        <w:rPr>
          <w:rFonts w:ascii="宋体" w:hAnsi="宋体"/>
          <w:color w:val="000000"/>
          <w:sz w:val="24"/>
          <w:szCs w:val="24"/>
        </w:rPr>
      </w:pPr>
      <w:bookmarkStart w:id="107" w:name="_Toc117500840"/>
      <w:r>
        <w:rPr>
          <w:rFonts w:hint="eastAsia" w:ascii="宋体" w:hAnsi="宋体"/>
          <w:color w:val="000000"/>
          <w:sz w:val="24"/>
          <w:szCs w:val="24"/>
        </w:rPr>
        <w:t>四、成交供应商的确认和变更</w:t>
      </w:r>
      <w:bookmarkEnd w:id="107"/>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4"/>
        <w:spacing w:before="0" w:after="0" w:line="360" w:lineRule="auto"/>
        <w:ind w:firstLine="480" w:firstLineChars="200"/>
        <w:rPr>
          <w:rFonts w:ascii="宋体" w:hAnsi="宋体"/>
          <w:color w:val="000000"/>
          <w:sz w:val="24"/>
          <w:szCs w:val="24"/>
        </w:rPr>
      </w:pPr>
      <w:bookmarkStart w:id="108" w:name="_Toc102227321"/>
      <w:bookmarkStart w:id="109" w:name="_Toc117500841"/>
      <w:bookmarkStart w:id="110" w:name="_Toc342913395"/>
      <w:r>
        <w:rPr>
          <w:rFonts w:hint="eastAsia" w:ascii="宋体" w:hAnsi="宋体"/>
          <w:color w:val="000000"/>
          <w:sz w:val="24"/>
          <w:szCs w:val="24"/>
        </w:rPr>
        <w:t>五、成交通知</w:t>
      </w:r>
      <w:bookmarkEnd w:id="108"/>
      <w:bookmarkEnd w:id="109"/>
      <w:bookmarkEnd w:id="11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4"/>
        <w:spacing w:before="0" w:after="0" w:line="360" w:lineRule="auto"/>
        <w:ind w:firstLine="480" w:firstLineChars="200"/>
        <w:rPr>
          <w:rFonts w:ascii="宋体" w:hAnsi="宋体"/>
          <w:color w:val="000000"/>
          <w:sz w:val="24"/>
          <w:szCs w:val="24"/>
        </w:rPr>
      </w:pPr>
      <w:bookmarkStart w:id="111" w:name="_Toc117500842"/>
      <w:r>
        <w:rPr>
          <w:rFonts w:hint="eastAsia" w:ascii="宋体" w:hAnsi="宋体"/>
          <w:color w:val="000000"/>
          <w:sz w:val="24"/>
          <w:szCs w:val="24"/>
        </w:rPr>
        <w:t>六、关于质疑和投诉</w:t>
      </w:r>
      <w:bookmarkEnd w:id="111"/>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4"/>
        <w:spacing w:before="0" w:after="0" w:line="360" w:lineRule="auto"/>
        <w:ind w:firstLine="480" w:firstLineChars="200"/>
        <w:rPr>
          <w:rFonts w:ascii="宋体" w:hAnsi="宋体"/>
          <w:color w:val="000000"/>
          <w:sz w:val="24"/>
          <w:szCs w:val="24"/>
        </w:rPr>
      </w:pPr>
      <w:bookmarkStart w:id="112" w:name="_Toc117500843"/>
      <w:r>
        <w:rPr>
          <w:rFonts w:hint="eastAsia" w:ascii="宋体" w:hAnsi="宋体"/>
          <w:color w:val="000000"/>
          <w:sz w:val="24"/>
          <w:szCs w:val="24"/>
        </w:rPr>
        <w:t>七、采购代理服务费</w:t>
      </w:r>
      <w:bookmarkEnd w:id="112"/>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pt;height:0.05pt;width:0.05pt;z-index:251659264;mso-width-relative:page;mso-height-relative:page;" filled="f" stroked="t" coordsize="21600,21600" o:allowincell="f" o:gfxdata="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ZqDnKzQAA&#10;AP8AAAAPAAAAAAAAAAEAIAAAADgAAABkcnMvZG93bnJldi54bWxQSwECFAAUAAAACACHTuJAgJGE&#10;ctoBAADNAwAADgAAAAAAAAABACAAAAAyAQAAZHJzL2Uyb0RvYy54bWxQSwUGAAAAAAYABgBZAQAA&#10;fg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4"/>
        <w:spacing w:before="0" w:after="0" w:line="360" w:lineRule="auto"/>
        <w:ind w:firstLine="480" w:firstLineChars="200"/>
        <w:rPr>
          <w:rFonts w:ascii="宋体" w:hAnsi="宋体"/>
          <w:color w:val="000000"/>
          <w:sz w:val="24"/>
          <w:szCs w:val="24"/>
        </w:rPr>
      </w:pPr>
      <w:bookmarkStart w:id="113" w:name="_Toc102227322"/>
      <w:bookmarkStart w:id="114" w:name="_Toc117500844"/>
      <w:bookmarkStart w:id="115" w:name="_Toc342913396"/>
      <w:bookmarkStart w:id="116" w:name="_Toc11641055"/>
      <w:bookmarkStart w:id="117" w:name="_Toc12789059"/>
      <w:r>
        <w:rPr>
          <w:rFonts w:hint="eastAsia" w:ascii="宋体" w:hAnsi="宋体"/>
          <w:color w:val="000000"/>
          <w:sz w:val="24"/>
          <w:szCs w:val="24"/>
        </w:rPr>
        <w:t>八、签订</w:t>
      </w:r>
      <w:bookmarkEnd w:id="113"/>
      <w:r>
        <w:rPr>
          <w:rFonts w:hint="eastAsia" w:ascii="宋体" w:hAnsi="宋体"/>
          <w:color w:val="000000"/>
          <w:sz w:val="24"/>
          <w:szCs w:val="24"/>
        </w:rPr>
        <w:t>合同</w:t>
      </w:r>
      <w:bookmarkEnd w:id="114"/>
      <w:bookmarkEnd w:id="115"/>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2"/>
        <w:pageBreakBefore/>
        <w:spacing w:line="360" w:lineRule="auto"/>
        <w:jc w:val="center"/>
        <w:rPr>
          <w:rFonts w:ascii="宋体" w:hAnsi="宋体" w:eastAsia="宋体"/>
          <w:color w:val="000000"/>
          <w:sz w:val="36"/>
          <w:szCs w:val="30"/>
        </w:rPr>
      </w:pPr>
      <w:bookmarkStart w:id="118" w:name="_Toc117500845"/>
      <w:r>
        <w:rPr>
          <w:rFonts w:hint="eastAsia" w:ascii="宋体" w:hAnsi="宋体" w:eastAsia="宋体"/>
          <w:color w:val="000000"/>
          <w:sz w:val="36"/>
          <w:szCs w:val="30"/>
        </w:rPr>
        <w:t xml:space="preserve">第六篇  </w:t>
      </w:r>
      <w:bookmarkEnd w:id="116"/>
      <w:bookmarkEnd w:id="117"/>
      <w:r>
        <w:rPr>
          <w:rFonts w:hint="eastAsia" w:ascii="宋体" w:hAnsi="宋体" w:eastAsia="宋体"/>
          <w:color w:val="000000"/>
          <w:sz w:val="36"/>
          <w:szCs w:val="30"/>
        </w:rPr>
        <w:t>合同草案条款</w:t>
      </w:r>
      <w:bookmarkEnd w:id="118"/>
    </w:p>
    <w:p>
      <w:pPr>
        <w:pStyle w:val="4"/>
        <w:spacing w:before="0" w:after="0" w:line="360" w:lineRule="auto"/>
        <w:ind w:firstLine="480" w:firstLineChars="200"/>
        <w:rPr>
          <w:rFonts w:ascii="宋体" w:hAnsi="宋体"/>
          <w:color w:val="000000"/>
          <w:sz w:val="24"/>
          <w:szCs w:val="24"/>
        </w:rPr>
      </w:pPr>
      <w:bookmarkStart w:id="119" w:name="_Hlt41879464"/>
      <w:bookmarkEnd w:id="119"/>
      <w:bookmarkStart w:id="120" w:name="_Toc277084870"/>
      <w:bookmarkStart w:id="121" w:name="_Toc508007737"/>
      <w:bookmarkStart w:id="122" w:name="_Toc78194465"/>
      <w:bookmarkStart w:id="123" w:name="_Toc285722712"/>
      <w:bookmarkStart w:id="124" w:name="_Toc117500846"/>
      <w:bookmarkStart w:id="125" w:name="_Toc12789072"/>
      <w:r>
        <w:rPr>
          <w:rFonts w:hint="eastAsia" w:ascii="宋体" w:hAnsi="宋体"/>
          <w:color w:val="000000"/>
          <w:sz w:val="24"/>
          <w:szCs w:val="24"/>
        </w:rPr>
        <w:t>一、合同主要条款</w:t>
      </w:r>
      <w:bookmarkEnd w:id="120"/>
      <w:bookmarkEnd w:id="121"/>
      <w:bookmarkEnd w:id="122"/>
      <w:bookmarkEnd w:id="123"/>
      <w:bookmarkEnd w:id="124"/>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脚本撰写费、拍摄费、后期制作费、旁白配音费、设备费、策划费、沟通协调费、后续制作费、服务费、税费等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4"/>
        <w:spacing w:before="0" w:after="0" w:line="360" w:lineRule="auto"/>
        <w:ind w:firstLine="480" w:firstLineChars="200"/>
        <w:rPr>
          <w:rFonts w:ascii="宋体" w:hAnsi="宋体"/>
          <w:color w:val="000000"/>
          <w:sz w:val="24"/>
          <w:szCs w:val="24"/>
        </w:rPr>
      </w:pPr>
      <w:bookmarkStart w:id="126" w:name="_Toc117500847"/>
      <w:bookmarkStart w:id="127" w:name="_Toc277084871"/>
      <w:bookmarkStart w:id="128" w:name="_Toc508178250"/>
      <w:bookmarkStart w:id="129" w:name="_Toc285722713"/>
      <w:r>
        <w:rPr>
          <w:rFonts w:hint="eastAsia" w:ascii="宋体" w:hAnsi="宋体"/>
          <w:color w:val="000000"/>
          <w:sz w:val="24"/>
          <w:szCs w:val="24"/>
        </w:rPr>
        <w:t>二、政府采购合同（格式）</w:t>
      </w:r>
      <w:bookmarkEnd w:id="126"/>
      <w:bookmarkEnd w:id="127"/>
      <w:bookmarkEnd w:id="128"/>
      <w:bookmarkEnd w:id="129"/>
    </w:p>
    <w:bookmarkEnd w:id="125"/>
    <w:p>
      <w:pPr>
        <w:spacing w:line="500" w:lineRule="exact"/>
        <w:jc w:val="center"/>
        <w:rPr>
          <w:rFonts w:ascii="宋体" w:hAnsi="宋体"/>
          <w:b/>
          <w:color w:val="000000"/>
          <w:sz w:val="44"/>
        </w:rPr>
      </w:pPr>
    </w:p>
    <w:p>
      <w:pPr>
        <w:spacing w:line="360" w:lineRule="auto"/>
        <w:jc w:val="center"/>
        <w:rPr>
          <w:rFonts w:ascii="宋体" w:hAnsi="宋体"/>
          <w:b/>
          <w:color w:val="000000"/>
          <w:sz w:val="44"/>
        </w:rPr>
      </w:pPr>
      <w:bookmarkStart w:id="130"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bookmarkEnd w:id="130"/>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p>
      <w:pPr>
        <w:pStyle w:val="2"/>
        <w:spacing w:line="360" w:lineRule="auto"/>
        <w:jc w:val="center"/>
        <w:rPr>
          <w:rFonts w:ascii="宋体" w:hAnsi="宋体" w:eastAsia="宋体"/>
          <w:sz w:val="36"/>
          <w:szCs w:val="30"/>
        </w:rPr>
      </w:pPr>
      <w:bookmarkStart w:id="131" w:name="_Toc117500848"/>
      <w:bookmarkStart w:id="132" w:name="_Toc89693272"/>
      <w:r>
        <w:rPr>
          <w:rFonts w:ascii="宋体" w:hAnsi="宋体" w:eastAsia="宋体"/>
          <w:sz w:val="36"/>
          <w:szCs w:val="30"/>
        </w:rPr>
        <w:t>第七篇  响应文件编制要求</w:t>
      </w:r>
      <w:bookmarkEnd w:id="131"/>
      <w:bookmarkEnd w:id="132"/>
    </w:p>
    <w:p>
      <w:pPr>
        <w:pStyle w:val="4"/>
        <w:spacing w:before="0" w:after="0" w:line="360" w:lineRule="auto"/>
        <w:ind w:firstLine="480" w:firstLineChars="200"/>
        <w:rPr>
          <w:rFonts w:ascii="宋体" w:hAnsi="宋体"/>
          <w:sz w:val="24"/>
          <w:szCs w:val="24"/>
        </w:rPr>
      </w:pPr>
      <w:bookmarkStart w:id="133" w:name="_Toc117500849"/>
      <w:bookmarkStart w:id="134" w:name="_Toc89693273"/>
      <w:r>
        <w:rPr>
          <w:rFonts w:ascii="宋体" w:hAnsi="宋体"/>
          <w:sz w:val="24"/>
          <w:szCs w:val="24"/>
        </w:rPr>
        <w:t>一、经济部分</w:t>
      </w:r>
      <w:bookmarkEnd w:id="133"/>
      <w:bookmarkEnd w:id="134"/>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4"/>
        <w:spacing w:before="0" w:after="0" w:line="360" w:lineRule="auto"/>
        <w:ind w:firstLine="480" w:firstLineChars="200"/>
        <w:rPr>
          <w:rFonts w:ascii="宋体" w:hAnsi="宋体"/>
          <w:sz w:val="24"/>
          <w:szCs w:val="24"/>
        </w:rPr>
      </w:pPr>
      <w:bookmarkStart w:id="135" w:name="_Toc78194469"/>
      <w:bookmarkStart w:id="136" w:name="_Toc89693274"/>
      <w:bookmarkStart w:id="137" w:name="_Toc117500850"/>
      <w:r>
        <w:rPr>
          <w:rFonts w:hint="eastAsia" w:ascii="宋体" w:hAnsi="宋体"/>
          <w:sz w:val="24"/>
          <w:szCs w:val="24"/>
        </w:rPr>
        <w:t>二、技术部分</w:t>
      </w:r>
      <w:bookmarkEnd w:id="135"/>
      <w:bookmarkEnd w:id="136"/>
      <w:bookmarkEnd w:id="137"/>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4"/>
        <w:spacing w:before="0" w:after="0" w:line="360" w:lineRule="auto"/>
        <w:ind w:firstLine="480" w:firstLineChars="200"/>
        <w:rPr>
          <w:rFonts w:ascii="宋体" w:hAnsi="宋体"/>
          <w:sz w:val="24"/>
          <w:szCs w:val="24"/>
        </w:rPr>
      </w:pPr>
      <w:bookmarkStart w:id="138" w:name="_Toc89693275"/>
      <w:bookmarkStart w:id="139" w:name="_Toc117500851"/>
      <w:r>
        <w:rPr>
          <w:rFonts w:ascii="宋体" w:hAnsi="宋体"/>
          <w:sz w:val="24"/>
          <w:szCs w:val="24"/>
        </w:rPr>
        <w:t>三、商务部分</w:t>
      </w:r>
      <w:bookmarkEnd w:id="138"/>
      <w:bookmarkEnd w:id="139"/>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4"/>
        <w:spacing w:before="0" w:after="0" w:line="360" w:lineRule="auto"/>
        <w:ind w:firstLine="480" w:firstLineChars="200"/>
        <w:rPr>
          <w:rFonts w:ascii="宋体" w:hAnsi="宋体"/>
          <w:sz w:val="24"/>
          <w:szCs w:val="24"/>
        </w:rPr>
      </w:pPr>
      <w:bookmarkStart w:id="140" w:name="_Toc89693276"/>
      <w:bookmarkStart w:id="141" w:name="_Toc117500852"/>
      <w:r>
        <w:rPr>
          <w:rFonts w:ascii="宋体" w:hAnsi="宋体"/>
          <w:sz w:val="24"/>
          <w:szCs w:val="24"/>
        </w:rPr>
        <w:t>四、资格条件及其他</w:t>
      </w:r>
      <w:bookmarkEnd w:id="140"/>
      <w:bookmarkEnd w:id="141"/>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42" w:name="_Toc12789073"/>
      <w:bookmarkStart w:id="143" w:name="_Toc313888360"/>
      <w:bookmarkStart w:id="144" w:name="_Toc283382454"/>
      <w:bookmarkStart w:id="145" w:name="_Toc313008356"/>
      <w:bookmarkStart w:id="146" w:name="_Toc23764522"/>
      <w:bookmarkStart w:id="147" w:name="_Toc342913419"/>
      <w:r>
        <w:rPr>
          <w:rFonts w:hint="eastAsia"/>
          <w:b/>
          <w:sz w:val="24"/>
          <w:szCs w:val="24"/>
        </w:rPr>
        <w:t xml:space="preserve">    </w:t>
      </w:r>
      <w:r>
        <w:rPr>
          <w:b/>
          <w:sz w:val="24"/>
          <w:szCs w:val="24"/>
        </w:rPr>
        <w:t>一、经济部分</w:t>
      </w:r>
      <w:bookmarkEnd w:id="142"/>
      <w:bookmarkEnd w:id="143"/>
      <w:bookmarkEnd w:id="144"/>
      <w:bookmarkEnd w:id="145"/>
      <w:bookmarkEnd w:id="146"/>
      <w:bookmarkEnd w:id="147"/>
    </w:p>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8" w:name="_Toc313888361"/>
      <w:bookmarkStart w:id="149" w:name="_Toc313008357"/>
      <w:bookmarkStart w:id="150" w:name="_Toc23764523"/>
      <w:bookmarkStart w:id="151" w:name="_Toc342913420"/>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8"/>
      <w:bookmarkEnd w:id="149"/>
      <w:bookmarkEnd w:id="150"/>
      <w:bookmarkEnd w:id="151"/>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52" w:name="_Toc342913421"/>
      <w:bookmarkStart w:id="153" w:name="_Toc313888362"/>
      <w:bookmarkStart w:id="154" w:name="_Toc313008358"/>
      <w:bookmarkStart w:id="155" w:name="_Toc23764524"/>
      <w:r>
        <w:rPr>
          <w:rFonts w:hint="eastAsia"/>
          <w:sz w:val="24"/>
          <w:szCs w:val="24"/>
        </w:rPr>
        <w:t xml:space="preserve">   </w:t>
      </w:r>
      <w:r>
        <w:rPr>
          <w:rFonts w:hint="eastAsia"/>
          <w:b/>
          <w:sz w:val="24"/>
          <w:szCs w:val="24"/>
        </w:rPr>
        <w:t xml:space="preserve"> </w:t>
      </w:r>
      <w:r>
        <w:rPr>
          <w:b/>
          <w:sz w:val="24"/>
          <w:szCs w:val="24"/>
        </w:rPr>
        <w:t>三、商务部分</w:t>
      </w:r>
      <w:bookmarkEnd w:id="152"/>
      <w:bookmarkEnd w:id="153"/>
      <w:bookmarkEnd w:id="154"/>
      <w:bookmarkEnd w:id="155"/>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2"/>
      </w:pPr>
    </w:p>
    <w:p>
      <w:pPr>
        <w:pageBreakBefore/>
        <w:tabs>
          <w:tab w:val="left" w:pos="6300"/>
        </w:tabs>
        <w:snapToGrid w:val="0"/>
        <w:spacing w:line="360" w:lineRule="auto"/>
        <w:rPr>
          <w:b/>
          <w:sz w:val="24"/>
          <w:szCs w:val="24"/>
        </w:rPr>
      </w:pPr>
      <w:bookmarkStart w:id="156" w:name="_Toc23764525"/>
      <w:bookmarkStart w:id="157" w:name="_Toc313888363"/>
      <w:bookmarkStart w:id="158" w:name="_Toc342913422"/>
      <w:bookmarkStart w:id="159" w:name="_Toc313008359"/>
      <w:r>
        <w:rPr>
          <w:rFonts w:hint="eastAsia"/>
          <w:b/>
          <w:sz w:val="24"/>
          <w:szCs w:val="24"/>
        </w:rPr>
        <w:t xml:space="preserve">    </w:t>
      </w:r>
      <w:r>
        <w:rPr>
          <w:b/>
          <w:sz w:val="24"/>
          <w:szCs w:val="24"/>
        </w:rPr>
        <w:t>四、资格条件及其他</w:t>
      </w:r>
      <w:bookmarkEnd w:id="156"/>
      <w:bookmarkEnd w:id="157"/>
      <w:bookmarkEnd w:id="158"/>
      <w:bookmarkEnd w:id="159"/>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6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bookmarkEnd w:id="160"/>
    </w:p>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71"/>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pStyle w:val="269"/>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ZWJhZGFmMTIyZjM3ZTI2ODZhNGYwODM0OGZhMz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244E"/>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334"/>
    <w:rsid w:val="00052964"/>
    <w:rsid w:val="0005298B"/>
    <w:rsid w:val="000529F4"/>
    <w:rsid w:val="000533A5"/>
    <w:rsid w:val="00053AFB"/>
    <w:rsid w:val="00053D42"/>
    <w:rsid w:val="0005417C"/>
    <w:rsid w:val="000552F4"/>
    <w:rsid w:val="0005540E"/>
    <w:rsid w:val="000568F9"/>
    <w:rsid w:val="000574AB"/>
    <w:rsid w:val="000576E1"/>
    <w:rsid w:val="00057B29"/>
    <w:rsid w:val="00061192"/>
    <w:rsid w:val="00063981"/>
    <w:rsid w:val="000645F1"/>
    <w:rsid w:val="000653C6"/>
    <w:rsid w:val="0007233F"/>
    <w:rsid w:val="00073BB7"/>
    <w:rsid w:val="00074D2F"/>
    <w:rsid w:val="00075C5F"/>
    <w:rsid w:val="00076B77"/>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0DF4"/>
    <w:rsid w:val="00091B1C"/>
    <w:rsid w:val="000921A8"/>
    <w:rsid w:val="000923FA"/>
    <w:rsid w:val="00092576"/>
    <w:rsid w:val="0009269D"/>
    <w:rsid w:val="00094140"/>
    <w:rsid w:val="000943FB"/>
    <w:rsid w:val="00094D17"/>
    <w:rsid w:val="00096E3E"/>
    <w:rsid w:val="00097FF6"/>
    <w:rsid w:val="000A164E"/>
    <w:rsid w:val="000A3CEE"/>
    <w:rsid w:val="000A3EB0"/>
    <w:rsid w:val="000A5754"/>
    <w:rsid w:val="000A58D1"/>
    <w:rsid w:val="000A5D17"/>
    <w:rsid w:val="000A5F16"/>
    <w:rsid w:val="000A7241"/>
    <w:rsid w:val="000A72C0"/>
    <w:rsid w:val="000B0272"/>
    <w:rsid w:val="000B2811"/>
    <w:rsid w:val="000B31AB"/>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A4A"/>
    <w:rsid w:val="000D6B20"/>
    <w:rsid w:val="000D7523"/>
    <w:rsid w:val="000D7888"/>
    <w:rsid w:val="000D79BB"/>
    <w:rsid w:val="000E01C9"/>
    <w:rsid w:val="000E05BC"/>
    <w:rsid w:val="000E0769"/>
    <w:rsid w:val="000E24E5"/>
    <w:rsid w:val="000E3259"/>
    <w:rsid w:val="000E3454"/>
    <w:rsid w:val="000E5DF8"/>
    <w:rsid w:val="000E6005"/>
    <w:rsid w:val="000E601E"/>
    <w:rsid w:val="000E6631"/>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13CF"/>
    <w:rsid w:val="0010237E"/>
    <w:rsid w:val="00102544"/>
    <w:rsid w:val="0010266D"/>
    <w:rsid w:val="0010286A"/>
    <w:rsid w:val="001040CE"/>
    <w:rsid w:val="001042C7"/>
    <w:rsid w:val="00105650"/>
    <w:rsid w:val="00105E15"/>
    <w:rsid w:val="00106CD4"/>
    <w:rsid w:val="00107149"/>
    <w:rsid w:val="00107445"/>
    <w:rsid w:val="00107816"/>
    <w:rsid w:val="00107B3A"/>
    <w:rsid w:val="001100DA"/>
    <w:rsid w:val="001113BE"/>
    <w:rsid w:val="00111939"/>
    <w:rsid w:val="00111C0C"/>
    <w:rsid w:val="00112547"/>
    <w:rsid w:val="00112EF7"/>
    <w:rsid w:val="00113728"/>
    <w:rsid w:val="00115096"/>
    <w:rsid w:val="00115B3A"/>
    <w:rsid w:val="001167CA"/>
    <w:rsid w:val="00116856"/>
    <w:rsid w:val="00117C75"/>
    <w:rsid w:val="00117CDC"/>
    <w:rsid w:val="00117DF9"/>
    <w:rsid w:val="0012006D"/>
    <w:rsid w:val="00120259"/>
    <w:rsid w:val="0012069A"/>
    <w:rsid w:val="00122A8B"/>
    <w:rsid w:val="001230D8"/>
    <w:rsid w:val="001234BD"/>
    <w:rsid w:val="0012398A"/>
    <w:rsid w:val="00123B94"/>
    <w:rsid w:val="00124D09"/>
    <w:rsid w:val="001253FF"/>
    <w:rsid w:val="00125DBA"/>
    <w:rsid w:val="001266BF"/>
    <w:rsid w:val="0012710F"/>
    <w:rsid w:val="00127F11"/>
    <w:rsid w:val="0013085B"/>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41D9"/>
    <w:rsid w:val="00165715"/>
    <w:rsid w:val="001661E0"/>
    <w:rsid w:val="0016657A"/>
    <w:rsid w:val="0016725B"/>
    <w:rsid w:val="00167825"/>
    <w:rsid w:val="001717BA"/>
    <w:rsid w:val="00171A7B"/>
    <w:rsid w:val="00172A27"/>
    <w:rsid w:val="00172DC6"/>
    <w:rsid w:val="001730D7"/>
    <w:rsid w:val="0017529A"/>
    <w:rsid w:val="001758A7"/>
    <w:rsid w:val="00175C6C"/>
    <w:rsid w:val="001761FD"/>
    <w:rsid w:val="00177836"/>
    <w:rsid w:val="00180413"/>
    <w:rsid w:val="00180497"/>
    <w:rsid w:val="00180A61"/>
    <w:rsid w:val="00180ACB"/>
    <w:rsid w:val="001810EA"/>
    <w:rsid w:val="001826C7"/>
    <w:rsid w:val="0018396D"/>
    <w:rsid w:val="00183DF0"/>
    <w:rsid w:val="00185891"/>
    <w:rsid w:val="00186623"/>
    <w:rsid w:val="001869E2"/>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A70D0"/>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AC0"/>
    <w:rsid w:val="001F0B34"/>
    <w:rsid w:val="001F1336"/>
    <w:rsid w:val="001F13DA"/>
    <w:rsid w:val="001F1AF7"/>
    <w:rsid w:val="001F1DAB"/>
    <w:rsid w:val="001F2104"/>
    <w:rsid w:val="001F2882"/>
    <w:rsid w:val="001F2F9C"/>
    <w:rsid w:val="001F3A3C"/>
    <w:rsid w:val="001F3BA0"/>
    <w:rsid w:val="001F4964"/>
    <w:rsid w:val="001F5EAF"/>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2685"/>
    <w:rsid w:val="0021305C"/>
    <w:rsid w:val="0021370D"/>
    <w:rsid w:val="0021704D"/>
    <w:rsid w:val="002208B1"/>
    <w:rsid w:val="002208E8"/>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455"/>
    <w:rsid w:val="002C2507"/>
    <w:rsid w:val="002C2E6E"/>
    <w:rsid w:val="002C3A48"/>
    <w:rsid w:val="002C4781"/>
    <w:rsid w:val="002C5403"/>
    <w:rsid w:val="002C5DE2"/>
    <w:rsid w:val="002C6EF6"/>
    <w:rsid w:val="002C747C"/>
    <w:rsid w:val="002D081E"/>
    <w:rsid w:val="002D49AE"/>
    <w:rsid w:val="002D4D51"/>
    <w:rsid w:val="002D6696"/>
    <w:rsid w:val="002D7707"/>
    <w:rsid w:val="002D7725"/>
    <w:rsid w:val="002E0A13"/>
    <w:rsid w:val="002E0A25"/>
    <w:rsid w:val="002E0F92"/>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AC3"/>
    <w:rsid w:val="00302F01"/>
    <w:rsid w:val="00303655"/>
    <w:rsid w:val="00303B63"/>
    <w:rsid w:val="00307859"/>
    <w:rsid w:val="003079D6"/>
    <w:rsid w:val="00310438"/>
    <w:rsid w:val="00310AF9"/>
    <w:rsid w:val="00313635"/>
    <w:rsid w:val="00313F79"/>
    <w:rsid w:val="0031465E"/>
    <w:rsid w:val="0031557E"/>
    <w:rsid w:val="00315742"/>
    <w:rsid w:val="003163B3"/>
    <w:rsid w:val="00317F28"/>
    <w:rsid w:val="003202F5"/>
    <w:rsid w:val="0032163E"/>
    <w:rsid w:val="003228EE"/>
    <w:rsid w:val="00322A7A"/>
    <w:rsid w:val="00323542"/>
    <w:rsid w:val="00324734"/>
    <w:rsid w:val="003248B1"/>
    <w:rsid w:val="00324A00"/>
    <w:rsid w:val="00325296"/>
    <w:rsid w:val="0032568A"/>
    <w:rsid w:val="00326213"/>
    <w:rsid w:val="00331002"/>
    <w:rsid w:val="00331E07"/>
    <w:rsid w:val="00332BE1"/>
    <w:rsid w:val="003344F6"/>
    <w:rsid w:val="003355B5"/>
    <w:rsid w:val="00335CD5"/>
    <w:rsid w:val="003369C5"/>
    <w:rsid w:val="00337753"/>
    <w:rsid w:val="0034082E"/>
    <w:rsid w:val="00340873"/>
    <w:rsid w:val="00340ADC"/>
    <w:rsid w:val="0034102D"/>
    <w:rsid w:val="00341DEB"/>
    <w:rsid w:val="00342B0C"/>
    <w:rsid w:val="00342B14"/>
    <w:rsid w:val="00345768"/>
    <w:rsid w:val="0034591F"/>
    <w:rsid w:val="0034639B"/>
    <w:rsid w:val="0034664F"/>
    <w:rsid w:val="0034697B"/>
    <w:rsid w:val="00346A3D"/>
    <w:rsid w:val="00347618"/>
    <w:rsid w:val="00347A4A"/>
    <w:rsid w:val="00347F6B"/>
    <w:rsid w:val="00350C20"/>
    <w:rsid w:val="003518A4"/>
    <w:rsid w:val="003524B8"/>
    <w:rsid w:val="00352864"/>
    <w:rsid w:val="003530F8"/>
    <w:rsid w:val="003548FA"/>
    <w:rsid w:val="00354DE5"/>
    <w:rsid w:val="00354F48"/>
    <w:rsid w:val="003551F3"/>
    <w:rsid w:val="0035560B"/>
    <w:rsid w:val="00355A74"/>
    <w:rsid w:val="00355F3A"/>
    <w:rsid w:val="00356B83"/>
    <w:rsid w:val="00356C32"/>
    <w:rsid w:val="00356F69"/>
    <w:rsid w:val="0035742F"/>
    <w:rsid w:val="00357D6C"/>
    <w:rsid w:val="0036013B"/>
    <w:rsid w:val="003606CD"/>
    <w:rsid w:val="00361266"/>
    <w:rsid w:val="00361427"/>
    <w:rsid w:val="003631BA"/>
    <w:rsid w:val="0036458B"/>
    <w:rsid w:val="00365521"/>
    <w:rsid w:val="00366B73"/>
    <w:rsid w:val="00367266"/>
    <w:rsid w:val="00367CBD"/>
    <w:rsid w:val="00371D2F"/>
    <w:rsid w:val="0037257D"/>
    <w:rsid w:val="00373217"/>
    <w:rsid w:val="003748AD"/>
    <w:rsid w:val="00376B94"/>
    <w:rsid w:val="00377E30"/>
    <w:rsid w:val="0038033A"/>
    <w:rsid w:val="00380447"/>
    <w:rsid w:val="0038274F"/>
    <w:rsid w:val="00384161"/>
    <w:rsid w:val="003846FE"/>
    <w:rsid w:val="0038626A"/>
    <w:rsid w:val="00387610"/>
    <w:rsid w:val="0039076D"/>
    <w:rsid w:val="00391C7C"/>
    <w:rsid w:val="00391DC2"/>
    <w:rsid w:val="00393369"/>
    <w:rsid w:val="0039371F"/>
    <w:rsid w:val="00394922"/>
    <w:rsid w:val="00395C2F"/>
    <w:rsid w:val="00396D43"/>
    <w:rsid w:val="003973D3"/>
    <w:rsid w:val="003A01E5"/>
    <w:rsid w:val="003A0892"/>
    <w:rsid w:val="003A0CAB"/>
    <w:rsid w:val="003A117E"/>
    <w:rsid w:val="003A1674"/>
    <w:rsid w:val="003A19D4"/>
    <w:rsid w:val="003A214D"/>
    <w:rsid w:val="003A449E"/>
    <w:rsid w:val="003A529A"/>
    <w:rsid w:val="003A567D"/>
    <w:rsid w:val="003A6B70"/>
    <w:rsid w:val="003A6BF3"/>
    <w:rsid w:val="003A71F3"/>
    <w:rsid w:val="003B0C9B"/>
    <w:rsid w:val="003B13E4"/>
    <w:rsid w:val="003B19F5"/>
    <w:rsid w:val="003B1A71"/>
    <w:rsid w:val="003B227C"/>
    <w:rsid w:val="003B286E"/>
    <w:rsid w:val="003B2FDB"/>
    <w:rsid w:val="003B5E9C"/>
    <w:rsid w:val="003B63C5"/>
    <w:rsid w:val="003B6590"/>
    <w:rsid w:val="003B764A"/>
    <w:rsid w:val="003C27CC"/>
    <w:rsid w:val="003C2A17"/>
    <w:rsid w:val="003C3A7F"/>
    <w:rsid w:val="003C3DD8"/>
    <w:rsid w:val="003C3E63"/>
    <w:rsid w:val="003C41F9"/>
    <w:rsid w:val="003C4A44"/>
    <w:rsid w:val="003C565D"/>
    <w:rsid w:val="003C6E36"/>
    <w:rsid w:val="003C794C"/>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46F7"/>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16B"/>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6F00"/>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2CD1"/>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D7D81"/>
    <w:rsid w:val="004E0535"/>
    <w:rsid w:val="004E12D8"/>
    <w:rsid w:val="004E156F"/>
    <w:rsid w:val="004E55DB"/>
    <w:rsid w:val="004E6A84"/>
    <w:rsid w:val="004E7146"/>
    <w:rsid w:val="004E7695"/>
    <w:rsid w:val="004F3025"/>
    <w:rsid w:val="004F35D4"/>
    <w:rsid w:val="004F36B8"/>
    <w:rsid w:val="004F38AF"/>
    <w:rsid w:val="004F38E0"/>
    <w:rsid w:val="004F4CA0"/>
    <w:rsid w:val="004F68B1"/>
    <w:rsid w:val="004F75E9"/>
    <w:rsid w:val="00500904"/>
    <w:rsid w:val="0050123A"/>
    <w:rsid w:val="00501656"/>
    <w:rsid w:val="00501AD0"/>
    <w:rsid w:val="00501E53"/>
    <w:rsid w:val="00501F66"/>
    <w:rsid w:val="00502B2F"/>
    <w:rsid w:val="0050304F"/>
    <w:rsid w:val="0050350B"/>
    <w:rsid w:val="005035D0"/>
    <w:rsid w:val="005040A8"/>
    <w:rsid w:val="00504261"/>
    <w:rsid w:val="005043CE"/>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1283"/>
    <w:rsid w:val="0052293F"/>
    <w:rsid w:val="005237B2"/>
    <w:rsid w:val="00523C6A"/>
    <w:rsid w:val="00524203"/>
    <w:rsid w:val="005242A4"/>
    <w:rsid w:val="00524693"/>
    <w:rsid w:val="0052505D"/>
    <w:rsid w:val="005251A3"/>
    <w:rsid w:val="00525E4E"/>
    <w:rsid w:val="00526206"/>
    <w:rsid w:val="0052628F"/>
    <w:rsid w:val="00530006"/>
    <w:rsid w:val="005309E0"/>
    <w:rsid w:val="00530AD6"/>
    <w:rsid w:val="0053139B"/>
    <w:rsid w:val="00532C25"/>
    <w:rsid w:val="00532F67"/>
    <w:rsid w:val="00534BDF"/>
    <w:rsid w:val="0053607B"/>
    <w:rsid w:val="00536A00"/>
    <w:rsid w:val="0053749A"/>
    <w:rsid w:val="00537AFE"/>
    <w:rsid w:val="00537DAE"/>
    <w:rsid w:val="00540351"/>
    <w:rsid w:val="005404D9"/>
    <w:rsid w:val="00540F9B"/>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121F"/>
    <w:rsid w:val="0056241D"/>
    <w:rsid w:val="00563C5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130"/>
    <w:rsid w:val="00593925"/>
    <w:rsid w:val="00596015"/>
    <w:rsid w:val="0059605E"/>
    <w:rsid w:val="00596AB7"/>
    <w:rsid w:val="00596D7C"/>
    <w:rsid w:val="005A0397"/>
    <w:rsid w:val="005A1301"/>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182"/>
    <w:rsid w:val="005C6AF5"/>
    <w:rsid w:val="005C6F3E"/>
    <w:rsid w:val="005D01C6"/>
    <w:rsid w:val="005D0312"/>
    <w:rsid w:val="005D1909"/>
    <w:rsid w:val="005D1DE8"/>
    <w:rsid w:val="005D1EF4"/>
    <w:rsid w:val="005D2489"/>
    <w:rsid w:val="005D37D0"/>
    <w:rsid w:val="005D4CBC"/>
    <w:rsid w:val="005D589B"/>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337"/>
    <w:rsid w:val="00606459"/>
    <w:rsid w:val="00606613"/>
    <w:rsid w:val="00606922"/>
    <w:rsid w:val="006069D4"/>
    <w:rsid w:val="00607416"/>
    <w:rsid w:val="006076ED"/>
    <w:rsid w:val="00607FE2"/>
    <w:rsid w:val="00610069"/>
    <w:rsid w:val="006104BE"/>
    <w:rsid w:val="00610EA6"/>
    <w:rsid w:val="00611A5B"/>
    <w:rsid w:val="00613410"/>
    <w:rsid w:val="00613E29"/>
    <w:rsid w:val="0061427D"/>
    <w:rsid w:val="006144A1"/>
    <w:rsid w:val="00615008"/>
    <w:rsid w:val="00617986"/>
    <w:rsid w:val="00622D51"/>
    <w:rsid w:val="006230A6"/>
    <w:rsid w:val="00623B74"/>
    <w:rsid w:val="00623BE2"/>
    <w:rsid w:val="00623F6C"/>
    <w:rsid w:val="0062480E"/>
    <w:rsid w:val="006254A0"/>
    <w:rsid w:val="00625CF2"/>
    <w:rsid w:val="0062709B"/>
    <w:rsid w:val="006321D7"/>
    <w:rsid w:val="0063450D"/>
    <w:rsid w:val="00634C9C"/>
    <w:rsid w:val="00634D33"/>
    <w:rsid w:val="00634D6B"/>
    <w:rsid w:val="006350CE"/>
    <w:rsid w:val="0063569A"/>
    <w:rsid w:val="00636637"/>
    <w:rsid w:val="00636A07"/>
    <w:rsid w:val="006417E4"/>
    <w:rsid w:val="006420D2"/>
    <w:rsid w:val="006428C7"/>
    <w:rsid w:val="006435E9"/>
    <w:rsid w:val="00646291"/>
    <w:rsid w:val="006463C6"/>
    <w:rsid w:val="006467F5"/>
    <w:rsid w:val="0064698B"/>
    <w:rsid w:val="00647CC7"/>
    <w:rsid w:val="00650E95"/>
    <w:rsid w:val="00654179"/>
    <w:rsid w:val="006541D2"/>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BB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DCE"/>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4252"/>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7B0"/>
    <w:rsid w:val="00707988"/>
    <w:rsid w:val="00710548"/>
    <w:rsid w:val="00710D1C"/>
    <w:rsid w:val="00710E3C"/>
    <w:rsid w:val="00711109"/>
    <w:rsid w:val="0071316F"/>
    <w:rsid w:val="00713A16"/>
    <w:rsid w:val="00713F21"/>
    <w:rsid w:val="0071469E"/>
    <w:rsid w:val="00715FB5"/>
    <w:rsid w:val="00716C93"/>
    <w:rsid w:val="007171A6"/>
    <w:rsid w:val="00717300"/>
    <w:rsid w:val="0071799D"/>
    <w:rsid w:val="00717BD0"/>
    <w:rsid w:val="00717CFB"/>
    <w:rsid w:val="00722B75"/>
    <w:rsid w:val="00723BB2"/>
    <w:rsid w:val="00726088"/>
    <w:rsid w:val="00726240"/>
    <w:rsid w:val="00726FC2"/>
    <w:rsid w:val="00727775"/>
    <w:rsid w:val="00727965"/>
    <w:rsid w:val="00730921"/>
    <w:rsid w:val="00730B6A"/>
    <w:rsid w:val="00733E36"/>
    <w:rsid w:val="00735A84"/>
    <w:rsid w:val="00736D88"/>
    <w:rsid w:val="00736DD2"/>
    <w:rsid w:val="00736FE0"/>
    <w:rsid w:val="007371E8"/>
    <w:rsid w:val="0074046C"/>
    <w:rsid w:val="00741B65"/>
    <w:rsid w:val="0074243B"/>
    <w:rsid w:val="00742EC4"/>
    <w:rsid w:val="00743227"/>
    <w:rsid w:val="007436B5"/>
    <w:rsid w:val="0074681C"/>
    <w:rsid w:val="00746EC2"/>
    <w:rsid w:val="00747EB5"/>
    <w:rsid w:val="00750592"/>
    <w:rsid w:val="00750636"/>
    <w:rsid w:val="00750AA9"/>
    <w:rsid w:val="0075156E"/>
    <w:rsid w:val="00751DFD"/>
    <w:rsid w:val="0075426B"/>
    <w:rsid w:val="00755648"/>
    <w:rsid w:val="00756BA9"/>
    <w:rsid w:val="00757324"/>
    <w:rsid w:val="00757641"/>
    <w:rsid w:val="00760BE7"/>
    <w:rsid w:val="00764955"/>
    <w:rsid w:val="00765743"/>
    <w:rsid w:val="00767998"/>
    <w:rsid w:val="00770713"/>
    <w:rsid w:val="00770AB5"/>
    <w:rsid w:val="007716CD"/>
    <w:rsid w:val="00771AFC"/>
    <w:rsid w:val="00771D8D"/>
    <w:rsid w:val="007722B5"/>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4DAD"/>
    <w:rsid w:val="007A5DD9"/>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53B2"/>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925"/>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32B"/>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4A0"/>
    <w:rsid w:val="00816923"/>
    <w:rsid w:val="00816F77"/>
    <w:rsid w:val="0081734A"/>
    <w:rsid w:val="008176A0"/>
    <w:rsid w:val="0082079B"/>
    <w:rsid w:val="00820ED6"/>
    <w:rsid w:val="0082155D"/>
    <w:rsid w:val="00821EFD"/>
    <w:rsid w:val="008228C0"/>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4A99"/>
    <w:rsid w:val="008452FF"/>
    <w:rsid w:val="008468A9"/>
    <w:rsid w:val="00846A77"/>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4A4"/>
    <w:rsid w:val="008705BC"/>
    <w:rsid w:val="0087107F"/>
    <w:rsid w:val="00871139"/>
    <w:rsid w:val="00874AFC"/>
    <w:rsid w:val="00874E31"/>
    <w:rsid w:val="00875667"/>
    <w:rsid w:val="00875A42"/>
    <w:rsid w:val="00875F81"/>
    <w:rsid w:val="00876CEE"/>
    <w:rsid w:val="00880BDF"/>
    <w:rsid w:val="0088114C"/>
    <w:rsid w:val="00882BE2"/>
    <w:rsid w:val="0088437F"/>
    <w:rsid w:val="0088486D"/>
    <w:rsid w:val="008877F0"/>
    <w:rsid w:val="008904A8"/>
    <w:rsid w:val="00890A0E"/>
    <w:rsid w:val="00892103"/>
    <w:rsid w:val="0089236E"/>
    <w:rsid w:val="00894190"/>
    <w:rsid w:val="0089454D"/>
    <w:rsid w:val="00894863"/>
    <w:rsid w:val="00894AAF"/>
    <w:rsid w:val="00894B38"/>
    <w:rsid w:val="0089646D"/>
    <w:rsid w:val="008975A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1F0"/>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12A"/>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E7C18"/>
    <w:rsid w:val="008F01C1"/>
    <w:rsid w:val="008F109F"/>
    <w:rsid w:val="008F1483"/>
    <w:rsid w:val="008F1988"/>
    <w:rsid w:val="008F450F"/>
    <w:rsid w:val="008F6252"/>
    <w:rsid w:val="008F6D8C"/>
    <w:rsid w:val="008F78E2"/>
    <w:rsid w:val="009023F3"/>
    <w:rsid w:val="00902AB9"/>
    <w:rsid w:val="00902BA7"/>
    <w:rsid w:val="00902D27"/>
    <w:rsid w:val="0090383C"/>
    <w:rsid w:val="009039EC"/>
    <w:rsid w:val="00903F30"/>
    <w:rsid w:val="0090464B"/>
    <w:rsid w:val="00906019"/>
    <w:rsid w:val="00907AB7"/>
    <w:rsid w:val="0091011C"/>
    <w:rsid w:val="00910578"/>
    <w:rsid w:val="00910DE7"/>
    <w:rsid w:val="00911A8C"/>
    <w:rsid w:val="00912132"/>
    <w:rsid w:val="009129CA"/>
    <w:rsid w:val="00912AEC"/>
    <w:rsid w:val="009130B2"/>
    <w:rsid w:val="00914277"/>
    <w:rsid w:val="00914C75"/>
    <w:rsid w:val="0091547D"/>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4657"/>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46ABF"/>
    <w:rsid w:val="00953333"/>
    <w:rsid w:val="0095340A"/>
    <w:rsid w:val="009537EF"/>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42"/>
    <w:rsid w:val="00972C86"/>
    <w:rsid w:val="009745EB"/>
    <w:rsid w:val="00974A62"/>
    <w:rsid w:val="00975A73"/>
    <w:rsid w:val="00975BE0"/>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97ED3"/>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2B8"/>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2FAB"/>
    <w:rsid w:val="009F3C8C"/>
    <w:rsid w:val="009F41BD"/>
    <w:rsid w:val="009F6CFA"/>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814"/>
    <w:rsid w:val="00A15B4C"/>
    <w:rsid w:val="00A1610D"/>
    <w:rsid w:val="00A16589"/>
    <w:rsid w:val="00A165DC"/>
    <w:rsid w:val="00A17D17"/>
    <w:rsid w:val="00A21425"/>
    <w:rsid w:val="00A220A4"/>
    <w:rsid w:val="00A23C57"/>
    <w:rsid w:val="00A247D5"/>
    <w:rsid w:val="00A24A41"/>
    <w:rsid w:val="00A261EA"/>
    <w:rsid w:val="00A26FF7"/>
    <w:rsid w:val="00A27535"/>
    <w:rsid w:val="00A310A7"/>
    <w:rsid w:val="00A315D8"/>
    <w:rsid w:val="00A32303"/>
    <w:rsid w:val="00A34063"/>
    <w:rsid w:val="00A345B6"/>
    <w:rsid w:val="00A3496C"/>
    <w:rsid w:val="00A3540A"/>
    <w:rsid w:val="00A35E07"/>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272B"/>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4584"/>
    <w:rsid w:val="00A65E08"/>
    <w:rsid w:val="00A65FE7"/>
    <w:rsid w:val="00A6600A"/>
    <w:rsid w:val="00A6697D"/>
    <w:rsid w:val="00A66A2D"/>
    <w:rsid w:val="00A66AC4"/>
    <w:rsid w:val="00A679AE"/>
    <w:rsid w:val="00A700F6"/>
    <w:rsid w:val="00A70C39"/>
    <w:rsid w:val="00A70C9F"/>
    <w:rsid w:val="00A70FE2"/>
    <w:rsid w:val="00A711C6"/>
    <w:rsid w:val="00A71FB5"/>
    <w:rsid w:val="00A724EE"/>
    <w:rsid w:val="00A737C3"/>
    <w:rsid w:val="00A73C28"/>
    <w:rsid w:val="00A74D3D"/>
    <w:rsid w:val="00A74D5D"/>
    <w:rsid w:val="00A7728F"/>
    <w:rsid w:val="00A7730B"/>
    <w:rsid w:val="00A81541"/>
    <w:rsid w:val="00A829AE"/>
    <w:rsid w:val="00A830E4"/>
    <w:rsid w:val="00A83131"/>
    <w:rsid w:val="00A83C9E"/>
    <w:rsid w:val="00A83DED"/>
    <w:rsid w:val="00A84863"/>
    <w:rsid w:val="00A84A62"/>
    <w:rsid w:val="00A84AE4"/>
    <w:rsid w:val="00A95D95"/>
    <w:rsid w:val="00A96028"/>
    <w:rsid w:val="00A96047"/>
    <w:rsid w:val="00A96103"/>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223A"/>
    <w:rsid w:val="00AB2895"/>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6B75"/>
    <w:rsid w:val="00AD748B"/>
    <w:rsid w:val="00AD7B20"/>
    <w:rsid w:val="00AE1920"/>
    <w:rsid w:val="00AE263B"/>
    <w:rsid w:val="00AE2973"/>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D4B"/>
    <w:rsid w:val="00B0669E"/>
    <w:rsid w:val="00B06739"/>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511D"/>
    <w:rsid w:val="00B251E0"/>
    <w:rsid w:val="00B25B64"/>
    <w:rsid w:val="00B269CD"/>
    <w:rsid w:val="00B26BC6"/>
    <w:rsid w:val="00B2755B"/>
    <w:rsid w:val="00B27A42"/>
    <w:rsid w:val="00B27BC4"/>
    <w:rsid w:val="00B27ED6"/>
    <w:rsid w:val="00B30883"/>
    <w:rsid w:val="00B31042"/>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54B2"/>
    <w:rsid w:val="00B571E6"/>
    <w:rsid w:val="00B5746F"/>
    <w:rsid w:val="00B57B50"/>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33C3"/>
    <w:rsid w:val="00B75449"/>
    <w:rsid w:val="00B75BF7"/>
    <w:rsid w:val="00B76396"/>
    <w:rsid w:val="00B80B0E"/>
    <w:rsid w:val="00B817CF"/>
    <w:rsid w:val="00B83272"/>
    <w:rsid w:val="00B83858"/>
    <w:rsid w:val="00B83D62"/>
    <w:rsid w:val="00B83E56"/>
    <w:rsid w:val="00B84A28"/>
    <w:rsid w:val="00B852FF"/>
    <w:rsid w:val="00B85D48"/>
    <w:rsid w:val="00B86174"/>
    <w:rsid w:val="00B867EB"/>
    <w:rsid w:val="00B87B19"/>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469"/>
    <w:rsid w:val="00BC4775"/>
    <w:rsid w:val="00BC546C"/>
    <w:rsid w:val="00BC7413"/>
    <w:rsid w:val="00BC753C"/>
    <w:rsid w:val="00BD09AF"/>
    <w:rsid w:val="00BD136C"/>
    <w:rsid w:val="00BD2BD5"/>
    <w:rsid w:val="00BD4745"/>
    <w:rsid w:val="00BD5B3C"/>
    <w:rsid w:val="00BD75ED"/>
    <w:rsid w:val="00BE07A9"/>
    <w:rsid w:val="00BE084D"/>
    <w:rsid w:val="00BE098D"/>
    <w:rsid w:val="00BE428C"/>
    <w:rsid w:val="00BE4A6C"/>
    <w:rsid w:val="00BE5491"/>
    <w:rsid w:val="00BE5718"/>
    <w:rsid w:val="00BE57C1"/>
    <w:rsid w:val="00BF01F5"/>
    <w:rsid w:val="00BF1176"/>
    <w:rsid w:val="00BF46A7"/>
    <w:rsid w:val="00BF4ADB"/>
    <w:rsid w:val="00BF4D96"/>
    <w:rsid w:val="00BF5230"/>
    <w:rsid w:val="00BF6307"/>
    <w:rsid w:val="00BF7A28"/>
    <w:rsid w:val="00BF7CCE"/>
    <w:rsid w:val="00C02269"/>
    <w:rsid w:val="00C02E19"/>
    <w:rsid w:val="00C04072"/>
    <w:rsid w:val="00C04C2F"/>
    <w:rsid w:val="00C05690"/>
    <w:rsid w:val="00C1090C"/>
    <w:rsid w:val="00C1209D"/>
    <w:rsid w:val="00C1429F"/>
    <w:rsid w:val="00C144DB"/>
    <w:rsid w:val="00C159C7"/>
    <w:rsid w:val="00C15B26"/>
    <w:rsid w:val="00C16CCA"/>
    <w:rsid w:val="00C176A9"/>
    <w:rsid w:val="00C17705"/>
    <w:rsid w:val="00C177AD"/>
    <w:rsid w:val="00C20D8D"/>
    <w:rsid w:val="00C21574"/>
    <w:rsid w:val="00C21766"/>
    <w:rsid w:val="00C22D61"/>
    <w:rsid w:val="00C22F8D"/>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0F8"/>
    <w:rsid w:val="00C472B8"/>
    <w:rsid w:val="00C473C0"/>
    <w:rsid w:val="00C4748D"/>
    <w:rsid w:val="00C47A0B"/>
    <w:rsid w:val="00C47E19"/>
    <w:rsid w:val="00C502C7"/>
    <w:rsid w:val="00C50375"/>
    <w:rsid w:val="00C51574"/>
    <w:rsid w:val="00C52673"/>
    <w:rsid w:val="00C53124"/>
    <w:rsid w:val="00C53B2E"/>
    <w:rsid w:val="00C540A7"/>
    <w:rsid w:val="00C544AC"/>
    <w:rsid w:val="00C572B0"/>
    <w:rsid w:val="00C57831"/>
    <w:rsid w:val="00C57DD2"/>
    <w:rsid w:val="00C604CA"/>
    <w:rsid w:val="00C60B6A"/>
    <w:rsid w:val="00C61216"/>
    <w:rsid w:val="00C6160A"/>
    <w:rsid w:val="00C63D6E"/>
    <w:rsid w:val="00C63E60"/>
    <w:rsid w:val="00C648F3"/>
    <w:rsid w:val="00C64DE5"/>
    <w:rsid w:val="00C652F5"/>
    <w:rsid w:val="00C65711"/>
    <w:rsid w:val="00C66943"/>
    <w:rsid w:val="00C66AC4"/>
    <w:rsid w:val="00C67D38"/>
    <w:rsid w:val="00C7029E"/>
    <w:rsid w:val="00C721C5"/>
    <w:rsid w:val="00C72B08"/>
    <w:rsid w:val="00C73211"/>
    <w:rsid w:val="00C74BAB"/>
    <w:rsid w:val="00C74D7D"/>
    <w:rsid w:val="00C75849"/>
    <w:rsid w:val="00C76ECD"/>
    <w:rsid w:val="00C77235"/>
    <w:rsid w:val="00C77262"/>
    <w:rsid w:val="00C80D99"/>
    <w:rsid w:val="00C80F82"/>
    <w:rsid w:val="00C80FDF"/>
    <w:rsid w:val="00C81180"/>
    <w:rsid w:val="00C83500"/>
    <w:rsid w:val="00C84D18"/>
    <w:rsid w:val="00C84E04"/>
    <w:rsid w:val="00C855FA"/>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01C"/>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990"/>
    <w:rsid w:val="00CA7A8A"/>
    <w:rsid w:val="00CA7C77"/>
    <w:rsid w:val="00CB0071"/>
    <w:rsid w:val="00CB0925"/>
    <w:rsid w:val="00CB265C"/>
    <w:rsid w:val="00CB3759"/>
    <w:rsid w:val="00CB4540"/>
    <w:rsid w:val="00CB4601"/>
    <w:rsid w:val="00CB6222"/>
    <w:rsid w:val="00CB69F4"/>
    <w:rsid w:val="00CB6D6E"/>
    <w:rsid w:val="00CB72E9"/>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05CD"/>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1F94"/>
    <w:rsid w:val="00D021F0"/>
    <w:rsid w:val="00D02779"/>
    <w:rsid w:val="00D02CAD"/>
    <w:rsid w:val="00D02D75"/>
    <w:rsid w:val="00D042B0"/>
    <w:rsid w:val="00D05AFA"/>
    <w:rsid w:val="00D05BAA"/>
    <w:rsid w:val="00D05DDD"/>
    <w:rsid w:val="00D05F6E"/>
    <w:rsid w:val="00D07484"/>
    <w:rsid w:val="00D07805"/>
    <w:rsid w:val="00D07D43"/>
    <w:rsid w:val="00D10578"/>
    <w:rsid w:val="00D12FE3"/>
    <w:rsid w:val="00D13B7A"/>
    <w:rsid w:val="00D13D02"/>
    <w:rsid w:val="00D14493"/>
    <w:rsid w:val="00D15748"/>
    <w:rsid w:val="00D157A5"/>
    <w:rsid w:val="00D15DB9"/>
    <w:rsid w:val="00D1691B"/>
    <w:rsid w:val="00D16DDB"/>
    <w:rsid w:val="00D16F5C"/>
    <w:rsid w:val="00D21346"/>
    <w:rsid w:val="00D21E36"/>
    <w:rsid w:val="00D22B63"/>
    <w:rsid w:val="00D22C4B"/>
    <w:rsid w:val="00D22F7C"/>
    <w:rsid w:val="00D230C7"/>
    <w:rsid w:val="00D232B6"/>
    <w:rsid w:val="00D23E7D"/>
    <w:rsid w:val="00D2405F"/>
    <w:rsid w:val="00D245CF"/>
    <w:rsid w:val="00D25404"/>
    <w:rsid w:val="00D255B9"/>
    <w:rsid w:val="00D26738"/>
    <w:rsid w:val="00D27566"/>
    <w:rsid w:val="00D27F2E"/>
    <w:rsid w:val="00D30C7F"/>
    <w:rsid w:val="00D317DB"/>
    <w:rsid w:val="00D33AF3"/>
    <w:rsid w:val="00D33F15"/>
    <w:rsid w:val="00D35CFC"/>
    <w:rsid w:val="00D363DD"/>
    <w:rsid w:val="00D36935"/>
    <w:rsid w:val="00D36BD8"/>
    <w:rsid w:val="00D41187"/>
    <w:rsid w:val="00D412EF"/>
    <w:rsid w:val="00D41BA9"/>
    <w:rsid w:val="00D41DD9"/>
    <w:rsid w:val="00D4409C"/>
    <w:rsid w:val="00D4449D"/>
    <w:rsid w:val="00D4571F"/>
    <w:rsid w:val="00D458DA"/>
    <w:rsid w:val="00D46FE7"/>
    <w:rsid w:val="00D47217"/>
    <w:rsid w:val="00D5082C"/>
    <w:rsid w:val="00D5092F"/>
    <w:rsid w:val="00D52376"/>
    <w:rsid w:val="00D52531"/>
    <w:rsid w:val="00D534BD"/>
    <w:rsid w:val="00D54475"/>
    <w:rsid w:val="00D546AD"/>
    <w:rsid w:val="00D55A9E"/>
    <w:rsid w:val="00D55D20"/>
    <w:rsid w:val="00D57CF1"/>
    <w:rsid w:val="00D60272"/>
    <w:rsid w:val="00D612C2"/>
    <w:rsid w:val="00D61E40"/>
    <w:rsid w:val="00D64E3B"/>
    <w:rsid w:val="00D654A1"/>
    <w:rsid w:val="00D658B3"/>
    <w:rsid w:val="00D70AAC"/>
    <w:rsid w:val="00D73F21"/>
    <w:rsid w:val="00D73FC3"/>
    <w:rsid w:val="00D743BF"/>
    <w:rsid w:val="00D745E0"/>
    <w:rsid w:val="00D74DF1"/>
    <w:rsid w:val="00D75B98"/>
    <w:rsid w:val="00D76AA3"/>
    <w:rsid w:val="00D8032A"/>
    <w:rsid w:val="00D8053F"/>
    <w:rsid w:val="00D80604"/>
    <w:rsid w:val="00D80D4F"/>
    <w:rsid w:val="00D80EF9"/>
    <w:rsid w:val="00D812EC"/>
    <w:rsid w:val="00D81F03"/>
    <w:rsid w:val="00D832A7"/>
    <w:rsid w:val="00D83F0F"/>
    <w:rsid w:val="00D85758"/>
    <w:rsid w:val="00D86717"/>
    <w:rsid w:val="00D923B5"/>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554"/>
    <w:rsid w:val="00DC0895"/>
    <w:rsid w:val="00DC0F27"/>
    <w:rsid w:val="00DC1348"/>
    <w:rsid w:val="00DC1AC9"/>
    <w:rsid w:val="00DC25BD"/>
    <w:rsid w:val="00DC4714"/>
    <w:rsid w:val="00DC6214"/>
    <w:rsid w:val="00DC69E0"/>
    <w:rsid w:val="00DC6B79"/>
    <w:rsid w:val="00DC782B"/>
    <w:rsid w:val="00DD01AE"/>
    <w:rsid w:val="00DD0754"/>
    <w:rsid w:val="00DD1A2E"/>
    <w:rsid w:val="00DD1EAC"/>
    <w:rsid w:val="00DD1FA7"/>
    <w:rsid w:val="00DD3F9F"/>
    <w:rsid w:val="00DD4A01"/>
    <w:rsid w:val="00DD54FD"/>
    <w:rsid w:val="00DD6F04"/>
    <w:rsid w:val="00DD7A02"/>
    <w:rsid w:val="00DE0993"/>
    <w:rsid w:val="00DE5A13"/>
    <w:rsid w:val="00DE5C50"/>
    <w:rsid w:val="00DE7179"/>
    <w:rsid w:val="00DF0886"/>
    <w:rsid w:val="00DF156F"/>
    <w:rsid w:val="00DF1C35"/>
    <w:rsid w:val="00DF24E3"/>
    <w:rsid w:val="00DF2873"/>
    <w:rsid w:val="00DF32EB"/>
    <w:rsid w:val="00DF3ADE"/>
    <w:rsid w:val="00DF3D63"/>
    <w:rsid w:val="00DF4960"/>
    <w:rsid w:val="00DF5425"/>
    <w:rsid w:val="00DF58B3"/>
    <w:rsid w:val="00DF7042"/>
    <w:rsid w:val="00DF782C"/>
    <w:rsid w:val="00DF79B5"/>
    <w:rsid w:val="00E02CEA"/>
    <w:rsid w:val="00E030A0"/>
    <w:rsid w:val="00E03253"/>
    <w:rsid w:val="00E04F63"/>
    <w:rsid w:val="00E0549C"/>
    <w:rsid w:val="00E05704"/>
    <w:rsid w:val="00E06106"/>
    <w:rsid w:val="00E06E27"/>
    <w:rsid w:val="00E075A1"/>
    <w:rsid w:val="00E079A9"/>
    <w:rsid w:val="00E10462"/>
    <w:rsid w:val="00E10661"/>
    <w:rsid w:val="00E107CB"/>
    <w:rsid w:val="00E11A2C"/>
    <w:rsid w:val="00E124E3"/>
    <w:rsid w:val="00E1252B"/>
    <w:rsid w:val="00E12E68"/>
    <w:rsid w:val="00E14812"/>
    <w:rsid w:val="00E14DE9"/>
    <w:rsid w:val="00E15DDE"/>
    <w:rsid w:val="00E169D7"/>
    <w:rsid w:val="00E1781D"/>
    <w:rsid w:val="00E17F19"/>
    <w:rsid w:val="00E20253"/>
    <w:rsid w:val="00E2031F"/>
    <w:rsid w:val="00E204DA"/>
    <w:rsid w:val="00E218E4"/>
    <w:rsid w:val="00E2314C"/>
    <w:rsid w:val="00E2339E"/>
    <w:rsid w:val="00E234FF"/>
    <w:rsid w:val="00E24491"/>
    <w:rsid w:val="00E24884"/>
    <w:rsid w:val="00E24FEE"/>
    <w:rsid w:val="00E25773"/>
    <w:rsid w:val="00E263D2"/>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78E"/>
    <w:rsid w:val="00E52847"/>
    <w:rsid w:val="00E52A51"/>
    <w:rsid w:val="00E53933"/>
    <w:rsid w:val="00E55F2E"/>
    <w:rsid w:val="00E57556"/>
    <w:rsid w:val="00E577A1"/>
    <w:rsid w:val="00E57F6B"/>
    <w:rsid w:val="00E632FB"/>
    <w:rsid w:val="00E640C8"/>
    <w:rsid w:val="00E641A8"/>
    <w:rsid w:val="00E658AD"/>
    <w:rsid w:val="00E65E1B"/>
    <w:rsid w:val="00E66508"/>
    <w:rsid w:val="00E66C3B"/>
    <w:rsid w:val="00E673C1"/>
    <w:rsid w:val="00E70142"/>
    <w:rsid w:val="00E70CED"/>
    <w:rsid w:val="00E71327"/>
    <w:rsid w:val="00E7342C"/>
    <w:rsid w:val="00E737AC"/>
    <w:rsid w:val="00E74861"/>
    <w:rsid w:val="00E75A4B"/>
    <w:rsid w:val="00E76363"/>
    <w:rsid w:val="00E77A80"/>
    <w:rsid w:val="00E77AAA"/>
    <w:rsid w:val="00E80026"/>
    <w:rsid w:val="00E8022D"/>
    <w:rsid w:val="00E80569"/>
    <w:rsid w:val="00E807B4"/>
    <w:rsid w:val="00E82AFD"/>
    <w:rsid w:val="00E83C05"/>
    <w:rsid w:val="00E84C9B"/>
    <w:rsid w:val="00E84F00"/>
    <w:rsid w:val="00E857C0"/>
    <w:rsid w:val="00E85ED9"/>
    <w:rsid w:val="00E86164"/>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7A0"/>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2FA"/>
    <w:rsid w:val="00EC5747"/>
    <w:rsid w:val="00ED05AA"/>
    <w:rsid w:val="00ED1497"/>
    <w:rsid w:val="00ED14C6"/>
    <w:rsid w:val="00ED212B"/>
    <w:rsid w:val="00ED26DA"/>
    <w:rsid w:val="00ED2B38"/>
    <w:rsid w:val="00ED4270"/>
    <w:rsid w:val="00ED5224"/>
    <w:rsid w:val="00ED5D4A"/>
    <w:rsid w:val="00ED6C5A"/>
    <w:rsid w:val="00ED6EBF"/>
    <w:rsid w:val="00EE03E6"/>
    <w:rsid w:val="00EE212F"/>
    <w:rsid w:val="00EE28C8"/>
    <w:rsid w:val="00EE3E02"/>
    <w:rsid w:val="00EE4940"/>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29F2"/>
    <w:rsid w:val="00F02D4D"/>
    <w:rsid w:val="00F04218"/>
    <w:rsid w:val="00F04414"/>
    <w:rsid w:val="00F04717"/>
    <w:rsid w:val="00F06843"/>
    <w:rsid w:val="00F07F3D"/>
    <w:rsid w:val="00F10D32"/>
    <w:rsid w:val="00F11E97"/>
    <w:rsid w:val="00F121A4"/>
    <w:rsid w:val="00F12B88"/>
    <w:rsid w:val="00F1394D"/>
    <w:rsid w:val="00F14C80"/>
    <w:rsid w:val="00F175D0"/>
    <w:rsid w:val="00F178AF"/>
    <w:rsid w:val="00F17EEC"/>
    <w:rsid w:val="00F20FF1"/>
    <w:rsid w:val="00F22D23"/>
    <w:rsid w:val="00F23A81"/>
    <w:rsid w:val="00F2441C"/>
    <w:rsid w:val="00F24514"/>
    <w:rsid w:val="00F26957"/>
    <w:rsid w:val="00F31213"/>
    <w:rsid w:val="00F31CE1"/>
    <w:rsid w:val="00F32E27"/>
    <w:rsid w:val="00F32F33"/>
    <w:rsid w:val="00F33C26"/>
    <w:rsid w:val="00F33F2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57DFF"/>
    <w:rsid w:val="00F602AD"/>
    <w:rsid w:val="00F6120D"/>
    <w:rsid w:val="00F625D1"/>
    <w:rsid w:val="00F62937"/>
    <w:rsid w:val="00F631CA"/>
    <w:rsid w:val="00F63644"/>
    <w:rsid w:val="00F63DE0"/>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87462"/>
    <w:rsid w:val="00F90757"/>
    <w:rsid w:val="00F93D0B"/>
    <w:rsid w:val="00F94152"/>
    <w:rsid w:val="00F94DBC"/>
    <w:rsid w:val="00F95676"/>
    <w:rsid w:val="00F97EFB"/>
    <w:rsid w:val="00FA0685"/>
    <w:rsid w:val="00FA2A8C"/>
    <w:rsid w:val="00FA2C6C"/>
    <w:rsid w:val="00FA2E1D"/>
    <w:rsid w:val="00FA2FB9"/>
    <w:rsid w:val="00FA3936"/>
    <w:rsid w:val="00FA5F62"/>
    <w:rsid w:val="00FB09AB"/>
    <w:rsid w:val="00FB113E"/>
    <w:rsid w:val="00FB1BA2"/>
    <w:rsid w:val="00FB232E"/>
    <w:rsid w:val="00FB2570"/>
    <w:rsid w:val="00FB2839"/>
    <w:rsid w:val="00FB62B5"/>
    <w:rsid w:val="00FB79AA"/>
    <w:rsid w:val="00FB7EAD"/>
    <w:rsid w:val="00FC0D15"/>
    <w:rsid w:val="00FC2DBE"/>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A89"/>
    <w:rsid w:val="00FD7369"/>
    <w:rsid w:val="00FD73EE"/>
    <w:rsid w:val="00FD7976"/>
    <w:rsid w:val="00FE02BF"/>
    <w:rsid w:val="00FE0A73"/>
    <w:rsid w:val="00FE0FEB"/>
    <w:rsid w:val="00FE1C27"/>
    <w:rsid w:val="00FE249F"/>
    <w:rsid w:val="00FE2AE4"/>
    <w:rsid w:val="00FE3D33"/>
    <w:rsid w:val="00FE5C0F"/>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DE0743"/>
    <w:rsid w:val="021D6E5E"/>
    <w:rsid w:val="03107F16"/>
    <w:rsid w:val="03536DC9"/>
    <w:rsid w:val="036F6564"/>
    <w:rsid w:val="03B44D27"/>
    <w:rsid w:val="03B56484"/>
    <w:rsid w:val="05370FE1"/>
    <w:rsid w:val="05C018BB"/>
    <w:rsid w:val="07DC3699"/>
    <w:rsid w:val="08613ED7"/>
    <w:rsid w:val="08FE48C8"/>
    <w:rsid w:val="090C0806"/>
    <w:rsid w:val="098B0C04"/>
    <w:rsid w:val="09AA5678"/>
    <w:rsid w:val="0A5E4659"/>
    <w:rsid w:val="0AEB5FE9"/>
    <w:rsid w:val="0B605985"/>
    <w:rsid w:val="0BB56E84"/>
    <w:rsid w:val="0CA8710F"/>
    <w:rsid w:val="0E760B47"/>
    <w:rsid w:val="0E874A06"/>
    <w:rsid w:val="0EF228EA"/>
    <w:rsid w:val="0F763767"/>
    <w:rsid w:val="121F089B"/>
    <w:rsid w:val="125563FE"/>
    <w:rsid w:val="12687E9E"/>
    <w:rsid w:val="135E55DA"/>
    <w:rsid w:val="1466758C"/>
    <w:rsid w:val="180C51F5"/>
    <w:rsid w:val="183476CF"/>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2E04A46"/>
    <w:rsid w:val="338A14B1"/>
    <w:rsid w:val="33FE255E"/>
    <w:rsid w:val="347463DD"/>
    <w:rsid w:val="35CB4C4D"/>
    <w:rsid w:val="35EE17C2"/>
    <w:rsid w:val="3650579C"/>
    <w:rsid w:val="36612E47"/>
    <w:rsid w:val="37834C70"/>
    <w:rsid w:val="37AF6778"/>
    <w:rsid w:val="37F4568F"/>
    <w:rsid w:val="38A30185"/>
    <w:rsid w:val="39CE7FA5"/>
    <w:rsid w:val="3A014FDF"/>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5943162"/>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D766766"/>
    <w:rsid w:val="4EBE6F85"/>
    <w:rsid w:val="4F667E20"/>
    <w:rsid w:val="4F7C6FFC"/>
    <w:rsid w:val="4FF35FAD"/>
    <w:rsid w:val="509800C2"/>
    <w:rsid w:val="515A150F"/>
    <w:rsid w:val="52BF0F00"/>
    <w:rsid w:val="52FF2CD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7EDAF84"/>
    <w:rsid w:val="68B009A8"/>
    <w:rsid w:val="68F518A1"/>
    <w:rsid w:val="69127D3A"/>
    <w:rsid w:val="694B1853"/>
    <w:rsid w:val="6A93762C"/>
    <w:rsid w:val="6A996F13"/>
    <w:rsid w:val="6A9B2760"/>
    <w:rsid w:val="6BDD6BDD"/>
    <w:rsid w:val="6C011206"/>
    <w:rsid w:val="6C4130E2"/>
    <w:rsid w:val="6C6C4759"/>
    <w:rsid w:val="6C910893"/>
    <w:rsid w:val="6D6313BE"/>
    <w:rsid w:val="6EC5514E"/>
    <w:rsid w:val="6FBFC7D1"/>
    <w:rsid w:val="7070789C"/>
    <w:rsid w:val="70DD60FC"/>
    <w:rsid w:val="70FF71F1"/>
    <w:rsid w:val="723C10CA"/>
    <w:rsid w:val="7255060F"/>
    <w:rsid w:val="729F162E"/>
    <w:rsid w:val="743661B5"/>
    <w:rsid w:val="743F2A8B"/>
    <w:rsid w:val="7549288D"/>
    <w:rsid w:val="77460B34"/>
    <w:rsid w:val="777423E0"/>
    <w:rsid w:val="787C2959"/>
    <w:rsid w:val="7A2A774A"/>
    <w:rsid w:val="7BF94230"/>
    <w:rsid w:val="7C5D4075"/>
    <w:rsid w:val="7CCC6240"/>
    <w:rsid w:val="7D5B1D38"/>
    <w:rsid w:val="7F2F30B3"/>
    <w:rsid w:val="DFFFB748"/>
    <w:rsid w:val="FFFF8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2">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68"/>
    <w:qFormat/>
    <w:uiPriority w:val="0"/>
    <w:rPr>
      <w:rFonts w:ascii="仿宋_GB2312" w:eastAsia="仿宋_GB2312"/>
      <w:sz w:val="32"/>
    </w:rPr>
  </w:style>
  <w:style w:type="paragraph" w:styleId="23">
    <w:name w:val="index 7"/>
    <w:basedOn w:val="1"/>
    <w:next w:val="1"/>
    <w:qFormat/>
    <w:uiPriority w:val="0"/>
    <w:pPr>
      <w:ind w:left="2520"/>
    </w:p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2"/>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customStyle="1" w:styleId="104">
    <w:name w:val="列表段落1"/>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2"/>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2"/>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三级标题☆"/>
    <w:basedOn w:val="4"/>
    <w:qFormat/>
    <w:uiPriority w:val="0"/>
    <w:pPr>
      <w:keepLines w:val="0"/>
      <w:numPr>
        <w:ilvl w:val="2"/>
        <w:numId w:val="8"/>
      </w:numPr>
      <w:tabs>
        <w:tab w:val="left" w:pos="1701"/>
      </w:tabs>
      <w:adjustRightInd w:val="0"/>
      <w:snapToGrid w:val="0"/>
      <w:spacing w:before="0" w:after="0" w:line="360" w:lineRule="auto"/>
    </w:pPr>
    <w:rPr>
      <w:rFonts w:ascii="Times New Roman" w:hAnsi="Times New Roman"/>
      <w:b w:val="0"/>
      <w:sz w:val="24"/>
      <w:szCs w:val="24"/>
    </w:rPr>
  </w:style>
  <w:style w:type="paragraph" w:customStyle="1" w:styleId="270">
    <w:name w:val="甲方乙方☆"/>
    <w:basedOn w:val="1"/>
    <w:qFormat/>
    <w:uiPriority w:val="0"/>
    <w:pPr>
      <w:keepNext/>
      <w:adjustRightInd w:val="0"/>
      <w:snapToGrid w:val="0"/>
      <w:spacing w:line="360" w:lineRule="auto"/>
    </w:pPr>
    <w:rPr>
      <w:rFonts w:ascii="Times New Roman" w:hAnsi="Times New Roman"/>
      <w:sz w:val="24"/>
    </w:rPr>
  </w:style>
  <w:style w:type="paragraph" w:customStyle="1" w:styleId="271">
    <w:name w:val="二级子编号(1)☆"/>
    <w:basedOn w:val="270"/>
    <w:qFormat/>
    <w:uiPriority w:val="0"/>
    <w:pPr>
      <w:numPr>
        <w:ilvl w:val="0"/>
        <w:numId w:val="14"/>
      </w:numPr>
      <w:tabs>
        <w:tab w:val="left" w:pos="1701"/>
      </w:tabs>
    </w:pPr>
  </w:style>
  <w:style w:type="paragraph" w:customStyle="1" w:styleId="272">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3773</Words>
  <Characters>21512</Characters>
  <Lines>179</Lines>
  <Paragraphs>50</Paragraphs>
  <TotalTime>19</TotalTime>
  <ScaleCrop>false</ScaleCrop>
  <LinksUpToDate>false</LinksUpToDate>
  <CharactersWithSpaces>25235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2021-12-09T02:55:00Z</dcterms:created>
  <dc:creator>罗成</dc:creator>
  <cp:lastModifiedBy>刘小小呀</cp:lastModifiedBy>
  <cp:lastPrinted>2020-09-19T07:14:00Z</cp:lastPrinted>
  <dcterms:modified xsi:type="dcterms:W3CDTF">2024-11-28T09:19:31Z</dcterms:modified>
  <dc:title>竞争性谈判文件</dc:title>
  <cp:revision>521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2E0CD5C0DAB8345423C5476719CA0671_43</vt:lpwstr>
  </property>
</Properties>
</file>