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after="0" w:line="440" w:lineRule="exact"/>
        <w:jc w:val="center"/>
        <w:rPr>
          <w:rFonts w:hint="eastAsia" w:asciiTheme="majorEastAsia" w:hAnsiTheme="majorEastAsia" w:eastAsiaTheme="majorEastAsia"/>
          <w:color w:val="333333"/>
        </w:rPr>
      </w:pPr>
      <w:r>
        <w:rPr>
          <w:rFonts w:hint="eastAsia" w:asciiTheme="majorEastAsia" w:hAnsiTheme="majorEastAsia" w:eastAsiaTheme="majorEastAsia"/>
          <w:color w:val="333333"/>
          <w:u w:val="single"/>
          <w:lang w:val="en-US" w:eastAsia="zh-CN"/>
        </w:rPr>
        <w:t>zhu</w:t>
      </w:r>
      <w:r>
        <w:rPr>
          <w:rFonts w:hint="eastAsia" w:asciiTheme="majorEastAsia" w:hAnsiTheme="majorEastAsia" w:eastAsiaTheme="majorEastAsia"/>
          <w:color w:val="333333"/>
        </w:rPr>
        <w:t>重庆市人民政府口岸和物流办公室</w:t>
      </w:r>
    </w:p>
    <w:p>
      <w:pPr>
        <w:pStyle w:val="3"/>
        <w:shd w:val="clear" w:color="auto" w:fill="FFFFFF"/>
        <w:spacing w:before="0" w:after="0" w:line="440" w:lineRule="exact"/>
        <w:jc w:val="center"/>
        <w:rPr>
          <w:rFonts w:asciiTheme="majorEastAsia" w:hAnsiTheme="majorEastAsia" w:eastAsiaTheme="majorEastAsia"/>
          <w:color w:val="333333"/>
        </w:rPr>
      </w:pPr>
      <w:r>
        <w:rPr>
          <w:rFonts w:hint="eastAsia" w:asciiTheme="majorEastAsia" w:hAnsiTheme="majorEastAsia" w:eastAsiaTheme="majorEastAsia"/>
          <w:color w:val="333333"/>
        </w:rPr>
        <w:t>制作国际贸易改革成效相关宣传产品项目</w:t>
      </w:r>
    </w:p>
    <w:p>
      <w:pPr>
        <w:pStyle w:val="3"/>
        <w:shd w:val="clear" w:color="auto" w:fill="FFFFFF"/>
        <w:spacing w:before="0" w:after="0" w:line="440" w:lineRule="exact"/>
        <w:jc w:val="center"/>
        <w:rPr>
          <w:rFonts w:asciiTheme="majorEastAsia" w:hAnsiTheme="majorEastAsia" w:eastAsiaTheme="majorEastAsia"/>
          <w:color w:val="333333"/>
        </w:rPr>
      </w:pPr>
      <w:r>
        <w:rPr>
          <w:rFonts w:hint="eastAsia" w:asciiTheme="majorEastAsia" w:hAnsiTheme="majorEastAsia" w:eastAsiaTheme="majorEastAsia"/>
          <w:color w:val="333333"/>
        </w:rPr>
        <w:t>结果公告</w:t>
      </w:r>
    </w:p>
    <w:p>
      <w:pPr>
        <w:pStyle w:val="4"/>
        <w:shd w:val="clear" w:color="auto" w:fill="FFFFFF"/>
        <w:spacing w:before="0" w:after="0" w:line="460" w:lineRule="exact"/>
        <w:ind w:firstLine="480"/>
        <w:rPr>
          <w:rFonts w:asciiTheme="majorEastAsia" w:hAnsiTheme="majorEastAsia"/>
          <w:color w:val="333333"/>
          <w:sz w:val="24"/>
          <w:szCs w:val="24"/>
        </w:rPr>
      </w:pPr>
      <w:r>
        <w:rPr>
          <w:rFonts w:hint="eastAsia" w:asciiTheme="majorEastAsia" w:hAnsiTheme="majorEastAsia"/>
          <w:color w:val="333333"/>
          <w:sz w:val="24"/>
          <w:szCs w:val="24"/>
        </w:rPr>
        <w:t>一、项目编号：</w:t>
      </w:r>
      <w:r>
        <w:rPr>
          <w:rFonts w:asciiTheme="majorEastAsia" w:hAnsiTheme="majorEastAsia"/>
          <w:color w:val="333333"/>
          <w:sz w:val="24"/>
          <w:szCs w:val="24"/>
        </w:rPr>
        <w:t>SZFKAWLCG2024-010</w:t>
      </w:r>
    </w:p>
    <w:p>
      <w:pPr>
        <w:pStyle w:val="4"/>
        <w:shd w:val="clear" w:color="auto" w:fill="FFFFFF"/>
        <w:spacing w:before="0" w:after="0" w:line="460" w:lineRule="exact"/>
        <w:ind w:firstLine="482"/>
        <w:rPr>
          <w:rFonts w:asciiTheme="majorEastAsia" w:hAnsiTheme="majorEastAsia"/>
          <w:color w:val="333333"/>
          <w:sz w:val="24"/>
          <w:szCs w:val="24"/>
        </w:rPr>
      </w:pPr>
      <w:r>
        <w:rPr>
          <w:rFonts w:hint="eastAsia" w:asciiTheme="majorEastAsia" w:hAnsiTheme="majorEastAsia"/>
          <w:color w:val="333333"/>
          <w:sz w:val="24"/>
          <w:szCs w:val="24"/>
        </w:rPr>
        <w:t>二、项目名称：重庆市人民政府口岸和物流办公室制作国际贸易改革成效相关宣传产品项目</w:t>
      </w:r>
    </w:p>
    <w:p>
      <w:pPr>
        <w:pStyle w:val="4"/>
        <w:shd w:val="clear" w:color="auto" w:fill="FFFFFF"/>
        <w:spacing w:before="0" w:after="0" w:line="460" w:lineRule="exact"/>
        <w:ind w:firstLine="480"/>
        <w:rPr>
          <w:rFonts w:asciiTheme="majorEastAsia" w:hAnsiTheme="majorEastAsia"/>
          <w:color w:val="333333"/>
          <w:sz w:val="24"/>
          <w:szCs w:val="24"/>
        </w:rPr>
      </w:pPr>
      <w:r>
        <w:rPr>
          <w:rFonts w:hint="eastAsia" w:asciiTheme="majorEastAsia" w:hAnsiTheme="majorEastAsia"/>
          <w:color w:val="333333"/>
          <w:sz w:val="24"/>
          <w:szCs w:val="24"/>
        </w:rPr>
        <w:t>三、采购方式： 竞争性比选</w:t>
      </w:r>
    </w:p>
    <w:p>
      <w:pPr>
        <w:pStyle w:val="4"/>
        <w:shd w:val="clear" w:color="auto" w:fill="FFFFFF"/>
        <w:spacing w:before="0" w:after="0" w:line="460" w:lineRule="exact"/>
        <w:ind w:firstLine="480"/>
        <w:rPr>
          <w:rFonts w:asciiTheme="majorEastAsia" w:hAnsiTheme="majorEastAsia"/>
          <w:color w:val="333333"/>
          <w:sz w:val="24"/>
          <w:szCs w:val="24"/>
        </w:rPr>
      </w:pPr>
      <w:r>
        <w:rPr>
          <w:rFonts w:hint="eastAsia" w:asciiTheme="majorEastAsia" w:hAnsiTheme="majorEastAsia"/>
          <w:color w:val="333333"/>
          <w:sz w:val="24"/>
          <w:szCs w:val="24"/>
        </w:rPr>
        <w:t xml:space="preserve">四、评审日期： 2024年6月12日 </w:t>
      </w:r>
    </w:p>
    <w:p>
      <w:pPr>
        <w:pStyle w:val="4"/>
        <w:shd w:val="clear" w:color="auto" w:fill="FFFFFF"/>
        <w:spacing w:before="0" w:after="0" w:line="460" w:lineRule="exact"/>
        <w:ind w:firstLine="480"/>
        <w:rPr>
          <w:rFonts w:asciiTheme="majorEastAsia" w:hAnsiTheme="majorEastAsia"/>
          <w:color w:val="333333"/>
          <w:sz w:val="24"/>
          <w:szCs w:val="24"/>
        </w:rPr>
      </w:pPr>
      <w:r>
        <w:rPr>
          <w:rFonts w:hint="eastAsia" w:asciiTheme="majorEastAsia" w:hAnsiTheme="majorEastAsia"/>
          <w:color w:val="333333"/>
          <w:sz w:val="24"/>
          <w:szCs w:val="24"/>
        </w:rPr>
        <w:t>五、公告日期： 202</w:t>
      </w:r>
      <w:r>
        <w:rPr>
          <w:rFonts w:hint="eastAsia" w:asciiTheme="majorEastAsia" w:hAnsiTheme="majorEastAsia"/>
          <w:sz w:val="24"/>
          <w:szCs w:val="24"/>
        </w:rPr>
        <w:t xml:space="preserve">4年6月13日 </w:t>
      </w:r>
    </w:p>
    <w:p>
      <w:pPr>
        <w:pStyle w:val="4"/>
        <w:shd w:val="clear" w:color="auto" w:fill="FFFFFF"/>
        <w:spacing w:before="0" w:after="0" w:line="460" w:lineRule="exact"/>
        <w:ind w:firstLine="480"/>
        <w:rPr>
          <w:rFonts w:asciiTheme="majorEastAsia" w:hAnsiTheme="majorEastAsia"/>
          <w:color w:val="333333"/>
          <w:sz w:val="24"/>
          <w:szCs w:val="24"/>
        </w:rPr>
      </w:pPr>
      <w:r>
        <w:rPr>
          <w:rFonts w:hint="eastAsia" w:asciiTheme="majorEastAsia" w:hAnsiTheme="majorEastAsia"/>
          <w:color w:val="333333"/>
          <w:sz w:val="24"/>
          <w:szCs w:val="24"/>
        </w:rPr>
        <w:t>六、成交结果</w:t>
      </w:r>
    </w:p>
    <w:tbl>
      <w:tblPr>
        <w:tblStyle w:val="9"/>
        <w:tblW w:w="5000" w:type="pct"/>
        <w:tblCellSpacing w:w="15" w:type="dxa"/>
        <w:tblInd w:w="0" w:type="dxa"/>
        <w:tblLayout w:type="autofit"/>
        <w:tblCellMar>
          <w:top w:w="15" w:type="dxa"/>
          <w:left w:w="15" w:type="dxa"/>
          <w:bottom w:w="15" w:type="dxa"/>
          <w:right w:w="15" w:type="dxa"/>
        </w:tblCellMar>
      </w:tblPr>
      <w:tblGrid>
        <w:gridCol w:w="4030"/>
        <w:gridCol w:w="1558"/>
        <w:gridCol w:w="2838"/>
      </w:tblGrid>
      <w:tr>
        <w:trPr>
          <w:trHeight w:val="276" w:hRule="atLeast"/>
          <w:tblCellSpacing w:w="15" w:type="dxa"/>
        </w:trPr>
        <w:tc>
          <w:tcPr>
            <w:tcW w:w="2365"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cs="宋体" w:asciiTheme="majorEastAsia" w:hAnsiTheme="majorEastAsia" w:eastAsiaTheme="majorEastAsia"/>
                <w:b/>
                <w:bCs/>
                <w:color w:val="333333"/>
                <w:sz w:val="24"/>
                <w:szCs w:val="24"/>
              </w:rPr>
            </w:pPr>
            <w:r>
              <w:rPr>
                <w:rFonts w:hint="eastAsia" w:asciiTheme="majorEastAsia" w:hAnsiTheme="majorEastAsia" w:eastAsiaTheme="majorEastAsia"/>
                <w:b/>
                <w:bCs/>
                <w:color w:val="333333"/>
                <w:sz w:val="24"/>
                <w:szCs w:val="24"/>
              </w:rPr>
              <w:t>项目内容</w:t>
            </w:r>
          </w:p>
        </w:tc>
        <w:tc>
          <w:tcPr>
            <w:tcW w:w="907"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cs="宋体" w:asciiTheme="majorEastAsia" w:hAnsiTheme="majorEastAsia" w:eastAsiaTheme="majorEastAsia"/>
                <w:b/>
                <w:bCs/>
                <w:color w:val="333333"/>
                <w:sz w:val="24"/>
                <w:szCs w:val="24"/>
              </w:rPr>
            </w:pPr>
            <w:r>
              <w:rPr>
                <w:rFonts w:hint="eastAsia" w:asciiTheme="majorEastAsia" w:hAnsiTheme="majorEastAsia" w:eastAsiaTheme="majorEastAsia"/>
                <w:b/>
                <w:bCs/>
                <w:color w:val="333333"/>
                <w:sz w:val="24"/>
                <w:szCs w:val="24"/>
              </w:rPr>
              <w:t>金额（元）</w:t>
            </w:r>
          </w:p>
        </w:tc>
        <w:tc>
          <w:tcPr>
            <w:tcW w:w="1657"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cs="宋体" w:asciiTheme="majorEastAsia" w:hAnsiTheme="majorEastAsia" w:eastAsiaTheme="majorEastAsia"/>
                <w:b/>
                <w:bCs/>
                <w:color w:val="333333"/>
                <w:sz w:val="24"/>
                <w:szCs w:val="24"/>
              </w:rPr>
            </w:pPr>
            <w:r>
              <w:rPr>
                <w:rFonts w:hint="eastAsia" w:asciiTheme="majorEastAsia" w:hAnsiTheme="majorEastAsia" w:eastAsiaTheme="majorEastAsia"/>
                <w:b/>
                <w:bCs/>
                <w:color w:val="333333"/>
                <w:sz w:val="24"/>
                <w:szCs w:val="24"/>
              </w:rPr>
              <w:t>第一成交候选人</w:t>
            </w:r>
          </w:p>
        </w:tc>
      </w:tr>
      <w:tr>
        <w:trPr>
          <w:trHeight w:val="637" w:hRule="atLeast"/>
          <w:tblCellSpacing w:w="15" w:type="dxa"/>
        </w:trPr>
        <w:tc>
          <w:tcPr>
            <w:tcW w:w="2365"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ajorEastAsia" w:hAnsiTheme="majorEastAsia" w:eastAsiaTheme="majorEastAsia"/>
                <w:color w:val="333333"/>
                <w:sz w:val="24"/>
                <w:szCs w:val="24"/>
              </w:rPr>
            </w:pPr>
            <w:r>
              <w:rPr>
                <w:rFonts w:hint="eastAsia" w:asciiTheme="majorEastAsia" w:hAnsiTheme="majorEastAsia" w:eastAsiaTheme="majorEastAsia"/>
                <w:color w:val="333333"/>
                <w:sz w:val="24"/>
                <w:szCs w:val="24"/>
              </w:rPr>
              <w:t>重庆市人民政府口岸和物流办公室</w:t>
            </w:r>
          </w:p>
          <w:p>
            <w:pPr>
              <w:spacing w:line="400" w:lineRule="exact"/>
              <w:jc w:val="center"/>
              <w:rPr>
                <w:rFonts w:asciiTheme="majorEastAsia" w:hAnsiTheme="majorEastAsia" w:eastAsiaTheme="majorEastAsia"/>
                <w:color w:val="333333"/>
                <w:sz w:val="24"/>
                <w:szCs w:val="24"/>
              </w:rPr>
            </w:pPr>
            <w:r>
              <w:rPr>
                <w:rFonts w:hint="eastAsia" w:asciiTheme="majorEastAsia" w:hAnsiTheme="majorEastAsia" w:eastAsiaTheme="majorEastAsia"/>
                <w:color w:val="333333"/>
                <w:sz w:val="24"/>
                <w:szCs w:val="24"/>
              </w:rPr>
              <w:t>制作国际贸易改革成效相关宣传产品项目</w:t>
            </w:r>
          </w:p>
        </w:tc>
        <w:tc>
          <w:tcPr>
            <w:tcW w:w="907"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ajorEastAsia" w:hAnsiTheme="majorEastAsia" w:eastAsiaTheme="majorEastAsia"/>
                <w:color w:val="333333"/>
                <w:sz w:val="24"/>
                <w:szCs w:val="24"/>
              </w:rPr>
            </w:pPr>
            <w:r>
              <w:rPr>
                <w:rFonts w:asciiTheme="majorEastAsia" w:hAnsiTheme="majorEastAsia" w:eastAsiaTheme="majorEastAsia"/>
                <w:color w:val="333333"/>
                <w:sz w:val="24"/>
                <w:szCs w:val="24"/>
              </w:rPr>
              <w:t>94800.00</w:t>
            </w:r>
          </w:p>
        </w:tc>
        <w:tc>
          <w:tcPr>
            <w:tcW w:w="1657"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ajorEastAsia" w:hAnsiTheme="majorEastAsia" w:eastAsiaTheme="majorEastAsia"/>
                <w:color w:val="333333"/>
                <w:sz w:val="24"/>
                <w:szCs w:val="24"/>
              </w:rPr>
            </w:pPr>
            <w:r>
              <w:rPr>
                <w:rFonts w:hint="eastAsia" w:asciiTheme="majorEastAsia" w:hAnsiTheme="majorEastAsia" w:eastAsiaTheme="majorEastAsia"/>
                <w:color w:val="333333"/>
                <w:sz w:val="24"/>
                <w:szCs w:val="24"/>
              </w:rPr>
              <w:t>剧意场（重庆）文化传播有限公司</w:t>
            </w:r>
          </w:p>
        </w:tc>
      </w:tr>
    </w:tbl>
    <w:p>
      <w:pPr>
        <w:pStyle w:val="4"/>
        <w:shd w:val="clear" w:color="auto" w:fill="FFFFFF"/>
        <w:spacing w:before="0" w:after="0" w:line="460" w:lineRule="exact"/>
        <w:ind w:firstLine="480"/>
        <w:rPr>
          <w:rFonts w:asciiTheme="majorEastAsia" w:hAnsiTheme="majorEastAsia"/>
          <w:color w:val="333333"/>
          <w:sz w:val="24"/>
          <w:szCs w:val="24"/>
        </w:rPr>
      </w:pPr>
      <w:r>
        <w:rPr>
          <w:rFonts w:hint="eastAsia" w:asciiTheme="majorEastAsia" w:hAnsiTheme="majorEastAsia"/>
          <w:color w:val="333333"/>
          <w:sz w:val="24"/>
          <w:szCs w:val="24"/>
        </w:rPr>
        <w:t>七、评审小组成员名单</w:t>
      </w:r>
    </w:p>
    <w:p>
      <w:pPr>
        <w:pStyle w:val="8"/>
        <w:shd w:val="clear" w:color="auto" w:fill="FFFFFF"/>
        <w:spacing w:before="0" w:beforeAutospacing="0" w:after="0" w:afterAutospacing="0" w:line="460" w:lineRule="exact"/>
        <w:ind w:firstLine="480"/>
        <w:rPr>
          <w:rFonts w:asciiTheme="majorEastAsia" w:hAnsiTheme="majorEastAsia" w:eastAsiaTheme="majorEastAsia"/>
          <w:color w:val="333333"/>
        </w:rPr>
      </w:pPr>
      <w:r>
        <w:rPr>
          <w:rFonts w:hint="eastAsia" w:asciiTheme="majorEastAsia" w:hAnsiTheme="majorEastAsia" w:eastAsiaTheme="majorEastAsia"/>
          <w:color w:val="333333"/>
        </w:rPr>
        <w:t>尤毅、叶海、邓诗</w:t>
      </w:r>
    </w:p>
    <w:p>
      <w:pPr>
        <w:pStyle w:val="4"/>
        <w:shd w:val="clear" w:color="auto" w:fill="FFFFFF"/>
        <w:spacing w:before="0" w:after="0" w:line="460" w:lineRule="exact"/>
        <w:ind w:firstLine="480"/>
        <w:rPr>
          <w:rFonts w:asciiTheme="majorEastAsia" w:hAnsiTheme="majorEastAsia"/>
          <w:color w:val="333333"/>
          <w:sz w:val="24"/>
          <w:szCs w:val="24"/>
        </w:rPr>
      </w:pPr>
      <w:r>
        <w:rPr>
          <w:rFonts w:hint="eastAsia" w:asciiTheme="majorEastAsia" w:hAnsiTheme="majorEastAsia"/>
          <w:color w:val="333333"/>
          <w:sz w:val="24"/>
          <w:szCs w:val="24"/>
        </w:rPr>
        <w:t>八、其他事项</w:t>
      </w:r>
    </w:p>
    <w:p>
      <w:pPr>
        <w:pStyle w:val="8"/>
        <w:shd w:val="clear" w:color="auto" w:fill="FFFFFF"/>
        <w:spacing w:before="0" w:beforeAutospacing="0" w:after="0" w:afterAutospacing="0" w:line="460" w:lineRule="exact"/>
        <w:ind w:firstLine="480"/>
        <w:rPr>
          <w:rFonts w:asciiTheme="majorEastAsia" w:hAnsiTheme="majorEastAsia" w:eastAsiaTheme="majorEastAsia"/>
          <w:color w:val="333333"/>
        </w:rPr>
      </w:pPr>
      <w:r>
        <w:rPr>
          <w:rFonts w:hint="eastAsia" w:asciiTheme="majorEastAsia" w:hAnsiTheme="majorEastAsia" w:eastAsiaTheme="majorEastAsia"/>
          <w:color w:val="333333"/>
        </w:rPr>
        <w:t>本项目公告期1个工作日</w:t>
      </w:r>
    </w:p>
    <w:p>
      <w:pPr>
        <w:pStyle w:val="4"/>
        <w:shd w:val="clear" w:color="auto" w:fill="FFFFFF"/>
        <w:spacing w:before="0" w:after="0" w:line="460" w:lineRule="exact"/>
        <w:ind w:firstLine="480"/>
        <w:rPr>
          <w:rFonts w:asciiTheme="majorEastAsia" w:hAnsiTheme="majorEastAsia"/>
          <w:color w:val="333333"/>
          <w:sz w:val="24"/>
          <w:szCs w:val="24"/>
        </w:rPr>
      </w:pPr>
      <w:r>
        <w:rPr>
          <w:rFonts w:hint="eastAsia" w:asciiTheme="majorEastAsia" w:hAnsiTheme="majorEastAsia"/>
          <w:color w:val="333333"/>
          <w:sz w:val="24"/>
          <w:szCs w:val="24"/>
        </w:rPr>
        <w:t>九、联系人</w:t>
      </w:r>
    </w:p>
    <w:p>
      <w:pPr>
        <w:snapToGrid w:val="0"/>
        <w:spacing w:line="460" w:lineRule="exact"/>
        <w:ind w:firstLine="480" w:firstLineChars="200"/>
        <w:rPr>
          <w:rFonts w:asciiTheme="majorEastAsia" w:hAnsiTheme="majorEastAsia" w:eastAsiaTheme="majorEastAsia"/>
          <w:color w:val="333333"/>
          <w:sz w:val="24"/>
          <w:szCs w:val="24"/>
        </w:rPr>
      </w:pPr>
      <w:r>
        <w:rPr>
          <w:rFonts w:hint="eastAsia" w:asciiTheme="majorEastAsia" w:hAnsiTheme="majorEastAsia" w:eastAsiaTheme="majorEastAsia"/>
          <w:color w:val="333333"/>
          <w:sz w:val="24"/>
          <w:szCs w:val="24"/>
        </w:rPr>
        <w:t>（一）采购人：重庆市人民政府口岸和物流办公室</w:t>
      </w:r>
    </w:p>
    <w:p>
      <w:pPr>
        <w:snapToGrid w:val="0"/>
        <w:spacing w:line="460" w:lineRule="exact"/>
        <w:ind w:firstLine="480" w:firstLineChars="200"/>
        <w:rPr>
          <w:rFonts w:hint="eastAsia" w:asciiTheme="majorEastAsia" w:hAnsiTheme="majorEastAsia" w:eastAsiaTheme="majorEastAsia"/>
          <w:color w:val="333333"/>
          <w:sz w:val="24"/>
          <w:szCs w:val="24"/>
        </w:rPr>
      </w:pPr>
      <w:r>
        <w:rPr>
          <w:rFonts w:hint="eastAsia" w:asciiTheme="majorEastAsia" w:hAnsiTheme="majorEastAsia" w:eastAsiaTheme="majorEastAsia"/>
          <w:color w:val="333333"/>
          <w:sz w:val="24"/>
          <w:szCs w:val="24"/>
        </w:rPr>
        <w:t>联系人：邓老师</w:t>
      </w:r>
    </w:p>
    <w:p>
      <w:pPr>
        <w:snapToGrid w:val="0"/>
        <w:spacing w:line="460" w:lineRule="exact"/>
        <w:ind w:firstLine="480" w:firstLineChars="200"/>
        <w:rPr>
          <w:rFonts w:hint="eastAsia" w:asciiTheme="majorEastAsia" w:hAnsiTheme="majorEastAsia" w:eastAsiaTheme="majorEastAsia"/>
          <w:color w:val="333333"/>
          <w:sz w:val="24"/>
          <w:szCs w:val="24"/>
        </w:rPr>
      </w:pPr>
      <w:r>
        <w:rPr>
          <w:rFonts w:hint="eastAsia" w:asciiTheme="majorEastAsia" w:hAnsiTheme="majorEastAsia" w:eastAsiaTheme="majorEastAsia"/>
          <w:color w:val="333333"/>
          <w:sz w:val="24"/>
          <w:szCs w:val="24"/>
        </w:rPr>
        <w:t>电  话：（023）63151935</w:t>
      </w:r>
      <w:bookmarkStart w:id="0" w:name="_GoBack"/>
      <w:bookmarkEnd w:id="0"/>
    </w:p>
    <w:p>
      <w:pPr>
        <w:snapToGrid w:val="0"/>
        <w:spacing w:line="460" w:lineRule="exact"/>
        <w:ind w:firstLine="480" w:firstLineChars="200"/>
        <w:rPr>
          <w:rFonts w:asciiTheme="majorEastAsia" w:hAnsiTheme="majorEastAsia" w:eastAsiaTheme="majorEastAsia"/>
          <w:color w:val="333333"/>
          <w:sz w:val="24"/>
          <w:szCs w:val="24"/>
        </w:rPr>
      </w:pPr>
      <w:r>
        <w:rPr>
          <w:rFonts w:hint="eastAsia" w:asciiTheme="majorEastAsia" w:hAnsiTheme="majorEastAsia" w:eastAsiaTheme="majorEastAsia"/>
          <w:color w:val="333333"/>
          <w:sz w:val="24"/>
          <w:szCs w:val="24"/>
        </w:rPr>
        <w:t>地  址： 重庆市渝北区青竹东路16号微易中心19楼</w:t>
      </w:r>
    </w:p>
    <w:p>
      <w:pPr>
        <w:snapToGrid w:val="0"/>
        <w:spacing w:line="460" w:lineRule="exact"/>
        <w:ind w:firstLine="480" w:firstLineChars="200"/>
        <w:rPr>
          <w:rFonts w:asciiTheme="majorEastAsia" w:hAnsiTheme="majorEastAsia" w:eastAsiaTheme="majorEastAsia"/>
          <w:color w:val="333333"/>
          <w:sz w:val="24"/>
          <w:szCs w:val="24"/>
        </w:rPr>
      </w:pPr>
      <w:r>
        <w:rPr>
          <w:rFonts w:hint="eastAsia" w:asciiTheme="majorEastAsia" w:hAnsiTheme="majorEastAsia" w:eastAsiaTheme="majorEastAsia"/>
          <w:color w:val="333333"/>
          <w:sz w:val="24"/>
          <w:szCs w:val="24"/>
        </w:rPr>
        <w:t>（二）采购代理机构：重庆市中基致信招标代理有限公司</w:t>
      </w:r>
    </w:p>
    <w:p>
      <w:pPr>
        <w:snapToGrid w:val="0"/>
        <w:spacing w:line="460" w:lineRule="exact"/>
        <w:ind w:firstLine="480" w:firstLineChars="200"/>
        <w:rPr>
          <w:rFonts w:asciiTheme="majorEastAsia" w:hAnsiTheme="majorEastAsia" w:eastAsiaTheme="majorEastAsia"/>
          <w:color w:val="333333"/>
          <w:sz w:val="24"/>
          <w:szCs w:val="24"/>
        </w:rPr>
      </w:pPr>
      <w:r>
        <w:rPr>
          <w:rFonts w:hint="eastAsia" w:asciiTheme="majorEastAsia" w:hAnsiTheme="majorEastAsia" w:eastAsiaTheme="majorEastAsia"/>
          <w:color w:val="333333"/>
          <w:sz w:val="24"/>
          <w:szCs w:val="24"/>
        </w:rPr>
        <w:t>联系人：游建伟、胡琳</w:t>
      </w:r>
    </w:p>
    <w:p>
      <w:pPr>
        <w:snapToGrid w:val="0"/>
        <w:spacing w:line="460" w:lineRule="exact"/>
        <w:ind w:firstLine="480" w:firstLineChars="200"/>
        <w:rPr>
          <w:rFonts w:asciiTheme="majorEastAsia" w:hAnsiTheme="majorEastAsia" w:eastAsiaTheme="majorEastAsia"/>
          <w:color w:val="333333"/>
          <w:sz w:val="24"/>
          <w:szCs w:val="24"/>
        </w:rPr>
      </w:pPr>
      <w:r>
        <w:rPr>
          <w:rFonts w:hint="eastAsia" w:asciiTheme="majorEastAsia" w:hAnsiTheme="majorEastAsia" w:eastAsiaTheme="majorEastAsia"/>
          <w:color w:val="333333"/>
          <w:sz w:val="24"/>
          <w:szCs w:val="24"/>
        </w:rPr>
        <w:t>电  话：（023）88758847、88758852</w:t>
      </w:r>
    </w:p>
    <w:p>
      <w:pPr>
        <w:snapToGrid w:val="0"/>
        <w:spacing w:line="460" w:lineRule="exact"/>
        <w:ind w:firstLine="480" w:firstLineChars="200"/>
        <w:rPr>
          <w:rFonts w:asciiTheme="majorEastAsia" w:hAnsiTheme="majorEastAsia" w:eastAsiaTheme="majorEastAsia"/>
          <w:color w:val="333333"/>
          <w:sz w:val="24"/>
          <w:szCs w:val="24"/>
        </w:rPr>
      </w:pPr>
      <w:r>
        <w:rPr>
          <w:rFonts w:hint="eastAsia" w:asciiTheme="majorEastAsia" w:hAnsiTheme="majorEastAsia" w:eastAsiaTheme="majorEastAsia"/>
          <w:color w:val="333333"/>
          <w:sz w:val="24"/>
          <w:szCs w:val="24"/>
        </w:rPr>
        <w:t>传  真：（023）88505947</w:t>
      </w:r>
    </w:p>
    <w:p>
      <w:pPr>
        <w:snapToGrid w:val="0"/>
        <w:spacing w:line="460" w:lineRule="exact"/>
        <w:ind w:firstLine="480" w:firstLineChars="200"/>
        <w:rPr>
          <w:rFonts w:asciiTheme="majorEastAsia" w:hAnsiTheme="majorEastAsia" w:eastAsiaTheme="majorEastAsia"/>
          <w:color w:val="333333"/>
          <w:sz w:val="24"/>
          <w:szCs w:val="24"/>
        </w:rPr>
      </w:pPr>
      <w:r>
        <w:rPr>
          <w:rFonts w:hint="eastAsia" w:asciiTheme="majorEastAsia" w:hAnsiTheme="majorEastAsia" w:eastAsiaTheme="majorEastAsia"/>
          <w:color w:val="333333"/>
          <w:sz w:val="24"/>
          <w:szCs w:val="24"/>
        </w:rPr>
        <w:t>地  址：重庆市渝北区财富大道2号财富大厦A座9楼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Arial">
    <w:panose1 w:val="020B0604020202090204"/>
    <w:charset w:val="00"/>
    <w:family w:val="swiss"/>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2C"/>
    <w:rsid w:val="00002A9C"/>
    <w:rsid w:val="000030B8"/>
    <w:rsid w:val="000119BC"/>
    <w:rsid w:val="000478B9"/>
    <w:rsid w:val="00055EFD"/>
    <w:rsid w:val="00063452"/>
    <w:rsid w:val="00084117"/>
    <w:rsid w:val="000922C8"/>
    <w:rsid w:val="000C2CDD"/>
    <w:rsid w:val="000D0D47"/>
    <w:rsid w:val="000D5515"/>
    <w:rsid w:val="00106AE1"/>
    <w:rsid w:val="00130A9B"/>
    <w:rsid w:val="0013458B"/>
    <w:rsid w:val="00156097"/>
    <w:rsid w:val="00156AA3"/>
    <w:rsid w:val="00160570"/>
    <w:rsid w:val="00166081"/>
    <w:rsid w:val="0019560C"/>
    <w:rsid w:val="001A1238"/>
    <w:rsid w:val="001A6E73"/>
    <w:rsid w:val="001B60B5"/>
    <w:rsid w:val="001F21FA"/>
    <w:rsid w:val="0020100C"/>
    <w:rsid w:val="00211BDF"/>
    <w:rsid w:val="00226FE4"/>
    <w:rsid w:val="002305D6"/>
    <w:rsid w:val="0023121E"/>
    <w:rsid w:val="00237A38"/>
    <w:rsid w:val="0025451E"/>
    <w:rsid w:val="00254AAB"/>
    <w:rsid w:val="0026231D"/>
    <w:rsid w:val="0026318B"/>
    <w:rsid w:val="002A275F"/>
    <w:rsid w:val="002B075D"/>
    <w:rsid w:val="00305CAE"/>
    <w:rsid w:val="00327D03"/>
    <w:rsid w:val="0033270F"/>
    <w:rsid w:val="00337B16"/>
    <w:rsid w:val="00351571"/>
    <w:rsid w:val="00355D54"/>
    <w:rsid w:val="00361A74"/>
    <w:rsid w:val="003831EF"/>
    <w:rsid w:val="00385348"/>
    <w:rsid w:val="00390C14"/>
    <w:rsid w:val="003940BB"/>
    <w:rsid w:val="00394A3F"/>
    <w:rsid w:val="003958C6"/>
    <w:rsid w:val="003A1F4B"/>
    <w:rsid w:val="003A20B4"/>
    <w:rsid w:val="003A568C"/>
    <w:rsid w:val="003B685D"/>
    <w:rsid w:val="003C11AC"/>
    <w:rsid w:val="00410188"/>
    <w:rsid w:val="00433879"/>
    <w:rsid w:val="00440352"/>
    <w:rsid w:val="004648F1"/>
    <w:rsid w:val="004903A7"/>
    <w:rsid w:val="004C3A11"/>
    <w:rsid w:val="004D762E"/>
    <w:rsid w:val="0050552F"/>
    <w:rsid w:val="00506EC4"/>
    <w:rsid w:val="0051357A"/>
    <w:rsid w:val="00557914"/>
    <w:rsid w:val="0057386B"/>
    <w:rsid w:val="0058349C"/>
    <w:rsid w:val="005850D4"/>
    <w:rsid w:val="005A0AF8"/>
    <w:rsid w:val="005A7CB2"/>
    <w:rsid w:val="005B2612"/>
    <w:rsid w:val="005C2B99"/>
    <w:rsid w:val="005D284C"/>
    <w:rsid w:val="005D2ABE"/>
    <w:rsid w:val="005D680E"/>
    <w:rsid w:val="005E203C"/>
    <w:rsid w:val="005F018C"/>
    <w:rsid w:val="00603E16"/>
    <w:rsid w:val="00605064"/>
    <w:rsid w:val="00610BF2"/>
    <w:rsid w:val="00615365"/>
    <w:rsid w:val="006338BA"/>
    <w:rsid w:val="006369E0"/>
    <w:rsid w:val="00671423"/>
    <w:rsid w:val="00672BDC"/>
    <w:rsid w:val="00677A5C"/>
    <w:rsid w:val="006A05F1"/>
    <w:rsid w:val="006B6DE1"/>
    <w:rsid w:val="006D02E6"/>
    <w:rsid w:val="007427BB"/>
    <w:rsid w:val="0074372C"/>
    <w:rsid w:val="0078122E"/>
    <w:rsid w:val="00787558"/>
    <w:rsid w:val="007A13D1"/>
    <w:rsid w:val="007B07D0"/>
    <w:rsid w:val="007B54B6"/>
    <w:rsid w:val="007C0F3D"/>
    <w:rsid w:val="007D231C"/>
    <w:rsid w:val="007D5056"/>
    <w:rsid w:val="007E2F32"/>
    <w:rsid w:val="007F6F4C"/>
    <w:rsid w:val="00803192"/>
    <w:rsid w:val="00811170"/>
    <w:rsid w:val="00842958"/>
    <w:rsid w:val="00854DEE"/>
    <w:rsid w:val="00854EFB"/>
    <w:rsid w:val="008615DE"/>
    <w:rsid w:val="008636CF"/>
    <w:rsid w:val="008A24FB"/>
    <w:rsid w:val="008A400D"/>
    <w:rsid w:val="008A68B2"/>
    <w:rsid w:val="008E2755"/>
    <w:rsid w:val="00952736"/>
    <w:rsid w:val="00987064"/>
    <w:rsid w:val="00997029"/>
    <w:rsid w:val="009A7298"/>
    <w:rsid w:val="009D766A"/>
    <w:rsid w:val="009E3367"/>
    <w:rsid w:val="009F59D4"/>
    <w:rsid w:val="00A01232"/>
    <w:rsid w:val="00A023C1"/>
    <w:rsid w:val="00A12285"/>
    <w:rsid w:val="00A14E68"/>
    <w:rsid w:val="00A16BB5"/>
    <w:rsid w:val="00A2600E"/>
    <w:rsid w:val="00A325E5"/>
    <w:rsid w:val="00A376C3"/>
    <w:rsid w:val="00A52899"/>
    <w:rsid w:val="00A66CDB"/>
    <w:rsid w:val="00A83AB5"/>
    <w:rsid w:val="00AC2408"/>
    <w:rsid w:val="00AC2ED7"/>
    <w:rsid w:val="00AC4B76"/>
    <w:rsid w:val="00B02BF1"/>
    <w:rsid w:val="00B270CA"/>
    <w:rsid w:val="00B3314C"/>
    <w:rsid w:val="00B37E45"/>
    <w:rsid w:val="00B45BB6"/>
    <w:rsid w:val="00B666B0"/>
    <w:rsid w:val="00B724DE"/>
    <w:rsid w:val="00B77854"/>
    <w:rsid w:val="00B95CD0"/>
    <w:rsid w:val="00BA3EB1"/>
    <w:rsid w:val="00BC1699"/>
    <w:rsid w:val="00BC3D20"/>
    <w:rsid w:val="00C35EAD"/>
    <w:rsid w:val="00C361A4"/>
    <w:rsid w:val="00C55DE3"/>
    <w:rsid w:val="00C5695A"/>
    <w:rsid w:val="00C720A6"/>
    <w:rsid w:val="00C76C64"/>
    <w:rsid w:val="00C916D4"/>
    <w:rsid w:val="00CB1355"/>
    <w:rsid w:val="00CC3D96"/>
    <w:rsid w:val="00CD1295"/>
    <w:rsid w:val="00CE6C27"/>
    <w:rsid w:val="00D106B5"/>
    <w:rsid w:val="00D20D01"/>
    <w:rsid w:val="00D3069B"/>
    <w:rsid w:val="00D41A33"/>
    <w:rsid w:val="00D66B10"/>
    <w:rsid w:val="00D6788D"/>
    <w:rsid w:val="00D844CD"/>
    <w:rsid w:val="00D86A66"/>
    <w:rsid w:val="00D93F99"/>
    <w:rsid w:val="00D94904"/>
    <w:rsid w:val="00DA6945"/>
    <w:rsid w:val="00DB6633"/>
    <w:rsid w:val="00DB797A"/>
    <w:rsid w:val="00E276B9"/>
    <w:rsid w:val="00E325F3"/>
    <w:rsid w:val="00E46D87"/>
    <w:rsid w:val="00E56F95"/>
    <w:rsid w:val="00E62D29"/>
    <w:rsid w:val="00E8635A"/>
    <w:rsid w:val="00E94E8D"/>
    <w:rsid w:val="00EA5CA7"/>
    <w:rsid w:val="00EC33B2"/>
    <w:rsid w:val="00ED55AD"/>
    <w:rsid w:val="00F0123D"/>
    <w:rsid w:val="00F14CB4"/>
    <w:rsid w:val="00F267B5"/>
    <w:rsid w:val="00F658C0"/>
    <w:rsid w:val="00F90B43"/>
    <w:rsid w:val="00FA2A56"/>
    <w:rsid w:val="00FC0F93"/>
    <w:rsid w:val="00FC4DD6"/>
    <w:rsid w:val="00FC741E"/>
    <w:rsid w:val="00FE0C5A"/>
    <w:rsid w:val="00FF43D7"/>
    <w:rsid w:val="FFBFE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22"/>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2 字符"/>
    <w:basedOn w:val="10"/>
    <w:link w:val="2"/>
    <w:qFormat/>
    <w:uiPriority w:val="9"/>
    <w:rPr>
      <w:rFonts w:ascii="宋体" w:hAnsi="宋体" w:eastAsia="宋体" w:cs="宋体"/>
      <w:b/>
      <w:bCs/>
      <w:kern w:val="0"/>
      <w:sz w:val="36"/>
      <w:szCs w:val="36"/>
    </w:rPr>
  </w:style>
  <w:style w:type="paragraph" w:customStyle="1" w:styleId="14">
    <w:name w:val="style2"/>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apple-converted-space"/>
    <w:basedOn w:val="10"/>
    <w:uiPriority w:val="0"/>
  </w:style>
  <w:style w:type="paragraph" w:customStyle="1" w:styleId="16">
    <w:name w:val="style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标题 4 字符"/>
    <w:basedOn w:val="10"/>
    <w:link w:val="4"/>
    <w:qFormat/>
    <w:uiPriority w:val="9"/>
    <w:rPr>
      <w:rFonts w:asciiTheme="majorHAnsi" w:hAnsiTheme="majorHAnsi" w:eastAsiaTheme="majorEastAsia" w:cstheme="majorBidi"/>
      <w:b/>
      <w:bCs/>
      <w:sz w:val="28"/>
      <w:szCs w:val="28"/>
    </w:rPr>
  </w:style>
  <w:style w:type="character" w:customStyle="1" w:styleId="18">
    <w:name w:val="标题 3 字符"/>
    <w:basedOn w:val="10"/>
    <w:link w:val="3"/>
    <w:qFormat/>
    <w:uiPriority w:val="9"/>
    <w:rPr>
      <w:b/>
      <w:bCs/>
      <w:sz w:val="32"/>
      <w:szCs w:val="32"/>
    </w:rPr>
  </w:style>
  <w:style w:type="character" w:customStyle="1" w:styleId="19">
    <w:name w:val="title_emph1"/>
    <w:qFormat/>
    <w:uiPriority w:val="0"/>
    <w:rPr>
      <w:rFonts w:hint="default" w:ascii="Arial" w:hAnsi="Arial"/>
      <w:b/>
      <w:sz w:val="20"/>
    </w:rPr>
  </w:style>
  <w:style w:type="character" w:customStyle="1" w:styleId="20">
    <w:name w:val="Table Text Char"/>
    <w:link w:val="21"/>
    <w:qFormat/>
    <w:uiPriority w:val="0"/>
    <w:rPr>
      <w:rFonts w:ascii="Arial" w:hAnsi="Arial"/>
      <w:sz w:val="18"/>
    </w:rPr>
  </w:style>
  <w:style w:type="paragraph" w:customStyle="1" w:styleId="21">
    <w:name w:val="Table Text"/>
    <w:link w:val="20"/>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22">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71</Words>
  <Characters>409</Characters>
  <Lines>3</Lines>
  <Paragraphs>1</Paragraphs>
  <TotalTime>96</TotalTime>
  <ScaleCrop>false</ScaleCrop>
  <LinksUpToDate>false</LinksUpToDate>
  <CharactersWithSpaces>479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2017-03-14T09:58:00Z</dcterms:created>
  <dc:creator>Administrator</dc:creator>
  <cp:lastModifiedBy>刘小小呀</cp:lastModifiedBy>
  <dcterms:modified xsi:type="dcterms:W3CDTF">2024-06-12T16:46:10Z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E11712F9916AB29D526069663C928C50_42</vt:lpwstr>
  </property>
</Properties>
</file>