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r>
        <w:rPr>
          <w:rFonts w:hint="eastAsia"/>
        </w:rPr>
        <w:t>采购代理机构备</w:t>
      </w:r>
      <w:r>
        <w:rPr>
          <w:rFonts w:hint="eastAsia" w:ascii="宋体" w:hAnsi="宋体"/>
        </w:rPr>
        <w:t>案号：</w:t>
      </w:r>
      <w:r>
        <w:rPr>
          <w:rFonts w:hint="eastAsia" w:ascii="宋体" w:hAnsi="宋体"/>
          <w:color w:val="000000"/>
        </w:rPr>
        <w:t>CQCBJQ2411-424</w:t>
      </w:r>
    </w:p>
    <w:p>
      <w:pPr>
        <w:jc w:val="center"/>
        <w:outlineLvl w:val="0"/>
        <w:rPr>
          <w:sz w:val="44"/>
          <w:szCs w:val="44"/>
        </w:rPr>
      </w:pPr>
    </w:p>
    <w:p>
      <w:pPr>
        <w:jc w:val="center"/>
        <w:outlineLvl w:val="0"/>
        <w:rPr>
          <w:rFonts w:hint="eastAsia" w:ascii="宋体" w:hAnsi="宋体"/>
          <w:b/>
          <w:sz w:val="48"/>
          <w:szCs w:val="48"/>
          <w:lang w:eastAsia="zh-CN"/>
        </w:rPr>
      </w:pPr>
      <w:r>
        <w:rPr>
          <w:rFonts w:hint="eastAsia" w:ascii="宋体" w:hAnsi="宋体"/>
          <w:b/>
          <w:sz w:val="48"/>
          <w:szCs w:val="48"/>
          <w:lang w:eastAsia="zh-CN"/>
        </w:rPr>
        <w:t>区块链技术在航运贸易单证流转中的</w:t>
      </w:r>
    </w:p>
    <w:p>
      <w:pPr>
        <w:jc w:val="center"/>
        <w:outlineLvl w:val="0"/>
        <w:rPr>
          <w:rFonts w:hint="eastAsia" w:ascii="宋体" w:hAnsi="宋体" w:eastAsia="宋体"/>
          <w:spacing w:val="80"/>
          <w:sz w:val="48"/>
          <w:szCs w:val="48"/>
          <w:lang w:eastAsia="zh-CN"/>
        </w:rPr>
      </w:pPr>
      <w:r>
        <w:rPr>
          <w:rFonts w:hint="eastAsia" w:ascii="宋体" w:hAnsi="宋体"/>
          <w:b/>
          <w:sz w:val="48"/>
          <w:szCs w:val="48"/>
          <w:lang w:eastAsia="zh-CN"/>
        </w:rPr>
        <w:t>价值研究</w:t>
      </w: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jc w:val="center"/>
        <w:outlineLvl w:val="0"/>
        <w:rPr>
          <w:spacing w:val="80"/>
          <w:sz w:val="72"/>
          <w:szCs w:val="72"/>
        </w:rPr>
      </w:pPr>
      <w:r>
        <w:rPr>
          <w:spacing w:val="80"/>
          <w:sz w:val="72"/>
          <w:szCs w:val="72"/>
        </w:rPr>
        <w:t>竞争性比选文件</w:t>
      </w:r>
    </w:p>
    <w:p>
      <w:pPr>
        <w:spacing w:line="700" w:lineRule="exact"/>
        <w:jc w:val="center"/>
        <w:rPr>
          <w:rFonts w:hint="default" w:eastAsia="宋体"/>
          <w:sz w:val="36"/>
          <w:szCs w:val="30"/>
          <w:lang w:val="en-US" w:eastAsia="zh-CN"/>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lang w:val="en-US" w:eastAsia="zh-CN"/>
        </w:rPr>
        <w:t>022</w:t>
      </w: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spacing w:line="700" w:lineRule="exact"/>
        <w:jc w:val="center"/>
        <w:rPr>
          <w:sz w:val="36"/>
          <w:szCs w:val="30"/>
        </w:rPr>
      </w:pPr>
    </w:p>
    <w:p>
      <w:pPr>
        <w:spacing w:line="700" w:lineRule="exact"/>
        <w:jc w:val="both"/>
        <w:rPr>
          <w:sz w:val="36"/>
          <w:szCs w:val="30"/>
        </w:rPr>
      </w:pPr>
      <w:bookmarkStart w:id="147" w:name="_GoBack"/>
      <w:bookmarkEnd w:id="147"/>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lang w:val="en-US" w:eastAsia="zh-CN"/>
        </w:rPr>
        <w:t>十一</w:t>
      </w:r>
      <w:r>
        <w:rPr>
          <w:sz w:val="36"/>
          <w:szCs w:val="30"/>
        </w:rPr>
        <w:t>月</w:t>
      </w:r>
    </w:p>
    <w:p>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pPr>
        <w:pStyle w:val="46"/>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_Toc8447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_Toc8447 \h </w:instrText>
      </w:r>
      <w:r>
        <w:fldChar w:fldCharType="separate"/>
      </w:r>
      <w:r>
        <w:t>- 3 -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_Toc22462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_Toc22462 \h </w:instrText>
      </w:r>
      <w:r>
        <w:fldChar w:fldCharType="separate"/>
      </w:r>
      <w:r>
        <w:t>- 3 -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_Toc18970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_Toc18970 \h </w:instrText>
      </w:r>
      <w:r>
        <w:fldChar w:fldCharType="separate"/>
      </w:r>
      <w:r>
        <w:t>- 3 -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_Toc3943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_Toc3943 \h </w:instrText>
      </w:r>
      <w:r>
        <w:fldChar w:fldCharType="separate"/>
      </w:r>
      <w:r>
        <w:t>- 3 -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_Toc2509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_Toc2509 \h </w:instrText>
      </w:r>
      <w:r>
        <w:fldChar w:fldCharType="separate"/>
      </w:r>
      <w:r>
        <w:t>- 3 -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_Toc7526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_Toc7526 \h </w:instrText>
      </w:r>
      <w:r>
        <w:fldChar w:fldCharType="separate"/>
      </w:r>
      <w:r>
        <w:t>- 4 -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_Toc29998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_Toc29998 \h </w:instrText>
      </w:r>
      <w:r>
        <w:fldChar w:fldCharType="separate"/>
      </w:r>
      <w:r>
        <w:t>- 5 -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_Toc9551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_Toc9551 \h </w:instrText>
      </w:r>
      <w:r>
        <w:fldChar w:fldCharType="separate"/>
      </w:r>
      <w:r>
        <w:t>- 5 -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_Toc24816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_Toc24816 \h </w:instrText>
      </w:r>
      <w:r>
        <w:fldChar w:fldCharType="separate"/>
      </w:r>
      <w:r>
        <w:t>- 6 -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_Toc12981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_Toc12981 \h </w:instrText>
      </w:r>
      <w:r>
        <w:fldChar w:fldCharType="separate"/>
      </w:r>
      <w:r>
        <w:t>- 7 -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_Toc13660 </w:instrText>
      </w:r>
      <w:r>
        <w:rPr>
          <w:rFonts w:hint="eastAsia" w:ascii="宋体" w:hAnsi="宋体"/>
          <w:szCs w:val="24"/>
        </w:rPr>
        <w:fldChar w:fldCharType="separate"/>
      </w:r>
      <w:r>
        <w:rPr>
          <w:rFonts w:hint="eastAsia" w:ascii="宋体" w:hAnsi="宋体"/>
          <w:szCs w:val="24"/>
          <w:lang w:val="en-US" w:eastAsia="zh-CN"/>
        </w:rPr>
        <w:t>一、</w:t>
      </w:r>
      <w:r>
        <w:rPr>
          <w:rFonts w:hint="eastAsia" w:ascii="宋体" w:hAnsi="宋体"/>
          <w:szCs w:val="24"/>
        </w:rPr>
        <w:t>项目概况</w:t>
      </w:r>
      <w:r>
        <w:tab/>
      </w:r>
      <w:r>
        <w:fldChar w:fldCharType="begin"/>
      </w:r>
      <w:r>
        <w:instrText xml:space="preserve"> PAGEREF _Toc13660 \h </w:instrText>
      </w:r>
      <w:r>
        <w:fldChar w:fldCharType="separate"/>
      </w:r>
      <w:r>
        <w:t>- 7 -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_Toc29622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_Toc29622 \h </w:instrText>
      </w:r>
      <w:r>
        <w:fldChar w:fldCharType="separate"/>
      </w:r>
      <w:r>
        <w:t>- 7 -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_Toc6955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_Toc6955 \h </w:instrText>
      </w:r>
      <w:r>
        <w:fldChar w:fldCharType="separate"/>
      </w:r>
      <w:r>
        <w:t>- 8 -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_Toc7409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_Toc7409 \h </w:instrText>
      </w:r>
      <w:r>
        <w:fldChar w:fldCharType="separate"/>
      </w:r>
      <w:r>
        <w:t>- 9 -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_Toc4131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_Toc4131 \h </w:instrText>
      </w:r>
      <w:r>
        <w:fldChar w:fldCharType="separate"/>
      </w:r>
      <w:r>
        <w:t>- 9 -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_Toc27180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_Toc27180 \h </w:instrText>
      </w:r>
      <w:r>
        <w:fldChar w:fldCharType="separate"/>
      </w:r>
      <w:r>
        <w:t>- 9 -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_Toc10660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_Toc10660 \h </w:instrText>
      </w:r>
      <w:r>
        <w:fldChar w:fldCharType="separate"/>
      </w:r>
      <w:r>
        <w:t>- 9 -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_Toc2357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_Toc2357 \h </w:instrText>
      </w:r>
      <w:r>
        <w:fldChar w:fldCharType="separate"/>
      </w:r>
      <w:r>
        <w:t>- 9 -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_Toc15491 </w:instrText>
      </w:r>
      <w:r>
        <w:rPr>
          <w:rFonts w:hint="eastAsia" w:ascii="宋体" w:hAnsi="宋体"/>
          <w:szCs w:val="24"/>
        </w:rPr>
        <w:fldChar w:fldCharType="separate"/>
      </w:r>
      <w:r>
        <w:rPr>
          <w:rFonts w:hint="eastAsia"/>
          <w:szCs w:val="24"/>
        </w:rPr>
        <w:t>五、其他</w:t>
      </w:r>
      <w:r>
        <w:tab/>
      </w:r>
      <w:r>
        <w:fldChar w:fldCharType="begin"/>
      </w:r>
      <w:r>
        <w:instrText xml:space="preserve"> PAGEREF _Toc15491 \h </w:instrText>
      </w:r>
      <w:r>
        <w:fldChar w:fldCharType="separate"/>
      </w:r>
      <w:r>
        <w:t>- 10 -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_Toc26821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_Toc26821 \h </w:instrText>
      </w:r>
      <w:r>
        <w:fldChar w:fldCharType="separate"/>
      </w:r>
      <w:r>
        <w:t>- 11 -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_Toc7403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_Toc7403 \h </w:instrText>
      </w:r>
      <w:r>
        <w:fldChar w:fldCharType="separate"/>
      </w:r>
      <w:r>
        <w:t>- 11 -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_Toc29543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_Toc29543 \h </w:instrText>
      </w:r>
      <w:r>
        <w:fldChar w:fldCharType="separate"/>
      </w:r>
      <w:r>
        <w:t>- 13 -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_Toc32283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_Toc32283 \h </w:instrText>
      </w:r>
      <w:r>
        <w:fldChar w:fldCharType="separate"/>
      </w:r>
      <w:r>
        <w:t>- 15 -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_Toc16053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_Toc16053 \h </w:instrText>
      </w:r>
      <w:r>
        <w:fldChar w:fldCharType="separate"/>
      </w:r>
      <w:r>
        <w:t>- 15 -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_Toc31032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_Toc31032 \h </w:instrText>
      </w:r>
      <w:r>
        <w:fldChar w:fldCharType="separate"/>
      </w:r>
      <w:r>
        <w:t>- 16 -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_Toc14699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_Toc14699 \h </w:instrText>
      </w:r>
      <w:r>
        <w:fldChar w:fldCharType="separate"/>
      </w:r>
      <w:r>
        <w:t>- 16 -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_Toc15247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_Toc15247 \h </w:instrText>
      </w:r>
      <w:r>
        <w:fldChar w:fldCharType="separate"/>
      </w:r>
      <w:r>
        <w:t>- 16 -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_Toc30493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_Toc30493 \h </w:instrText>
      </w:r>
      <w:r>
        <w:fldChar w:fldCharType="separate"/>
      </w:r>
      <w:r>
        <w:t>- 16 -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_Toc8180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_Toc8180 \h </w:instrText>
      </w:r>
      <w:r>
        <w:fldChar w:fldCharType="separate"/>
      </w:r>
      <w:r>
        <w:t>- 18 -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_Toc28310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_Toc28310 \h </w:instrText>
      </w:r>
      <w:r>
        <w:fldChar w:fldCharType="separate"/>
      </w:r>
      <w:r>
        <w:t>- 18 -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_Toc21548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_Toc21548 \h </w:instrText>
      </w:r>
      <w:r>
        <w:fldChar w:fldCharType="separate"/>
      </w:r>
      <w:r>
        <w:t>- 18 -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_Toc26661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_Toc26661 \h </w:instrText>
      </w:r>
      <w:r>
        <w:fldChar w:fldCharType="separate"/>
      </w:r>
      <w:r>
        <w:t>- 20 -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_Toc29307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_Toc29307 \h </w:instrText>
      </w:r>
      <w:r>
        <w:fldChar w:fldCharType="separate"/>
      </w:r>
      <w:r>
        <w:t>- 20 -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_Toc870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_Toc870 \h </w:instrText>
      </w:r>
      <w:r>
        <w:fldChar w:fldCharType="separate"/>
      </w:r>
      <w:r>
        <w:t>- 21 -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_Toc30927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_Toc30927 \h </w:instrText>
      </w:r>
      <w:r>
        <w:fldChar w:fldCharType="separate"/>
      </w:r>
      <w:r>
        <w:t>- 21 -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_Toc14411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_Toc14411 \h </w:instrText>
      </w:r>
      <w:r>
        <w:fldChar w:fldCharType="separate"/>
      </w:r>
      <w:r>
        <w:t>- 23 -</w:t>
      </w:r>
      <w:r>
        <w:fldChar w:fldCharType="end"/>
      </w:r>
      <w:r>
        <w:rPr>
          <w:rFonts w:hint="eastAsia" w:ascii="宋体" w:hAnsi="宋体"/>
          <w:szCs w:val="24"/>
        </w:rPr>
        <w:fldChar w:fldCharType="end"/>
      </w:r>
    </w:p>
    <w:p>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_Toc4641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_Toc4641 \h </w:instrText>
      </w:r>
      <w:r>
        <w:fldChar w:fldCharType="separate"/>
      </w:r>
      <w:r>
        <w:t>- 25 -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_Toc5488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_Toc5488 \h </w:instrText>
      </w:r>
      <w:r>
        <w:fldChar w:fldCharType="separate"/>
      </w:r>
      <w:r>
        <w:t>- 25 -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_Toc3074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_Toc3074 \h </w:instrText>
      </w:r>
      <w:r>
        <w:fldChar w:fldCharType="separate"/>
      </w:r>
      <w:r>
        <w:t>- 25 -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_Toc19963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_Toc19963 \h </w:instrText>
      </w:r>
      <w:r>
        <w:fldChar w:fldCharType="separate"/>
      </w:r>
      <w:r>
        <w:t>- 25 -</w:t>
      </w:r>
      <w:r>
        <w:fldChar w:fldCharType="end"/>
      </w:r>
      <w:r>
        <w:rPr>
          <w:rFonts w:hint="eastAsia" w:ascii="宋体" w:hAnsi="宋体"/>
          <w:szCs w:val="24"/>
        </w:rPr>
        <w:fldChar w:fldCharType="end"/>
      </w:r>
    </w:p>
    <w:p>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_Toc24947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_Toc24947 \h </w:instrText>
      </w:r>
      <w:r>
        <w:fldChar w:fldCharType="separate"/>
      </w:r>
      <w:r>
        <w:t>- 25 -</w:t>
      </w:r>
      <w:r>
        <w:fldChar w:fldCharType="end"/>
      </w:r>
      <w:r>
        <w:rPr>
          <w:rFonts w:hint="eastAsia" w:ascii="宋体" w:hAnsi="宋体"/>
          <w:szCs w:val="24"/>
        </w:rPr>
        <w:fldChar w:fldCharType="end"/>
      </w:r>
    </w:p>
    <w:p>
      <w:pPr>
        <w:pStyle w:val="46"/>
        <w:tabs>
          <w:tab w:val="right" w:leader="dot" w:pos="9402"/>
        </w:tabs>
        <w:spacing w:line="480" w:lineRule="exact"/>
        <w:ind w:left="560"/>
        <w:jc w:val="center"/>
        <w:rPr>
          <w:rFonts w:hint="eastAsia"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pPr>
        <w:pStyle w:val="4"/>
        <w:spacing w:line="360" w:lineRule="auto"/>
        <w:jc w:val="center"/>
        <w:rPr>
          <w:rFonts w:hint="eastAsia" w:ascii="宋体" w:hAnsi="宋体" w:eastAsia="宋体"/>
          <w:sz w:val="36"/>
          <w:szCs w:val="30"/>
        </w:rPr>
      </w:pPr>
      <w:bookmarkStart w:id="0" w:name="_Toc12789052"/>
      <w:bookmarkStart w:id="1" w:name="_Toc11641050"/>
      <w:bookmarkStart w:id="2" w:name="_Toc8447"/>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w:t>
      </w:r>
      <w:r>
        <w:rPr>
          <w:rFonts w:hint="eastAsia" w:ascii="宋体" w:hAnsi="宋体"/>
          <w:sz w:val="24"/>
          <w:szCs w:val="24"/>
          <w:lang w:eastAsia="zh-CN"/>
        </w:rPr>
        <w:t>区块链技术在航运贸易单证流转中的价值研究</w:t>
      </w:r>
      <w:r>
        <w:rPr>
          <w:rFonts w:hint="eastAsia" w:ascii="宋体" w:hAnsi="宋体"/>
          <w:sz w:val="24"/>
          <w:szCs w:val="24"/>
        </w:rPr>
        <w:t>（项目号：</w:t>
      </w:r>
      <w:r>
        <w:rPr>
          <w:rFonts w:ascii="宋体" w:hAnsi="宋体"/>
          <w:sz w:val="24"/>
          <w:szCs w:val="24"/>
        </w:rPr>
        <w:t>SZFKAWLCG2024-</w:t>
      </w:r>
      <w:r>
        <w:rPr>
          <w:rFonts w:hint="eastAsia" w:ascii="宋体" w:hAnsi="宋体"/>
          <w:sz w:val="24"/>
          <w:szCs w:val="24"/>
          <w:lang w:val="en-US" w:eastAsia="zh-CN"/>
        </w:rPr>
        <w:t>022</w:t>
      </w:r>
      <w:r>
        <w:rPr>
          <w:rFonts w:hint="eastAsia" w:ascii="宋体" w:hAnsi="宋体"/>
          <w:sz w:val="24"/>
          <w:szCs w:val="24"/>
        </w:rPr>
        <w:t>）进行竞争性比选采购。欢迎有资格的供应商前来参与比选。</w:t>
      </w:r>
    </w:p>
    <w:p>
      <w:pPr>
        <w:pStyle w:val="5"/>
        <w:spacing w:before="0" w:after="0" w:line="360" w:lineRule="auto"/>
        <w:ind w:firstLine="481" w:firstLineChars="200"/>
        <w:jc w:val="left"/>
        <w:rPr>
          <w:rFonts w:hint="eastAsia" w:ascii="宋体" w:hAnsi="宋体"/>
          <w:sz w:val="24"/>
          <w:szCs w:val="24"/>
        </w:rPr>
      </w:pPr>
      <w:bookmarkStart w:id="3" w:name="_Toc313893526"/>
      <w:bookmarkStart w:id="4" w:name="_Toc317775175"/>
      <w:bookmarkStart w:id="5" w:name="_Toc22462"/>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11"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111"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hint="eastAsia" w:ascii="宋体" w:hAnsi="宋体" w:eastAsia="宋体"/>
                <w:sz w:val="21"/>
                <w:szCs w:val="21"/>
                <w:lang w:eastAsia="zh-CN"/>
              </w:rPr>
            </w:pPr>
            <w:bookmarkStart w:id="8" w:name="_Hlk344477914"/>
            <w:r>
              <w:rPr>
                <w:rFonts w:hint="eastAsia" w:ascii="宋体" w:hAnsi="宋体"/>
                <w:sz w:val="21"/>
                <w:szCs w:val="21"/>
                <w:lang w:eastAsia="zh-CN"/>
              </w:rPr>
              <w:t>区块链技术在航运贸易单证流转中的价值研究</w:t>
            </w:r>
          </w:p>
        </w:tc>
        <w:tc>
          <w:tcPr>
            <w:tcW w:w="1134"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1276"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hint="eastAsia" w:ascii="宋体" w:hAnsi="宋体"/>
                <w:sz w:val="21"/>
                <w:szCs w:val="21"/>
              </w:rPr>
            </w:pPr>
            <w:r>
              <w:rPr>
                <w:rFonts w:hint="eastAsia" w:ascii="宋体" w:hAnsi="宋体"/>
                <w:sz w:val="21"/>
                <w:szCs w:val="21"/>
                <w:lang w:val="en-US" w:eastAsia="zh-CN"/>
              </w:rPr>
              <w:t>60</w:t>
            </w:r>
            <w:r>
              <w:rPr>
                <w:rFonts w:hint="eastAsia" w:ascii="宋体" w:hAnsi="宋体"/>
                <w:sz w:val="21"/>
                <w:szCs w:val="21"/>
              </w:rPr>
              <w:t>00</w:t>
            </w:r>
          </w:p>
        </w:tc>
        <w:tc>
          <w:tcPr>
            <w:tcW w:w="1276"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hint="eastAsia"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其他未列明行业</w:t>
            </w:r>
          </w:p>
        </w:tc>
      </w:tr>
      <w:bookmarkEnd w:id="8"/>
    </w:tbl>
    <w:p>
      <w:pPr>
        <w:pStyle w:val="5"/>
        <w:spacing w:before="0" w:after="0" w:line="360" w:lineRule="auto"/>
        <w:ind w:firstLine="481" w:firstLineChars="200"/>
        <w:rPr>
          <w:rFonts w:hint="eastAsia" w:ascii="宋体" w:hAnsi="宋体"/>
          <w:sz w:val="24"/>
          <w:szCs w:val="24"/>
        </w:rPr>
      </w:pPr>
      <w:bookmarkStart w:id="9" w:name="_Toc18970"/>
      <w:r>
        <w:rPr>
          <w:rFonts w:hint="eastAsia" w:ascii="宋体" w:hAnsi="宋体"/>
          <w:sz w:val="24"/>
          <w:szCs w:val="24"/>
        </w:rPr>
        <w:t>二、资金来源</w:t>
      </w:r>
      <w:bookmarkEnd w:id="9"/>
    </w:p>
    <w:p>
      <w:pPr>
        <w:snapToGrid w:val="0"/>
        <w:spacing w:line="360" w:lineRule="auto"/>
        <w:ind w:firstLine="480" w:firstLineChars="200"/>
        <w:rPr>
          <w:rFonts w:hint="eastAsia" w:ascii="宋体" w:hAnsi="宋体"/>
          <w:sz w:val="24"/>
          <w:szCs w:val="24"/>
        </w:rPr>
      </w:pPr>
      <w:r>
        <w:rPr>
          <w:rFonts w:hint="eastAsia" w:ascii="宋体" w:hAnsi="宋体"/>
          <w:sz w:val="24"/>
          <w:szCs w:val="24"/>
        </w:rPr>
        <w:t>财政预算资金,预算金额为</w:t>
      </w:r>
      <w:r>
        <w:rPr>
          <w:rFonts w:hint="eastAsia" w:ascii="宋体" w:hAnsi="宋体"/>
          <w:sz w:val="24"/>
          <w:szCs w:val="24"/>
          <w:lang w:val="en-US" w:eastAsia="zh-CN"/>
        </w:rPr>
        <w:t>30</w:t>
      </w:r>
      <w:r>
        <w:rPr>
          <w:rFonts w:hint="eastAsia" w:ascii="宋体" w:hAnsi="宋体"/>
          <w:sz w:val="24"/>
          <w:szCs w:val="24"/>
        </w:rPr>
        <w:t>万元。</w:t>
      </w:r>
    </w:p>
    <w:bookmarkEnd w:id="6"/>
    <w:bookmarkEnd w:id="7"/>
    <w:p>
      <w:pPr>
        <w:pStyle w:val="5"/>
        <w:spacing w:before="0" w:after="0" w:line="360" w:lineRule="auto"/>
        <w:ind w:firstLine="481" w:firstLineChars="200"/>
        <w:rPr>
          <w:rFonts w:hint="eastAsia" w:ascii="宋体" w:hAnsi="宋体"/>
          <w:sz w:val="24"/>
          <w:szCs w:val="24"/>
        </w:rPr>
      </w:pPr>
      <w:bookmarkStart w:id="10" w:name="_Toc3943"/>
      <w:bookmarkStart w:id="11" w:name="_Toc75258773"/>
      <w:r>
        <w:rPr>
          <w:rFonts w:hint="eastAsia" w:ascii="宋体" w:hAnsi="宋体"/>
          <w:sz w:val="24"/>
          <w:szCs w:val="24"/>
        </w:rPr>
        <w:t>三、供应商资格条件</w:t>
      </w:r>
      <w:bookmarkEnd w:id="10"/>
      <w:bookmarkEnd w:id="11"/>
    </w:p>
    <w:p>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pPr>
        <w:pStyle w:val="5"/>
        <w:spacing w:before="0" w:after="0" w:line="360" w:lineRule="auto"/>
        <w:ind w:firstLine="481" w:firstLineChars="200"/>
        <w:rPr>
          <w:rFonts w:hint="eastAsia" w:ascii="宋体" w:hAnsi="宋体"/>
          <w:sz w:val="24"/>
          <w:szCs w:val="24"/>
        </w:rPr>
      </w:pPr>
      <w:bookmarkStart w:id="13" w:name="_Toc2509"/>
      <w:r>
        <w:rPr>
          <w:rFonts w:hint="eastAsia" w:ascii="宋体" w:hAnsi="宋体"/>
          <w:sz w:val="24"/>
          <w:szCs w:val="24"/>
        </w:rPr>
        <w:t>四、比选有关说明</w:t>
      </w:r>
      <w:bookmarkEnd w:id="12"/>
      <w:bookmarkEnd w:id="13"/>
    </w:p>
    <w:p>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rFonts w:hint="default" w:eastAsia="宋体"/>
                <w:sz w:val="30"/>
                <w:szCs w:val="30"/>
                <w:lang w:val="en-US" w:eastAsia="zh-CN"/>
              </w:rPr>
            </w:pPr>
            <w:r>
              <w:rPr>
                <w:sz w:val="30"/>
                <w:szCs w:val="30"/>
              </w:rPr>
              <w:t>SZFKAWLCG2024-</w:t>
            </w:r>
            <w:r>
              <w:rPr>
                <w:rFonts w:hint="eastAsia"/>
                <w:sz w:val="30"/>
                <w:szCs w:val="30"/>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hint="eastAsia" w:eastAsia="宋体"/>
                <w:sz w:val="30"/>
                <w:szCs w:val="30"/>
                <w:lang w:eastAsia="zh-CN"/>
              </w:rPr>
            </w:pPr>
            <w:r>
              <w:rPr>
                <w:rFonts w:hint="eastAsia"/>
                <w:sz w:val="30"/>
                <w:szCs w:val="30"/>
                <w:lang w:eastAsia="zh-CN"/>
              </w:rPr>
              <w:t>区块链技术在航运贸易单证流转中的价值研究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1" w:firstLineChars="200"/>
        <w:rPr>
          <w:rFonts w:hint="eastAsia"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（三）竞争性比选文件报名期限：2024年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日-2024年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日（9:00-17:00）。</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1.售价：人民币 300 元（售后不退）</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3.按时签到。</w:t>
      </w:r>
    </w:p>
    <w:p>
      <w:pPr>
        <w:spacing w:line="360" w:lineRule="auto"/>
        <w:ind w:firstLine="480" w:firstLineChars="200"/>
        <w:rPr>
          <w:rFonts w:hint="eastAsia"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hint="eastAsia" w:ascii="宋体" w:hAnsi="宋体"/>
          <w:sz w:val="24"/>
          <w:szCs w:val="24"/>
        </w:rPr>
      </w:pPr>
      <w:r>
        <w:rPr>
          <w:rFonts w:hint="eastAsia" w:ascii="宋体" w:hAnsi="宋体"/>
          <w:sz w:val="24"/>
          <w:szCs w:val="24"/>
        </w:rPr>
        <w:t>（七）响应文件递交开始和截止时间：</w:t>
      </w: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pPr>
        <w:spacing w:line="360" w:lineRule="auto"/>
        <w:ind w:firstLine="480" w:firstLineChars="200"/>
        <w:rPr>
          <w:rFonts w:hint="eastAsia" w:ascii="宋体" w:hAnsi="宋体"/>
          <w:sz w:val="24"/>
          <w:szCs w:val="24"/>
        </w:rPr>
      </w:pPr>
      <w:r>
        <w:rPr>
          <w:rFonts w:hint="eastAsia" w:ascii="宋体" w:hAnsi="宋体"/>
          <w:sz w:val="24"/>
          <w:szCs w:val="24"/>
        </w:rPr>
        <w:t>（八）响应文件开启时间：2024年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pPr>
        <w:pStyle w:val="5"/>
        <w:spacing w:before="0" w:after="0" w:line="360" w:lineRule="auto"/>
        <w:ind w:firstLine="481" w:firstLineChars="200"/>
        <w:rPr>
          <w:rFonts w:hint="eastAsia" w:ascii="宋体" w:hAnsi="宋体"/>
          <w:sz w:val="24"/>
          <w:szCs w:val="24"/>
        </w:rPr>
      </w:pPr>
      <w:bookmarkStart w:id="14" w:name="_Toc373860294"/>
      <w:bookmarkStart w:id="15" w:name="_Toc75258775"/>
      <w:bookmarkStart w:id="16" w:name="_Toc7526"/>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hint="eastAsia"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咨询电话：（023）88758852。</w:t>
      </w:r>
    </w:p>
    <w:p>
      <w:pPr>
        <w:pStyle w:val="5"/>
        <w:spacing w:before="0" w:after="0" w:line="360" w:lineRule="auto"/>
        <w:ind w:firstLine="481" w:firstLineChars="200"/>
        <w:rPr>
          <w:rFonts w:hint="eastAsia" w:ascii="宋体" w:hAnsi="宋体"/>
          <w:sz w:val="24"/>
          <w:szCs w:val="24"/>
        </w:rPr>
      </w:pPr>
      <w:bookmarkStart w:id="18" w:name="_Toc75258776"/>
      <w:bookmarkStart w:id="19" w:name="_Toc29998"/>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hint="eastAsia"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5"/>
        <w:spacing w:before="0" w:after="0" w:line="360" w:lineRule="auto"/>
        <w:ind w:firstLine="481" w:firstLineChars="200"/>
        <w:rPr>
          <w:rFonts w:hint="eastAsia" w:ascii="宋体" w:hAnsi="宋体"/>
          <w:sz w:val="24"/>
          <w:szCs w:val="24"/>
        </w:rPr>
      </w:pPr>
      <w:bookmarkStart w:id="20" w:name="_Toc75258777"/>
      <w:bookmarkStart w:id="21" w:name="_Toc9551"/>
      <w:r>
        <w:rPr>
          <w:rFonts w:hint="eastAsia" w:ascii="宋体" w:hAnsi="宋体"/>
          <w:sz w:val="24"/>
          <w:szCs w:val="24"/>
        </w:rPr>
        <w:t>七、其它有关规定</w:t>
      </w:r>
      <w:bookmarkEnd w:id="20"/>
      <w:bookmarkEnd w:id="21"/>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1" w:firstLineChars="200"/>
        <w:rPr>
          <w:rFonts w:hint="eastAsia" w:ascii="宋体" w:hAnsi="宋体"/>
          <w:sz w:val="24"/>
          <w:szCs w:val="24"/>
        </w:rPr>
      </w:pPr>
      <w:bookmarkStart w:id="22" w:name="_Toc24816"/>
      <w:r>
        <w:rPr>
          <w:rFonts w:hint="eastAsia" w:ascii="宋体" w:hAnsi="宋体"/>
          <w:sz w:val="24"/>
          <w:szCs w:val="24"/>
        </w:rPr>
        <w:t>八、联系方式</w:t>
      </w:r>
      <w:bookmarkEnd w:id="22"/>
    </w:p>
    <w:p>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（一）采购人：重庆电子口岸中心</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eastAsia="zh-CN"/>
        </w:rPr>
        <w:t>蔡</w:t>
      </w:r>
      <w:r>
        <w:rPr>
          <w:rFonts w:hint="eastAsia" w:ascii="宋体" w:hAnsi="宋体"/>
          <w:sz w:val="24"/>
          <w:szCs w:val="24"/>
        </w:rPr>
        <w:t>老师</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13629732551</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地  址：重庆市渝北区青竹东路16号微易中心18楼</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联系人：游建伟、胡琳</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hint="eastAsia" w:ascii="宋体" w:hAnsi="宋体"/>
          <w:sz w:val="24"/>
          <w:szCs w:val="24"/>
        </w:rPr>
      </w:pPr>
      <w:bookmarkStart w:id="23" w:name="_Toc178828108"/>
      <w:bookmarkStart w:id="24" w:name="_Toc180051219"/>
      <w:bookmarkStart w:id="25" w:name="_Toc216163282"/>
      <w:r>
        <w:rPr>
          <w:rFonts w:hint="eastAsia" w:ascii="宋体" w:hAnsi="宋体"/>
          <w:sz w:val="24"/>
          <w:szCs w:val="24"/>
        </w:rPr>
        <w:t>地  址：重庆市渝北区财富大道2号财富大厦A座9楼</w:t>
      </w:r>
    </w:p>
    <w:bookmarkEnd w:id="23"/>
    <w:bookmarkEnd w:id="24"/>
    <w:bookmarkEnd w:id="25"/>
    <w:p>
      <w:pPr>
        <w:pStyle w:val="4"/>
        <w:pageBreakBefore/>
        <w:spacing w:line="360" w:lineRule="auto"/>
        <w:jc w:val="center"/>
        <w:rPr>
          <w:rFonts w:hint="eastAsia" w:ascii="宋体" w:hAnsi="宋体" w:eastAsia="宋体"/>
          <w:sz w:val="36"/>
          <w:szCs w:val="30"/>
        </w:rPr>
      </w:pPr>
      <w:bookmarkStart w:id="26" w:name="_Toc12981"/>
      <w:r>
        <w:rPr>
          <w:rFonts w:hint="eastAsia" w:ascii="宋体" w:hAnsi="宋体" w:eastAsia="宋体"/>
          <w:sz w:val="36"/>
          <w:szCs w:val="30"/>
        </w:rPr>
        <w:t>第二篇  采购技术和服务需求</w:t>
      </w:r>
      <w:bookmarkEnd w:id="26"/>
    </w:p>
    <w:p>
      <w:pPr>
        <w:snapToGrid w:val="0"/>
        <w:spacing w:line="360" w:lineRule="auto"/>
        <w:rPr>
          <w:rFonts w:hint="eastAsia"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5"/>
        <w:spacing w:before="0" w:after="0" w:line="360" w:lineRule="auto"/>
        <w:ind w:firstLine="481" w:firstLineChars="200"/>
        <w:rPr>
          <w:rFonts w:hint="eastAsia" w:ascii="宋体" w:hAnsi="宋体"/>
          <w:color w:val="000000"/>
          <w:sz w:val="24"/>
          <w:szCs w:val="24"/>
        </w:rPr>
      </w:pPr>
      <w:bookmarkStart w:id="30" w:name="_Toc13660"/>
      <w:bookmarkStart w:id="31" w:name="_Toc22485"/>
      <w:bookmarkStart w:id="32" w:name="_Toc42624888"/>
      <w:r>
        <w:rPr>
          <w:rFonts w:hint="eastAsia" w:ascii="宋体" w:hAnsi="宋体"/>
          <w:color w:val="000000"/>
          <w:sz w:val="24"/>
          <w:szCs w:val="24"/>
          <w:lang w:val="en-US" w:eastAsia="zh-CN"/>
        </w:rPr>
        <w:t>一、</w:t>
      </w:r>
      <w:r>
        <w:rPr>
          <w:rFonts w:hint="eastAsia" w:ascii="宋体" w:hAnsi="宋体"/>
          <w:color w:val="000000"/>
          <w:sz w:val="24"/>
          <w:szCs w:val="24"/>
        </w:rPr>
        <w:t>项目概况</w:t>
      </w:r>
      <w:bookmarkEnd w:id="30"/>
      <w:bookmarkEnd w:id="31"/>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航运贸易中，贸易单证是业务运转的基石，承担着货物收据、运输合约证明等重要功能，由于使用的纸质单证较多，存在流转速度慢、交易成本高和易篡改等问题。区块链数字单证具备不可篡改、去中心化、高透明度、可追溯等优势，能彻底改变改变纸质单证缺陷，将助推航运贸易数字化变革。结合航运贸易发展形势，</w:t>
      </w:r>
      <w:r>
        <w:rPr>
          <w:rFonts w:hint="eastAsia" w:ascii="宋体" w:hAnsi="宋体"/>
          <w:color w:val="000000"/>
          <w:sz w:val="24"/>
          <w:szCs w:val="24"/>
          <w:lang w:val="en-US" w:eastAsia="zh-CN"/>
        </w:rPr>
        <w:t>需</w:t>
      </w:r>
      <w:r>
        <w:rPr>
          <w:rFonts w:hint="eastAsia" w:ascii="宋体" w:hAnsi="宋体"/>
          <w:color w:val="000000"/>
          <w:sz w:val="24"/>
          <w:szCs w:val="24"/>
        </w:rPr>
        <w:t>开展相关研究，加强论证和挖掘区块链技术在解决传统单证缺陷方面的潜力，推动航运贸易高质量发展。</w:t>
      </w:r>
    </w:p>
    <w:p>
      <w:pPr>
        <w:pStyle w:val="5"/>
        <w:spacing w:before="0" w:after="0" w:line="360" w:lineRule="auto"/>
        <w:ind w:firstLine="481" w:firstLineChars="200"/>
        <w:rPr>
          <w:rFonts w:hint="eastAsia" w:ascii="宋体" w:hAnsi="宋体"/>
          <w:color w:val="000000"/>
          <w:sz w:val="24"/>
          <w:szCs w:val="24"/>
        </w:rPr>
      </w:pPr>
      <w:bookmarkStart w:id="33" w:name="_Toc14006"/>
      <w:bookmarkStart w:id="34" w:name="_Toc29622"/>
      <w:r>
        <w:rPr>
          <w:rFonts w:hint="eastAsia" w:ascii="宋体" w:hAnsi="宋体"/>
          <w:color w:val="000000"/>
          <w:sz w:val="24"/>
          <w:szCs w:val="24"/>
        </w:rPr>
        <w:t>※二、服务内容</w:t>
      </w:r>
      <w:bookmarkEnd w:id="33"/>
      <w:bookmarkEnd w:id="34"/>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（一）研究内容。</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点对区块链赋能贸易单证流转的现状和重难点进行梳理，研究探索区块链技术如何优化海运提单及内支线大小提单的转换流程，提高单证流转的效率与安全性。同时对航运贸易单证流转过程中涉外风险存在的场景、所涉及的种类进行收集和分析，提出基于区块链技术对航运贸易单证流转涉外风险防范化解的对策建议。</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（二）研究方法。</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1．实地调研。课题组深入调研，通过与相关政府部门、物流枢纽、物流园区及场所、重点企业走访座谈等，掌握实际情况、摸清实际诉求、了解难点痛点，</w:t>
      </w:r>
      <w:r>
        <w:rPr>
          <w:rFonts w:hint="eastAsia" w:ascii="宋体" w:hAnsi="宋体"/>
          <w:color w:val="000000"/>
          <w:sz w:val="24"/>
          <w:szCs w:val="24"/>
          <w:lang w:eastAsia="zh-CN"/>
        </w:rPr>
        <w:t>探索</w:t>
      </w:r>
      <w:r>
        <w:rPr>
          <w:rFonts w:hint="eastAsia" w:ascii="宋体" w:hAnsi="宋体"/>
          <w:color w:val="000000"/>
          <w:sz w:val="24"/>
          <w:szCs w:val="24"/>
        </w:rPr>
        <w:t>区块链技术对海运提单及内支线大小提单转换流程的创新研究。同时，对航运贸易单证流转过程中涉外风险情况的捕获，基于区块链技术，通过各节点数据的汇集，设置事前、事中、事后的预警机制，有效防范和降低航运过程中的风险发生，为分析研究的科学性、准确性奠定基础。</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文献查阅。通过多元化、多层次的信息搜集途径，为课题的论证提供坚实而丰富的参考依据。广泛收集国家及地方政府关于区块链技术应用、长江经济带发展规划、航运贸易政策导向等相关规划文件，针对性梳理近年来发布的关于长江航运、国际贸易单证流转、区块链技术创新应用的年度报告，</w:t>
      </w:r>
      <w:r>
        <w:rPr>
          <w:rFonts w:hint="eastAsia" w:ascii="宋体" w:hAnsi="宋体" w:eastAsia="宋体"/>
          <w:color w:val="000000"/>
          <w:sz w:val="24"/>
          <w:szCs w:val="24"/>
          <w:lang w:eastAsia="zh-CN"/>
        </w:rPr>
        <w:t>对</w:t>
      </w:r>
      <w:r>
        <w:rPr>
          <w:rFonts w:hint="eastAsia" w:ascii="宋体" w:hAnsi="宋体" w:eastAsia="宋体"/>
          <w:color w:val="000000"/>
          <w:sz w:val="24"/>
          <w:szCs w:val="24"/>
        </w:rPr>
        <w:t>这些报告中的数据与案例</w:t>
      </w:r>
      <w:r>
        <w:rPr>
          <w:rFonts w:hint="eastAsia" w:ascii="宋体" w:hAnsi="宋体" w:eastAsia="宋体"/>
          <w:color w:val="000000"/>
          <w:sz w:val="24"/>
          <w:szCs w:val="24"/>
          <w:lang w:eastAsia="zh-CN"/>
        </w:rPr>
        <w:t>进行</w:t>
      </w:r>
      <w:r>
        <w:rPr>
          <w:rFonts w:hint="eastAsia" w:ascii="宋体" w:hAnsi="宋体" w:eastAsia="宋体"/>
          <w:color w:val="000000"/>
          <w:sz w:val="24"/>
          <w:szCs w:val="24"/>
        </w:rPr>
        <w:t>分析</w:t>
      </w:r>
      <w:r>
        <w:rPr>
          <w:rFonts w:hint="eastAsia" w:ascii="宋体" w:hAnsi="宋体"/>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（三）研究进度。</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拟于2024年1</w:t>
      </w:r>
      <w:r>
        <w:rPr>
          <w:rFonts w:hint="default" w:ascii="宋体" w:hAnsi="宋体"/>
          <w:color w:val="000000"/>
          <w:sz w:val="24"/>
          <w:szCs w:val="24"/>
          <w:highlight w:val="none"/>
          <w:lang w:val="en"/>
        </w:rPr>
        <w:t>2</w:t>
      </w:r>
      <w:r>
        <w:rPr>
          <w:rFonts w:hint="eastAsia" w:ascii="宋体" w:hAnsi="宋体"/>
          <w:color w:val="000000"/>
          <w:sz w:val="24"/>
          <w:szCs w:val="24"/>
          <w:highlight w:val="none"/>
        </w:rPr>
        <w:t>月</w:t>
      </w:r>
      <w:r>
        <w:rPr>
          <w:rFonts w:hint="eastAsia" w:ascii="宋体" w:hAnsi="宋体"/>
          <w:color w:val="000000"/>
          <w:sz w:val="24"/>
          <w:szCs w:val="24"/>
          <w:highlight w:val="none"/>
          <w:lang w:eastAsia="zh-CN"/>
        </w:rPr>
        <w:t>初</w:t>
      </w:r>
      <w:r>
        <w:rPr>
          <w:rFonts w:hint="eastAsia" w:ascii="宋体" w:hAnsi="宋体"/>
          <w:color w:val="000000"/>
          <w:sz w:val="24"/>
          <w:szCs w:val="24"/>
          <w:highlight w:val="none"/>
        </w:rPr>
        <w:t>开题，</w:t>
      </w:r>
      <w:r>
        <w:rPr>
          <w:rFonts w:hint="eastAsia" w:ascii="宋体" w:hAnsi="宋体"/>
          <w:color w:val="000000"/>
          <w:sz w:val="24"/>
          <w:szCs w:val="24"/>
          <w:highlight w:val="none"/>
          <w:lang w:val="en-US" w:eastAsia="zh-CN"/>
        </w:rPr>
        <w:t>2025年4</w:t>
      </w:r>
      <w:r>
        <w:rPr>
          <w:rFonts w:hint="eastAsia" w:ascii="宋体" w:hAnsi="宋体"/>
          <w:color w:val="000000"/>
          <w:sz w:val="24"/>
          <w:szCs w:val="24"/>
          <w:highlight w:val="none"/>
        </w:rPr>
        <w:t>月</w:t>
      </w:r>
      <w:r>
        <w:rPr>
          <w:rFonts w:hint="eastAsia" w:ascii="宋体" w:hAnsi="宋体"/>
          <w:color w:val="000000"/>
          <w:sz w:val="24"/>
          <w:szCs w:val="24"/>
          <w:highlight w:val="none"/>
          <w:lang w:eastAsia="zh-CN"/>
        </w:rPr>
        <w:t>底</w:t>
      </w:r>
      <w:r>
        <w:rPr>
          <w:rFonts w:hint="eastAsia" w:ascii="宋体" w:hAnsi="宋体"/>
          <w:color w:val="000000"/>
          <w:sz w:val="24"/>
          <w:szCs w:val="24"/>
          <w:highlight w:val="none"/>
        </w:rPr>
        <w:t>形成调研成果初稿，</w:t>
      </w:r>
      <w:r>
        <w:rPr>
          <w:rFonts w:hint="eastAsia" w:ascii="宋体" w:hAnsi="宋体"/>
          <w:color w:val="000000"/>
          <w:sz w:val="24"/>
          <w:szCs w:val="24"/>
          <w:highlight w:val="none"/>
          <w:lang w:val="en-US" w:eastAsia="zh-CN"/>
        </w:rPr>
        <w:t>2025年8</w:t>
      </w:r>
      <w:r>
        <w:rPr>
          <w:rFonts w:hint="eastAsia" w:ascii="宋体" w:hAnsi="宋体"/>
          <w:color w:val="000000"/>
          <w:sz w:val="24"/>
          <w:szCs w:val="24"/>
          <w:highlight w:val="none"/>
        </w:rPr>
        <w:t>月</w:t>
      </w:r>
      <w:r>
        <w:rPr>
          <w:rFonts w:hint="eastAsia" w:ascii="宋体" w:hAnsi="宋体"/>
          <w:color w:val="000000"/>
          <w:sz w:val="24"/>
          <w:szCs w:val="24"/>
          <w:highlight w:val="none"/>
          <w:lang w:eastAsia="zh-CN"/>
        </w:rPr>
        <w:t>下</w:t>
      </w:r>
      <w:r>
        <w:rPr>
          <w:rFonts w:hint="eastAsia" w:ascii="宋体" w:hAnsi="宋体"/>
          <w:color w:val="000000"/>
          <w:sz w:val="24"/>
          <w:szCs w:val="24"/>
          <w:highlight w:val="none"/>
        </w:rPr>
        <w:t>旬召开专家评审会进行评审验收，根据专家评审意见修改完善，完成结题。</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（四）预期成果。</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形成《区块链技术在航运贸易单证流转中的价值研究调研报告》文稿，并提出可行性实施路径和实施计划。</w:t>
      </w:r>
    </w:p>
    <w:p>
      <w:pPr>
        <w:pStyle w:val="5"/>
        <w:spacing w:before="0" w:after="0" w:line="360" w:lineRule="auto"/>
        <w:ind w:firstLine="481" w:firstLineChars="200"/>
        <w:rPr>
          <w:rFonts w:hint="eastAsia" w:ascii="宋体" w:hAnsi="宋体"/>
          <w:color w:val="000000"/>
          <w:sz w:val="24"/>
          <w:szCs w:val="24"/>
        </w:rPr>
      </w:pPr>
      <w:bookmarkStart w:id="35" w:name="_Toc6955"/>
      <w:bookmarkStart w:id="36" w:name="_Toc30812"/>
      <w:r>
        <w:rPr>
          <w:rFonts w:hint="eastAsia" w:ascii="宋体" w:hAnsi="宋体"/>
          <w:color w:val="000000"/>
          <w:sz w:val="24"/>
          <w:szCs w:val="24"/>
        </w:rPr>
        <w:t>※三、保密要求</w:t>
      </w:r>
      <w:bookmarkEnd w:id="32"/>
      <w:bookmarkEnd w:id="35"/>
      <w:bookmarkEnd w:id="36"/>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hint="eastAsia" w:ascii="宋体" w:hAnsi="宋体" w:eastAsia="宋体"/>
          <w:sz w:val="36"/>
          <w:szCs w:val="30"/>
        </w:rPr>
      </w:pPr>
      <w:bookmarkStart w:id="37" w:name="_Toc7409"/>
      <w:r>
        <w:rPr>
          <w:rFonts w:hint="eastAsia" w:ascii="宋体" w:hAnsi="宋体" w:eastAsia="宋体"/>
          <w:sz w:val="36"/>
          <w:szCs w:val="30"/>
        </w:rPr>
        <w:t>第三篇  项目商务需求</w:t>
      </w:r>
      <w:bookmarkEnd w:id="29"/>
      <w:bookmarkEnd w:id="37"/>
    </w:p>
    <w:p>
      <w:pPr>
        <w:snapToGrid w:val="0"/>
        <w:spacing w:line="360" w:lineRule="auto"/>
        <w:ind w:firstLine="421" w:firstLineChars="200"/>
        <w:rPr>
          <w:rFonts w:hint="eastAsia" w:ascii="宋体" w:hAnsi="宋体"/>
          <w:b/>
          <w:sz w:val="24"/>
          <w:szCs w:val="24"/>
        </w:rPr>
      </w:pPr>
      <w:bookmarkStart w:id="38" w:name="_Toc267320049"/>
      <w:r>
        <w:rPr>
          <w:rFonts w:hint="eastAsia" w:ascii="宋体" w:hAnsi="宋体"/>
          <w:b/>
          <w:sz w:val="21"/>
          <w:szCs w:val="21"/>
        </w:rPr>
        <w:t>“※”标注的要求为符合性审查中的实质性要求，投标文件若不满足按无效投标处理。</w:t>
      </w:r>
    </w:p>
    <w:bookmarkEnd w:id="38"/>
    <w:p>
      <w:pPr>
        <w:pStyle w:val="5"/>
        <w:spacing w:before="0" w:after="0" w:line="360" w:lineRule="auto"/>
        <w:ind w:firstLine="481" w:firstLineChars="200"/>
        <w:rPr>
          <w:rFonts w:hint="eastAsia" w:ascii="宋体" w:hAnsi="宋体"/>
          <w:sz w:val="24"/>
          <w:szCs w:val="24"/>
        </w:rPr>
      </w:pPr>
      <w:bookmarkStart w:id="39" w:name="_Toc4131"/>
      <w:bookmarkStart w:id="40" w:name="_Toc14860569"/>
      <w:bookmarkStart w:id="41" w:name="_Toc83905718"/>
      <w:bookmarkStart w:id="42" w:name="_Toc484611845"/>
      <w:bookmarkStart w:id="43" w:name="_Toc51854596"/>
      <w:r>
        <w:rPr>
          <w:rFonts w:hint="eastAsia" w:ascii="宋体" w:hAnsi="宋体"/>
          <w:sz w:val="24"/>
          <w:szCs w:val="24"/>
        </w:rPr>
        <w:t>一、服务时间、地点及验收方式</w:t>
      </w:r>
      <w:bookmarkEnd w:id="39"/>
      <w:bookmarkEnd w:id="40"/>
      <w:bookmarkEnd w:id="41"/>
      <w:bookmarkEnd w:id="42"/>
      <w:bookmarkEnd w:id="43"/>
    </w:p>
    <w:p>
      <w:pPr>
        <w:snapToGrid w:val="0"/>
        <w:spacing w:line="360" w:lineRule="auto"/>
        <w:ind w:firstLine="480" w:firstLineChars="200"/>
        <w:rPr>
          <w:b/>
          <w:bCs/>
          <w:sz w:val="24"/>
          <w:szCs w:val="24"/>
        </w:rPr>
      </w:pPr>
      <w:bookmarkStart w:id="44" w:name="_Toc344475121"/>
      <w:r>
        <w:rPr>
          <w:rFonts w:ascii="宋体" w:hAnsi="宋体"/>
          <w:sz w:val="24"/>
          <w:szCs w:val="24"/>
        </w:rPr>
        <w:t>※</w:t>
      </w:r>
      <w:r>
        <w:rPr>
          <w:rFonts w:hint="eastAsia"/>
          <w:b/>
          <w:bCs/>
          <w:sz w:val="24"/>
          <w:szCs w:val="24"/>
        </w:rPr>
        <w:t>（一）服务时间：</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2025年8月底前完成所有工作内容</w:t>
      </w:r>
      <w:r>
        <w:rPr>
          <w:rFonts w:hint="eastAsia" w:ascii="宋体" w:hAnsi="宋体"/>
          <w:sz w:val="24"/>
          <w:szCs w:val="24"/>
        </w:rPr>
        <w:t>。</w:t>
      </w:r>
    </w:p>
    <w:p>
      <w:pPr>
        <w:snapToGrid w:val="0"/>
        <w:spacing w:line="360" w:lineRule="auto"/>
        <w:ind w:firstLine="481" w:firstLineChars="200"/>
        <w:rPr>
          <w:b/>
          <w:bCs/>
          <w:sz w:val="24"/>
          <w:szCs w:val="24"/>
        </w:rPr>
      </w:pPr>
      <w:r>
        <w:rPr>
          <w:rFonts w:hint="eastAsia"/>
          <w:b/>
          <w:bCs/>
          <w:sz w:val="24"/>
          <w:szCs w:val="24"/>
        </w:rPr>
        <w:t>（二）服务地点：</w:t>
      </w:r>
    </w:p>
    <w:p>
      <w:pPr>
        <w:snapToGrid w:val="0"/>
        <w:spacing w:line="360" w:lineRule="auto"/>
        <w:ind w:firstLine="480" w:firstLineChars="200"/>
        <w:rPr>
          <w:sz w:val="24"/>
          <w:szCs w:val="24"/>
        </w:rPr>
      </w:pPr>
      <w:r>
        <w:rPr>
          <w:rFonts w:hint="eastAsia" w:ascii="宋体" w:hAnsi="宋体"/>
          <w:sz w:val="24"/>
          <w:szCs w:val="24"/>
        </w:rPr>
        <w:t>重庆电子口岸中心同意或指定地点。</w:t>
      </w:r>
      <w:bookmarkStart w:id="45" w:name="_Toc484611846"/>
      <w:bookmarkStart w:id="46" w:name="_Toc83905719"/>
      <w:bookmarkStart w:id="47" w:name="_Toc14860570"/>
      <w:bookmarkStart w:id="48" w:name="_Toc51854597"/>
    </w:p>
    <w:bookmarkEnd w:id="44"/>
    <w:bookmarkEnd w:id="45"/>
    <w:bookmarkEnd w:id="46"/>
    <w:bookmarkEnd w:id="47"/>
    <w:bookmarkEnd w:id="48"/>
    <w:p>
      <w:pPr>
        <w:snapToGrid w:val="0"/>
        <w:spacing w:line="360" w:lineRule="auto"/>
        <w:ind w:firstLine="481"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w:t>
      </w:r>
      <w:r>
        <w:rPr>
          <w:rFonts w:hint="eastAsia" w:ascii="宋体" w:hAnsi="宋体"/>
          <w:sz w:val="24"/>
          <w:szCs w:val="24"/>
        </w:rPr>
        <w:t>重庆电子口岸中心</w:t>
      </w:r>
      <w:r>
        <w:rPr>
          <w:rFonts w:hint="eastAsia"/>
          <w:sz w:val="24"/>
          <w:szCs w:val="24"/>
        </w:rPr>
        <w:t>。</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1" w:firstLineChars="200"/>
        <w:rPr>
          <w:sz w:val="24"/>
          <w:szCs w:val="24"/>
        </w:rPr>
      </w:pPr>
      <w:bookmarkStart w:id="49" w:name="_Toc20440"/>
      <w:bookmarkStart w:id="50" w:name="_Toc27180"/>
      <w:r>
        <w:rPr>
          <w:rFonts w:hint="eastAsia"/>
          <w:sz w:val="24"/>
          <w:szCs w:val="24"/>
        </w:rPr>
        <w:t>二、报价要求</w:t>
      </w:r>
      <w:bookmarkEnd w:id="49"/>
      <w:bookmarkEnd w:id="50"/>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5"/>
        <w:spacing w:before="0" w:after="0" w:line="360" w:lineRule="auto"/>
        <w:ind w:firstLine="481" w:firstLineChars="200"/>
        <w:rPr>
          <w:sz w:val="24"/>
          <w:szCs w:val="24"/>
        </w:rPr>
      </w:pPr>
      <w:bookmarkStart w:id="51" w:name="_Toc51854598"/>
      <w:bookmarkStart w:id="52" w:name="_Toc83905720"/>
      <w:bookmarkStart w:id="53" w:name="_Toc484611849"/>
      <w:bookmarkStart w:id="54" w:name="_Toc10660"/>
      <w:bookmarkStart w:id="55" w:name="_Toc28574"/>
      <w:bookmarkStart w:id="56" w:name="_Toc344475122"/>
      <w:bookmarkStart w:id="57" w:name="_Toc14860571"/>
      <w:r>
        <w:rPr>
          <w:sz w:val="24"/>
          <w:szCs w:val="24"/>
        </w:rPr>
        <w:t>※</w:t>
      </w:r>
      <w:r>
        <w:rPr>
          <w:rFonts w:hint="eastAsia"/>
          <w:sz w:val="24"/>
          <w:szCs w:val="24"/>
        </w:rPr>
        <w:t>三、付款方式</w:t>
      </w:r>
      <w:bookmarkEnd w:id="51"/>
      <w:bookmarkEnd w:id="52"/>
      <w:bookmarkEnd w:id="53"/>
      <w:bookmarkEnd w:id="54"/>
      <w:bookmarkEnd w:id="55"/>
      <w:bookmarkEnd w:id="56"/>
      <w:bookmarkEnd w:id="57"/>
    </w:p>
    <w:p>
      <w:pPr>
        <w:snapToGrid w:val="0"/>
        <w:spacing w:line="360" w:lineRule="auto"/>
        <w:ind w:firstLine="480" w:firstLineChars="200"/>
        <w:rPr>
          <w:rFonts w:hint="eastAsia" w:ascii="宋体" w:hAnsi="宋体" w:eastAsia="宋体"/>
          <w:color w:val="000000"/>
          <w:sz w:val="24"/>
          <w:szCs w:val="24"/>
          <w:lang w:eastAsia="zh-CN"/>
        </w:rPr>
      </w:pPr>
      <w:bookmarkStart w:id="58" w:name="_Toc51854600"/>
      <w:bookmarkStart w:id="59" w:name="_Toc83905721"/>
      <w:bookmarkStart w:id="60" w:name="_Toc14860572"/>
      <w:bookmarkStart w:id="61" w:name="_Toc484611850"/>
      <w:bookmarkStart w:id="62" w:name="_Toc344475123"/>
      <w:r>
        <w:rPr>
          <w:rFonts w:hint="eastAsia" w:ascii="宋体" w:hAnsi="宋体"/>
          <w:color w:val="000000"/>
          <w:sz w:val="24"/>
          <w:szCs w:val="24"/>
        </w:rPr>
        <w:t>（一）合同签订前成交供应商向采购人提供10%的履约保证金</w:t>
      </w:r>
      <w:r>
        <w:rPr>
          <w:rFonts w:hint="eastAsia" w:ascii="宋体" w:hAnsi="宋体"/>
          <w:color w:val="000000"/>
          <w:sz w:val="24"/>
          <w:szCs w:val="24"/>
          <w:lang w:eastAsia="zh-CN"/>
        </w:rPr>
        <w:t>，</w:t>
      </w:r>
      <w:r>
        <w:rPr>
          <w:rFonts w:hint="eastAsia" w:ascii="宋体" w:hAnsi="宋体"/>
          <w:color w:val="000000"/>
          <w:sz w:val="24"/>
          <w:szCs w:val="24"/>
        </w:rPr>
        <w:t>履约保证金以</w:t>
      </w:r>
      <w:r>
        <w:rPr>
          <w:rFonts w:hint="eastAsia" w:ascii="宋体" w:hAnsi="宋体"/>
          <w:color w:val="000000"/>
          <w:sz w:val="24"/>
          <w:szCs w:val="24"/>
          <w:lang w:eastAsia="zh-CN"/>
        </w:rPr>
        <w:t>银行转账方式</w:t>
      </w:r>
      <w:r>
        <w:rPr>
          <w:rFonts w:hint="eastAsia" w:ascii="宋体" w:hAnsi="宋体"/>
          <w:color w:val="000000"/>
          <w:sz w:val="24"/>
          <w:szCs w:val="24"/>
        </w:rPr>
        <w:t>提交；</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按合同要求完成《区块链技术在航运贸易单证流转中价值研究的可行性实施计划》（该计划应明确阐述各阶段的具体行动方案预期目标及相应的产出成果），并取得采购人认可后向采购人提供合同总额100％的正规发票，采购人原则上在收到发票后5个工作日内按程序办理支付手续，10个工作日内以转账方式向中标人支付合同金额的100%；</w:t>
      </w:r>
    </w:p>
    <w:p>
      <w:pPr>
        <w:snapToGrid w:val="0"/>
        <w:spacing w:line="360" w:lineRule="auto"/>
        <w:ind w:firstLine="480" w:firstLineChars="200"/>
        <w:rPr>
          <w:rFonts w:hint="eastAsia" w:ascii="宋体" w:hAnsi="宋体"/>
          <w:sz w:val="24"/>
          <w:szCs w:val="24"/>
        </w:rPr>
      </w:pPr>
      <w:r>
        <w:rPr>
          <w:rFonts w:hint="eastAsia" w:ascii="宋体" w:hAnsi="宋体"/>
          <w:color w:val="000000"/>
          <w:sz w:val="24"/>
          <w:szCs w:val="24"/>
        </w:rPr>
        <w:t>（三）成交供应商完成所有工作内容，经验收合格后采购人出具项目验收报告，并无息退还履约保证金。</w:t>
      </w:r>
    </w:p>
    <w:p>
      <w:pPr>
        <w:pStyle w:val="5"/>
        <w:spacing w:before="0" w:after="0" w:line="360" w:lineRule="auto"/>
        <w:ind w:firstLine="481" w:firstLineChars="200"/>
        <w:rPr>
          <w:sz w:val="24"/>
          <w:szCs w:val="24"/>
        </w:rPr>
      </w:pPr>
      <w:bookmarkStart w:id="63" w:name="_Toc2301"/>
      <w:bookmarkStart w:id="64" w:name="_Toc2357"/>
      <w:r>
        <w:rPr>
          <w:sz w:val="24"/>
          <w:szCs w:val="24"/>
        </w:rPr>
        <w:t>※</w:t>
      </w:r>
      <w:r>
        <w:rPr>
          <w:rFonts w:hint="eastAsia"/>
          <w:sz w:val="24"/>
          <w:szCs w:val="24"/>
        </w:rPr>
        <w:t>四、知识产权</w:t>
      </w:r>
      <w:bookmarkEnd w:id="58"/>
      <w:bookmarkEnd w:id="59"/>
      <w:bookmarkEnd w:id="60"/>
      <w:bookmarkEnd w:id="61"/>
      <w:bookmarkEnd w:id="62"/>
      <w:bookmarkEnd w:id="63"/>
      <w:bookmarkEnd w:id="64"/>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1"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pPr>
        <w:pStyle w:val="5"/>
        <w:spacing w:before="0" w:after="0" w:line="360" w:lineRule="auto"/>
        <w:ind w:firstLine="481" w:firstLineChars="200"/>
        <w:rPr>
          <w:sz w:val="24"/>
          <w:szCs w:val="24"/>
        </w:rPr>
      </w:pPr>
      <w:bookmarkStart w:id="65" w:name="_Toc14860573"/>
      <w:bookmarkStart w:id="66" w:name="_Toc83905722"/>
      <w:bookmarkStart w:id="67" w:name="_Toc15491"/>
      <w:bookmarkStart w:id="68" w:name="_Toc484611852"/>
      <w:bookmarkStart w:id="69" w:name="_Toc25593"/>
      <w:bookmarkStart w:id="70" w:name="_Toc51854601"/>
      <w:bookmarkStart w:id="71" w:name="_Toc344475125"/>
      <w:r>
        <w:rPr>
          <w:rFonts w:hint="eastAsia"/>
          <w:sz w:val="24"/>
          <w:szCs w:val="24"/>
        </w:rPr>
        <w:t>五、其他</w:t>
      </w:r>
      <w:bookmarkEnd w:id="65"/>
      <w:bookmarkEnd w:id="66"/>
      <w:bookmarkEnd w:id="67"/>
      <w:bookmarkEnd w:id="68"/>
      <w:bookmarkEnd w:id="69"/>
      <w:bookmarkEnd w:id="70"/>
    </w:p>
    <w:bookmarkEnd w:id="71"/>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4"/>
        <w:pageBreakBefore/>
        <w:spacing w:line="360" w:lineRule="auto"/>
        <w:jc w:val="center"/>
        <w:rPr>
          <w:rFonts w:hint="eastAsia" w:ascii="宋体" w:hAnsi="宋体" w:eastAsia="宋体"/>
          <w:sz w:val="36"/>
          <w:szCs w:val="30"/>
        </w:rPr>
      </w:pPr>
      <w:bookmarkStart w:id="72" w:name="_Toc26821"/>
      <w:r>
        <w:rPr>
          <w:rFonts w:hint="eastAsia" w:ascii="宋体" w:hAnsi="宋体" w:eastAsia="宋体"/>
          <w:sz w:val="36"/>
          <w:szCs w:val="30"/>
        </w:rPr>
        <w:t>第四篇  比选程序及方法、评审标准、无效响应和采购终止</w:t>
      </w:r>
      <w:bookmarkEnd w:id="72"/>
    </w:p>
    <w:p>
      <w:pPr>
        <w:pStyle w:val="5"/>
        <w:snapToGrid w:val="0"/>
        <w:spacing w:before="0" w:after="0" w:line="360" w:lineRule="auto"/>
        <w:ind w:firstLine="481" w:firstLineChars="200"/>
        <w:rPr>
          <w:rFonts w:hint="eastAsia" w:ascii="宋体" w:hAnsi="宋体"/>
          <w:sz w:val="24"/>
          <w:szCs w:val="24"/>
        </w:rPr>
      </w:pPr>
      <w:bookmarkStart w:id="73" w:name="_Toc7403"/>
      <w:r>
        <w:rPr>
          <w:rFonts w:hint="eastAsia" w:ascii="宋体" w:hAnsi="宋体"/>
          <w:sz w:val="24"/>
          <w:szCs w:val="24"/>
        </w:rPr>
        <w:t>一、比选程序及方法</w:t>
      </w:r>
      <w:bookmarkEnd w:id="73"/>
    </w:p>
    <w:p>
      <w:pPr>
        <w:spacing w:line="360" w:lineRule="auto"/>
        <w:ind w:firstLine="480" w:firstLineChars="200"/>
        <w:rPr>
          <w:rFonts w:hint="eastAsia"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pPr>
        <w:spacing w:line="360" w:lineRule="auto"/>
        <w:ind w:firstLine="480" w:firstLineChars="200"/>
        <w:rPr>
          <w:rFonts w:hint="eastAsia"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082" w:type="dxa"/>
            <w:gridSpan w:val="2"/>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hint="eastAsia" w:ascii="宋体" w:hAnsi="宋体"/>
                <w:sz w:val="21"/>
                <w:szCs w:val="21"/>
              </w:rPr>
            </w:pPr>
            <w:r>
              <w:rPr>
                <w:rFonts w:hint="eastAsia" w:ascii="宋体" w:hAnsi="宋体"/>
                <w:sz w:val="21"/>
                <w:szCs w:val="21"/>
              </w:rPr>
              <w:t>（一）</w:t>
            </w:r>
          </w:p>
        </w:tc>
        <w:tc>
          <w:tcPr>
            <w:tcW w:w="822" w:type="dxa"/>
            <w:vMerge w:val="restart"/>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pPr>
              <w:snapToGrid w:val="0"/>
              <w:rPr>
                <w:rFonts w:hint="eastAsia" w:ascii="宋体" w:hAnsi="宋体"/>
                <w:sz w:val="21"/>
                <w:szCs w:val="21"/>
              </w:rPr>
            </w:pPr>
            <w:r>
              <w:rPr>
                <w:rFonts w:hint="eastAsia" w:ascii="宋体" w:hAnsi="宋体"/>
                <w:sz w:val="21"/>
                <w:szCs w:val="21"/>
              </w:rPr>
              <w:t>1.具有独立承担民事责任的能力</w:t>
            </w:r>
          </w:p>
        </w:tc>
        <w:tc>
          <w:tcPr>
            <w:tcW w:w="4740" w:type="dxa"/>
            <w:vAlign w:val="center"/>
          </w:tcPr>
          <w:p>
            <w:pPr>
              <w:snapToGrid w:val="0"/>
              <w:rPr>
                <w:rFonts w:hint="eastAsia"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snapToGrid w:val="0"/>
              <w:jc w:val="center"/>
              <w:rPr>
                <w:rFonts w:hint="eastAsia" w:ascii="宋体" w:hAnsi="宋体"/>
                <w:sz w:val="21"/>
                <w:szCs w:val="21"/>
              </w:rPr>
            </w:pPr>
          </w:p>
        </w:tc>
        <w:tc>
          <w:tcPr>
            <w:tcW w:w="822" w:type="dxa"/>
            <w:vMerge w:val="continue"/>
            <w:vAlign w:val="center"/>
          </w:tcPr>
          <w:p>
            <w:pPr>
              <w:snapToGrid w:val="0"/>
              <w:rPr>
                <w:rFonts w:hint="eastAsia" w:ascii="宋体" w:hAnsi="宋体" w:cs="仿宋_GB2312"/>
                <w:sz w:val="21"/>
                <w:szCs w:val="21"/>
                <w:lang w:val="zh-CN"/>
              </w:rPr>
            </w:pPr>
          </w:p>
        </w:tc>
        <w:tc>
          <w:tcPr>
            <w:tcW w:w="3260" w:type="dxa"/>
            <w:vAlign w:val="center"/>
          </w:tcPr>
          <w:p>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pPr>
              <w:snapToGrid w:val="0"/>
              <w:rPr>
                <w:rFonts w:hint="eastAsia" w:ascii="宋体" w:hAnsi="宋体"/>
                <w:sz w:val="21"/>
                <w:szCs w:val="21"/>
              </w:rPr>
            </w:pPr>
            <w:r>
              <w:rPr>
                <w:rFonts w:hint="eastAsia" w:ascii="宋体" w:hAnsi="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snapToGrid w:val="0"/>
              <w:jc w:val="center"/>
              <w:rPr>
                <w:rFonts w:hint="eastAsia" w:ascii="宋体" w:hAnsi="宋体"/>
                <w:sz w:val="21"/>
                <w:szCs w:val="21"/>
              </w:rPr>
            </w:pPr>
          </w:p>
        </w:tc>
        <w:tc>
          <w:tcPr>
            <w:tcW w:w="822" w:type="dxa"/>
            <w:vMerge w:val="continue"/>
            <w:vAlign w:val="center"/>
          </w:tcPr>
          <w:p>
            <w:pPr>
              <w:snapToGrid w:val="0"/>
              <w:rPr>
                <w:rFonts w:hint="eastAsia" w:ascii="宋体" w:hAnsi="宋体" w:cs="仿宋_GB2312"/>
                <w:sz w:val="21"/>
                <w:szCs w:val="21"/>
                <w:lang w:val="zh-CN"/>
              </w:rPr>
            </w:pPr>
          </w:p>
        </w:tc>
        <w:tc>
          <w:tcPr>
            <w:tcW w:w="3260"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hint="eastAsia" w:ascii="宋体" w:hAnsi="宋体"/>
                <w:sz w:val="21"/>
                <w:szCs w:val="21"/>
              </w:rPr>
            </w:pPr>
          </w:p>
        </w:tc>
        <w:tc>
          <w:tcPr>
            <w:tcW w:w="822" w:type="dxa"/>
            <w:vMerge w:val="continue"/>
            <w:vAlign w:val="center"/>
          </w:tcPr>
          <w:p>
            <w:pPr>
              <w:snapToGrid w:val="0"/>
              <w:rPr>
                <w:rFonts w:hint="eastAsia" w:ascii="宋体" w:hAnsi="宋体" w:cs="仿宋_GB2312"/>
                <w:sz w:val="21"/>
                <w:szCs w:val="21"/>
                <w:lang w:val="zh-CN"/>
              </w:rPr>
            </w:pPr>
          </w:p>
        </w:tc>
        <w:tc>
          <w:tcPr>
            <w:tcW w:w="3260"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pPr>
              <w:snapToGrid w:val="0"/>
              <w:jc w:val="center"/>
              <w:rPr>
                <w:rFonts w:hint="eastAsia" w:ascii="宋体" w:hAnsi="宋体"/>
                <w:sz w:val="21"/>
                <w:szCs w:val="21"/>
              </w:rPr>
            </w:pPr>
          </w:p>
        </w:tc>
        <w:tc>
          <w:tcPr>
            <w:tcW w:w="822" w:type="dxa"/>
            <w:vMerge w:val="continue"/>
            <w:vAlign w:val="center"/>
          </w:tcPr>
          <w:p>
            <w:pPr>
              <w:snapToGrid w:val="0"/>
              <w:rPr>
                <w:rFonts w:hint="eastAsia" w:ascii="宋体" w:hAnsi="宋体" w:cs="仿宋_GB2312"/>
                <w:sz w:val="21"/>
                <w:szCs w:val="21"/>
                <w:lang w:val="zh-CN"/>
              </w:rPr>
            </w:pPr>
          </w:p>
        </w:tc>
        <w:tc>
          <w:tcPr>
            <w:tcW w:w="3260" w:type="dxa"/>
            <w:vAlign w:val="center"/>
          </w:tcPr>
          <w:p>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pPr>
              <w:snapToGrid w:val="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hint="eastAsia" w:ascii="宋体" w:hAnsi="宋体"/>
                <w:sz w:val="21"/>
                <w:szCs w:val="21"/>
              </w:rPr>
            </w:pPr>
          </w:p>
        </w:tc>
        <w:tc>
          <w:tcPr>
            <w:tcW w:w="822" w:type="dxa"/>
            <w:vMerge w:val="continue"/>
            <w:vAlign w:val="center"/>
          </w:tcPr>
          <w:p>
            <w:pPr>
              <w:snapToGrid w:val="0"/>
              <w:rPr>
                <w:rFonts w:hint="eastAsia" w:ascii="宋体" w:hAnsi="宋体" w:cs="仿宋_GB2312"/>
                <w:sz w:val="21"/>
                <w:szCs w:val="21"/>
                <w:lang w:val="zh-CN"/>
              </w:rPr>
            </w:pPr>
          </w:p>
        </w:tc>
        <w:tc>
          <w:tcPr>
            <w:tcW w:w="3260" w:type="dxa"/>
            <w:vAlign w:val="center"/>
          </w:tcPr>
          <w:p>
            <w:pPr>
              <w:snapToGrid w:val="0"/>
              <w:rPr>
                <w:rFonts w:hint="eastAsia" w:ascii="宋体" w:hAnsi="宋体"/>
                <w:sz w:val="21"/>
                <w:szCs w:val="21"/>
              </w:rPr>
            </w:pPr>
            <w:r>
              <w:rPr>
                <w:rFonts w:hint="eastAsia" w:ascii="宋体" w:hAnsi="宋体"/>
                <w:sz w:val="21"/>
                <w:szCs w:val="21"/>
              </w:rPr>
              <w:t>6.法律、行政法规规定的其他条件</w:t>
            </w:r>
          </w:p>
        </w:tc>
        <w:tc>
          <w:tcPr>
            <w:tcW w:w="4740" w:type="dxa"/>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hint="eastAsia" w:ascii="宋体" w:hAnsi="宋体"/>
                <w:sz w:val="21"/>
                <w:szCs w:val="21"/>
              </w:rPr>
            </w:pPr>
            <w:r>
              <w:rPr>
                <w:rFonts w:hint="eastAsia" w:ascii="宋体" w:hAnsi="宋体"/>
                <w:sz w:val="21"/>
                <w:szCs w:val="21"/>
              </w:rPr>
              <w:t>（二）</w:t>
            </w:r>
          </w:p>
        </w:tc>
        <w:tc>
          <w:tcPr>
            <w:tcW w:w="4082" w:type="dxa"/>
            <w:gridSpan w:val="2"/>
            <w:vAlign w:val="center"/>
          </w:tcPr>
          <w:p>
            <w:pPr>
              <w:snapToGrid w:val="0"/>
              <w:rPr>
                <w:rFonts w:hint="eastAsia" w:ascii="宋体" w:hAnsi="宋体"/>
                <w:sz w:val="21"/>
                <w:szCs w:val="21"/>
              </w:rPr>
            </w:pPr>
            <w:r>
              <w:rPr>
                <w:rFonts w:hint="eastAsia" w:ascii="宋体" w:hAnsi="宋体"/>
                <w:sz w:val="21"/>
                <w:szCs w:val="21"/>
              </w:rPr>
              <w:t>本项目特定资格条件</w:t>
            </w:r>
          </w:p>
        </w:tc>
        <w:tc>
          <w:tcPr>
            <w:tcW w:w="4740" w:type="dxa"/>
            <w:vAlign w:val="center"/>
          </w:tcPr>
          <w:p>
            <w:pPr>
              <w:snapToGrid w:val="0"/>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hint="eastAsia" w:ascii="宋体" w:hAnsi="宋体"/>
                <w:sz w:val="21"/>
                <w:szCs w:val="21"/>
              </w:rPr>
            </w:pPr>
            <w:r>
              <w:rPr>
                <w:rFonts w:hint="eastAsia" w:ascii="宋体" w:hAnsi="宋体"/>
                <w:sz w:val="21"/>
                <w:szCs w:val="21"/>
              </w:rPr>
              <w:t>（三）</w:t>
            </w:r>
          </w:p>
        </w:tc>
        <w:tc>
          <w:tcPr>
            <w:tcW w:w="4082" w:type="dxa"/>
            <w:gridSpan w:val="2"/>
            <w:vAlign w:val="center"/>
          </w:tcPr>
          <w:p>
            <w:pPr>
              <w:snapToGrid w:val="0"/>
              <w:rPr>
                <w:rFonts w:hint="eastAsia" w:ascii="宋体" w:hAnsi="宋体"/>
                <w:sz w:val="21"/>
                <w:szCs w:val="21"/>
              </w:rPr>
            </w:pPr>
            <w:r>
              <w:rPr>
                <w:rFonts w:hint="eastAsia" w:ascii="宋体" w:hAnsi="宋体"/>
                <w:sz w:val="21"/>
                <w:szCs w:val="21"/>
              </w:rPr>
              <w:t>落实政府采购政策需满足的资格要求：</w:t>
            </w:r>
          </w:p>
        </w:tc>
        <w:tc>
          <w:tcPr>
            <w:tcW w:w="4740" w:type="dxa"/>
            <w:vAlign w:val="center"/>
          </w:tcPr>
          <w:p>
            <w:pPr>
              <w:snapToGrid w:val="0"/>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pPr>
              <w:snapToGrid w:val="0"/>
              <w:jc w:val="center"/>
              <w:rPr>
                <w:rFonts w:hint="eastAsia" w:ascii="宋体" w:hAnsi="宋体"/>
                <w:sz w:val="21"/>
                <w:szCs w:val="21"/>
              </w:rPr>
            </w:pPr>
            <w:r>
              <w:rPr>
                <w:rFonts w:hint="eastAsia" w:ascii="宋体" w:hAnsi="宋体"/>
                <w:sz w:val="21"/>
                <w:szCs w:val="21"/>
              </w:rPr>
              <w:t>（四）</w:t>
            </w:r>
          </w:p>
        </w:tc>
        <w:tc>
          <w:tcPr>
            <w:tcW w:w="4082" w:type="dxa"/>
            <w:gridSpan w:val="2"/>
            <w:vAlign w:val="center"/>
          </w:tcPr>
          <w:p>
            <w:pPr>
              <w:snapToGrid w:val="0"/>
              <w:rPr>
                <w:rFonts w:hint="eastAsia" w:ascii="宋体" w:hAnsi="宋体"/>
                <w:sz w:val="21"/>
                <w:szCs w:val="21"/>
              </w:rPr>
            </w:pPr>
            <w:r>
              <w:rPr>
                <w:rFonts w:hint="eastAsia" w:ascii="宋体" w:hAnsi="宋体"/>
                <w:sz w:val="21"/>
                <w:szCs w:val="21"/>
              </w:rPr>
              <w:t>比选保证金</w:t>
            </w:r>
          </w:p>
        </w:tc>
        <w:tc>
          <w:tcPr>
            <w:tcW w:w="4740" w:type="dxa"/>
            <w:vAlign w:val="center"/>
          </w:tcPr>
          <w:p>
            <w:pPr>
              <w:snapToGrid w:val="0"/>
              <w:rPr>
                <w:rFonts w:hint="eastAsia" w:ascii="宋体" w:hAnsi="宋体" w:cs="宋体"/>
                <w:sz w:val="21"/>
                <w:szCs w:val="21"/>
              </w:rPr>
            </w:pPr>
            <w:r>
              <w:rPr>
                <w:rFonts w:hint="eastAsia" w:ascii="宋体" w:hAnsi="宋体"/>
                <w:sz w:val="21"/>
                <w:szCs w:val="21"/>
              </w:rPr>
              <w:t>按照采购文件的规定提交比选保证金。</w:t>
            </w:r>
          </w:p>
        </w:tc>
      </w:tr>
    </w:tbl>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响应文件按照竞争性比选文件要求签字盖章。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1996" w:type="dxa"/>
            <w:vAlign w:val="center"/>
          </w:tcPr>
          <w:p>
            <w:pPr>
              <w:spacing w:line="240" w:lineRule="exact"/>
              <w:rPr>
                <w:rFonts w:hint="eastAsia"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1996" w:type="dxa"/>
            <w:vAlign w:val="center"/>
          </w:tcPr>
          <w:p>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hint="eastAsia"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2"/>
              <w:spacing w:line="240" w:lineRule="exact"/>
              <w:rPr>
                <w:rFonts w:hint="eastAsia"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仿宋_GB2312"/>
                <w:sz w:val="21"/>
                <w:szCs w:val="21"/>
                <w:lang w:val="zh-CN"/>
              </w:rPr>
            </w:pPr>
          </w:p>
        </w:tc>
        <w:tc>
          <w:tcPr>
            <w:tcW w:w="1996"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pPr>
        <w:spacing w:line="360" w:lineRule="auto"/>
        <w:ind w:firstLine="480" w:firstLineChars="200"/>
        <w:rPr>
          <w:rFonts w:hint="eastAsia"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int="eastAsia" w:ascii="宋体" w:hAnsi="宋体"/>
          <w:sz w:val="24"/>
          <w:szCs w:val="24"/>
        </w:rPr>
      </w:pPr>
      <w:r>
        <w:rPr>
          <w:rFonts w:hint="eastAsia" w:ascii="宋体" w:hAnsi="宋体"/>
          <w:sz w:val="24"/>
          <w:szCs w:val="24"/>
        </w:rPr>
        <w:t>5.在比选过程中比选的任何一方不得向他人透露与比选有关的技术资料、价格或其他信息。</w:t>
      </w:r>
    </w:p>
    <w:p>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pPr>
        <w:spacing w:line="360" w:lineRule="auto"/>
        <w:ind w:firstLine="480" w:firstLineChars="200"/>
        <w:rPr>
          <w:rFonts w:hint="eastAsia"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hint="eastAsia"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1" w:firstLineChars="200"/>
        <w:rPr>
          <w:rFonts w:hint="eastAsia" w:ascii="宋体" w:hAnsi="宋体"/>
          <w:sz w:val="24"/>
          <w:szCs w:val="24"/>
        </w:rPr>
      </w:pPr>
      <w:bookmarkStart w:id="74" w:name="_Toc29543"/>
      <w:r>
        <w:rPr>
          <w:rFonts w:hint="eastAsia" w:ascii="宋体" w:hAnsi="宋体"/>
          <w:sz w:val="24"/>
          <w:szCs w:val="24"/>
        </w:rPr>
        <w:t>二、</w:t>
      </w:r>
      <w:bookmarkStart w:id="75" w:name="_Toc102227320"/>
      <w:bookmarkStart w:id="76" w:name="_Toc342913394"/>
      <w:r>
        <w:rPr>
          <w:rFonts w:hint="eastAsia" w:ascii="宋体" w:hAnsi="宋体"/>
          <w:sz w:val="24"/>
          <w:szCs w:val="24"/>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75"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评分因素</w:t>
            </w:r>
          </w:p>
          <w:p>
            <w:pPr>
              <w:spacing w:line="240" w:lineRule="atLeast"/>
              <w:ind w:firstLine="28"/>
              <w:jc w:val="center"/>
              <w:rPr>
                <w:rFonts w:hint="eastAsia"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111" w:type="dxa"/>
            <w:vAlign w:val="center"/>
          </w:tcPr>
          <w:p>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2409" w:type="dxa"/>
            <w:vAlign w:val="center"/>
          </w:tcPr>
          <w:p>
            <w:pPr>
              <w:pStyle w:val="250"/>
              <w:spacing w:line="240" w:lineRule="atLeast"/>
              <w:rPr>
                <w:rFonts w:hint="eastAsia"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675"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hint="eastAsia" w:ascii="宋体" w:hAnsi="宋体"/>
                <w:sz w:val="21"/>
                <w:szCs w:val="21"/>
              </w:rPr>
            </w:pPr>
            <w:r>
              <w:rPr>
                <w:rFonts w:hint="eastAsia" w:ascii="宋体" w:hAnsi="宋体"/>
                <w:sz w:val="21"/>
                <w:szCs w:val="21"/>
              </w:rPr>
              <w:t>比选报价</w:t>
            </w:r>
          </w:p>
          <w:p>
            <w:pPr>
              <w:spacing w:line="240" w:lineRule="atLeast"/>
              <w:ind w:firstLine="28" w:firstLineChars="0"/>
              <w:jc w:val="center"/>
              <w:rPr>
                <w:rFonts w:hint="eastAsia" w:ascii="宋体" w:hAnsi="宋体"/>
                <w:sz w:val="21"/>
                <w:szCs w:val="21"/>
              </w:rPr>
            </w:pPr>
            <w:r>
              <w:rPr>
                <w:rFonts w:hint="eastAsia" w:ascii="宋体" w:hAnsi="宋体"/>
                <w:sz w:val="21"/>
                <w:szCs w:val="21"/>
              </w:rPr>
              <w:t>（20%）</w:t>
            </w:r>
          </w:p>
        </w:tc>
        <w:tc>
          <w:tcPr>
            <w:tcW w:w="1276" w:type="dxa"/>
            <w:vAlign w:val="center"/>
          </w:tcPr>
          <w:p>
            <w:pPr>
              <w:spacing w:line="240" w:lineRule="atLeast"/>
              <w:ind w:firstLine="28" w:firstLineChars="0"/>
              <w:jc w:val="center"/>
              <w:rPr>
                <w:rFonts w:hint="eastAsia" w:ascii="宋体" w:hAnsi="宋体"/>
                <w:sz w:val="21"/>
                <w:szCs w:val="21"/>
              </w:rPr>
            </w:pPr>
            <w:r>
              <w:rPr>
                <w:rFonts w:hint="eastAsia" w:ascii="宋体" w:hAnsi="宋体"/>
                <w:sz w:val="21"/>
                <w:szCs w:val="21"/>
              </w:rPr>
              <w:t>20分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pPr>
              <w:spacing w:line="240" w:lineRule="atLeast"/>
              <w:ind w:left="-38" w:leftChars="0"/>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5" w:hRule="atLeast"/>
        </w:trPr>
        <w:tc>
          <w:tcPr>
            <w:tcW w:w="675" w:type="dxa"/>
            <w:vMerge w:val="restart"/>
            <w:vAlign w:val="center"/>
          </w:tcPr>
          <w:p>
            <w:pPr>
              <w:spacing w:line="240" w:lineRule="atLeast"/>
              <w:ind w:firstLine="28" w:firstLineChars="0"/>
              <w:jc w:val="center"/>
              <w:rPr>
                <w:rFonts w:hint="eastAsia"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技术部分</w:t>
            </w:r>
          </w:p>
          <w:p>
            <w:pPr>
              <w:spacing w:line="240" w:lineRule="atLeast"/>
              <w:ind w:firstLine="28" w:firstLineChars="0"/>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服务方案</w:t>
            </w:r>
          </w:p>
          <w:p>
            <w:pPr>
              <w:spacing w:line="240" w:lineRule="atLeast"/>
              <w:ind w:firstLine="28" w:firstLineChars="0"/>
              <w:jc w:val="center"/>
              <w:rPr>
                <w:rFonts w:hint="eastAsia" w:ascii="宋体" w:hAnsi="宋体"/>
                <w:sz w:val="21"/>
                <w:szCs w:val="21"/>
              </w:rPr>
            </w:pPr>
            <w:r>
              <w:rPr>
                <w:rFonts w:hint="eastAsia" w:ascii="宋体" w:hAnsi="宋体"/>
                <w:sz w:val="21"/>
                <w:szCs w:val="21"/>
              </w:rPr>
              <w:t>40分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1．工作方案（15分）</w:t>
            </w:r>
          </w:p>
          <w:p>
            <w:pPr>
              <w:spacing w:line="240" w:lineRule="atLeast"/>
              <w:rPr>
                <w:rFonts w:hint="eastAsia" w:ascii="宋体" w:hAnsi="宋体"/>
                <w:sz w:val="21"/>
                <w:szCs w:val="21"/>
              </w:rPr>
            </w:pPr>
            <w:r>
              <w:rPr>
                <w:rFonts w:hint="eastAsia" w:ascii="宋体" w:hAnsi="宋体"/>
                <w:sz w:val="21"/>
                <w:szCs w:val="21"/>
              </w:rPr>
              <w:t>框架提纲合理可行，研究技术路线图清晰，有研究方法并提出可行性方案的。</w:t>
            </w:r>
          </w:p>
          <w:p>
            <w:pPr>
              <w:spacing w:line="240" w:lineRule="atLeast"/>
              <w:rPr>
                <w:rFonts w:hint="eastAsia" w:ascii="宋体" w:hAnsi="宋体"/>
                <w:sz w:val="21"/>
                <w:szCs w:val="21"/>
              </w:rPr>
            </w:pPr>
            <w:r>
              <w:rPr>
                <w:rFonts w:hint="eastAsia" w:ascii="宋体" w:hAnsi="宋体"/>
                <w:sz w:val="21"/>
                <w:szCs w:val="21"/>
              </w:rPr>
              <w:t>优（方案完整、内容详实、理解深刻）得15分；</w:t>
            </w:r>
          </w:p>
          <w:p>
            <w:pPr>
              <w:spacing w:line="240" w:lineRule="atLeast"/>
              <w:rPr>
                <w:rFonts w:hint="eastAsia" w:ascii="宋体" w:hAnsi="宋体"/>
                <w:sz w:val="21"/>
                <w:szCs w:val="21"/>
              </w:rPr>
            </w:pPr>
            <w:r>
              <w:rPr>
                <w:rFonts w:hint="eastAsia" w:ascii="宋体" w:hAnsi="宋体"/>
                <w:sz w:val="21"/>
                <w:szCs w:val="21"/>
              </w:rPr>
              <w:t>较好（方案较完整、内容较详实、理解较深刻）得10分；</w:t>
            </w:r>
          </w:p>
          <w:p>
            <w:pPr>
              <w:spacing w:line="240" w:lineRule="atLeast"/>
              <w:rPr>
                <w:rFonts w:hint="eastAsia" w:ascii="宋体" w:hAnsi="宋体"/>
                <w:sz w:val="21"/>
                <w:szCs w:val="21"/>
              </w:rPr>
            </w:pPr>
            <w:r>
              <w:rPr>
                <w:rFonts w:hint="eastAsia" w:ascii="宋体" w:hAnsi="宋体"/>
                <w:sz w:val="21"/>
                <w:szCs w:val="21"/>
              </w:rPr>
              <w:t>良（方案基本完整、内容较详实、理解一般）得5分；</w:t>
            </w:r>
          </w:p>
          <w:p>
            <w:pPr>
              <w:spacing w:line="240" w:lineRule="atLeast"/>
              <w:rPr>
                <w:rFonts w:hint="eastAsia" w:ascii="宋体" w:hAnsi="宋体"/>
                <w:sz w:val="21"/>
                <w:szCs w:val="21"/>
              </w:rPr>
            </w:pPr>
            <w:r>
              <w:rPr>
                <w:rFonts w:hint="eastAsia" w:ascii="宋体" w:hAnsi="宋体"/>
                <w:sz w:val="21"/>
                <w:szCs w:val="21"/>
              </w:rPr>
              <w:t>一般（方案一般、内容一般、理解一般）得2分；</w:t>
            </w:r>
          </w:p>
          <w:p>
            <w:pPr>
              <w:spacing w:line="240" w:lineRule="atLeast"/>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pPr>
              <w:spacing w:line="240" w:lineRule="atLeast"/>
              <w:ind w:left="-38" w:leftChars="0"/>
              <w:rPr>
                <w:rFonts w:hint="eastAsia"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6"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2．进度安排方案（8分）</w:t>
            </w:r>
          </w:p>
          <w:p>
            <w:pPr>
              <w:spacing w:line="240" w:lineRule="atLeast"/>
              <w:rPr>
                <w:rFonts w:hint="eastAsia" w:ascii="宋体" w:hAnsi="宋体"/>
                <w:sz w:val="21"/>
                <w:szCs w:val="21"/>
              </w:rPr>
            </w:pPr>
            <w:r>
              <w:rPr>
                <w:rFonts w:hint="eastAsia" w:ascii="宋体" w:hAnsi="宋体"/>
                <w:sz w:val="21"/>
                <w:szCs w:val="21"/>
              </w:rPr>
              <w:t>有详细的进度计划，时间安排合理，明确阶段成果提交时间。</w:t>
            </w:r>
          </w:p>
          <w:p>
            <w:pPr>
              <w:spacing w:line="240" w:lineRule="atLeast"/>
              <w:rPr>
                <w:rFonts w:hint="eastAsia" w:ascii="宋体" w:hAnsi="宋体"/>
                <w:sz w:val="21"/>
                <w:szCs w:val="21"/>
              </w:rPr>
            </w:pPr>
            <w:r>
              <w:rPr>
                <w:rFonts w:hint="eastAsia" w:ascii="宋体" w:hAnsi="宋体"/>
                <w:sz w:val="21"/>
                <w:szCs w:val="21"/>
              </w:rPr>
              <w:t>优（工作安排合理、能优于采购要求完成工作）得8分；</w:t>
            </w:r>
          </w:p>
          <w:p>
            <w:pPr>
              <w:spacing w:line="240" w:lineRule="atLeast"/>
              <w:rPr>
                <w:rFonts w:hint="eastAsia" w:ascii="宋体" w:hAnsi="宋体"/>
                <w:sz w:val="21"/>
                <w:szCs w:val="21"/>
              </w:rPr>
            </w:pPr>
            <w:r>
              <w:rPr>
                <w:rFonts w:hint="eastAsia" w:ascii="宋体" w:hAnsi="宋体"/>
                <w:sz w:val="21"/>
                <w:szCs w:val="21"/>
              </w:rPr>
              <w:t>较好（工作安排较合理、能优于满足采购要求完成工作）得6分；</w:t>
            </w:r>
          </w:p>
          <w:p>
            <w:pPr>
              <w:spacing w:line="240" w:lineRule="atLeast"/>
              <w:rPr>
                <w:rFonts w:hint="eastAsia" w:ascii="宋体" w:hAnsi="宋体"/>
                <w:sz w:val="21"/>
                <w:szCs w:val="21"/>
              </w:rPr>
            </w:pPr>
            <w:r>
              <w:rPr>
                <w:rFonts w:hint="eastAsia" w:ascii="宋体" w:hAnsi="宋体"/>
                <w:sz w:val="21"/>
                <w:szCs w:val="21"/>
                <w:lang w:eastAsia="zh-CN"/>
              </w:rPr>
              <w:t>良</w:t>
            </w:r>
            <w:r>
              <w:rPr>
                <w:rFonts w:hint="eastAsia" w:ascii="宋体" w:hAnsi="宋体"/>
                <w:sz w:val="21"/>
                <w:szCs w:val="21"/>
              </w:rPr>
              <w:t>（工作安排较合理、能满足采购要求完成工作）得4分；</w:t>
            </w:r>
          </w:p>
          <w:p>
            <w:pPr>
              <w:spacing w:line="240" w:lineRule="atLeast"/>
              <w:rPr>
                <w:rFonts w:hint="eastAsia"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pPr>
              <w:spacing w:line="240" w:lineRule="atLeast"/>
              <w:ind w:left="-38" w:left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0"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3．专业程度（10分）</w:t>
            </w:r>
          </w:p>
          <w:p>
            <w:pPr>
              <w:spacing w:line="240" w:lineRule="atLeast"/>
              <w:rPr>
                <w:rFonts w:hint="eastAsia" w:ascii="宋体" w:hAnsi="宋体"/>
                <w:sz w:val="21"/>
                <w:szCs w:val="21"/>
              </w:rPr>
            </w:pPr>
            <w:r>
              <w:rPr>
                <w:rFonts w:hint="eastAsia" w:ascii="宋体" w:hAnsi="宋体"/>
                <w:sz w:val="21"/>
                <w:szCs w:val="21"/>
              </w:rPr>
              <w:t>根据供应商对本项目工作相关领域的专业熟悉程度进行评分，包括区块链技术在物流运输方面的有关政策文件的出台、具体部署和最新动向掌握情况。</w:t>
            </w:r>
          </w:p>
          <w:p>
            <w:pPr>
              <w:rPr>
                <w:rFonts w:hint="eastAsia"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pPr>
              <w:rPr>
                <w:rFonts w:hint="eastAsia" w:ascii="宋体" w:hAnsi="宋体"/>
                <w:sz w:val="21"/>
                <w:szCs w:val="21"/>
              </w:rPr>
            </w:pPr>
            <w:r>
              <w:rPr>
                <w:rFonts w:hint="eastAsia" w:ascii="宋体" w:hAnsi="宋体"/>
                <w:sz w:val="21"/>
                <w:szCs w:val="21"/>
              </w:rPr>
              <w:t>较好（方案较完整、内容较详实、理解较深刻）得7分；</w:t>
            </w:r>
          </w:p>
          <w:p>
            <w:pPr>
              <w:rPr>
                <w:rFonts w:hint="eastAsia" w:ascii="宋体" w:hAnsi="宋体"/>
                <w:sz w:val="21"/>
                <w:szCs w:val="21"/>
              </w:rPr>
            </w:pPr>
            <w:r>
              <w:rPr>
                <w:rFonts w:hint="eastAsia" w:ascii="宋体" w:hAnsi="宋体"/>
                <w:sz w:val="21"/>
                <w:szCs w:val="21"/>
              </w:rPr>
              <w:t>良（方案基本完整、内容较详实、理解一般）得4分；</w:t>
            </w:r>
          </w:p>
          <w:p>
            <w:pPr>
              <w:rPr>
                <w:rFonts w:hint="eastAsia"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pPr>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pPr>
              <w:spacing w:line="240" w:lineRule="atLeast"/>
              <w:ind w:left="-38" w:left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4.重难点分析及解决方案（7分）；</w:t>
            </w:r>
          </w:p>
          <w:p>
            <w:pPr>
              <w:spacing w:line="240" w:lineRule="atLeast"/>
              <w:rPr>
                <w:rFonts w:hint="eastAsia" w:ascii="宋体" w:hAnsi="宋体"/>
                <w:sz w:val="21"/>
                <w:szCs w:val="21"/>
              </w:rPr>
            </w:pPr>
            <w:r>
              <w:rPr>
                <w:rFonts w:hint="eastAsia" w:ascii="宋体" w:hAnsi="宋体"/>
                <w:sz w:val="21"/>
                <w:szCs w:val="21"/>
              </w:rPr>
              <w:t>根据供应商对本项目重点、难点分析的透彻程度，及相应解决方案的针对性、可行性进行评分。</w:t>
            </w:r>
          </w:p>
          <w:p>
            <w:pPr>
              <w:rPr>
                <w:rFonts w:hint="eastAsia" w:ascii="宋体" w:hAnsi="宋体"/>
                <w:sz w:val="21"/>
                <w:szCs w:val="21"/>
              </w:rPr>
            </w:pPr>
            <w:r>
              <w:rPr>
                <w:rFonts w:hint="eastAsia" w:ascii="宋体" w:hAnsi="宋体"/>
                <w:sz w:val="21"/>
                <w:szCs w:val="21"/>
              </w:rPr>
              <w:t>优（方案完整、分析透彻、针对性强、可行性高）得7分；</w:t>
            </w:r>
          </w:p>
          <w:p>
            <w:pPr>
              <w:rPr>
                <w:rFonts w:hint="eastAsia" w:ascii="宋体" w:hAnsi="宋体"/>
                <w:sz w:val="21"/>
                <w:szCs w:val="21"/>
              </w:rPr>
            </w:pPr>
            <w:r>
              <w:rPr>
                <w:rFonts w:hint="eastAsia" w:ascii="宋体" w:hAnsi="宋体"/>
                <w:sz w:val="21"/>
                <w:szCs w:val="21"/>
              </w:rPr>
              <w:t>较好（方案完整、分析较透彻、针对性较强、可行性较高）得5分；</w:t>
            </w:r>
          </w:p>
          <w:p>
            <w:pPr>
              <w:rPr>
                <w:rFonts w:hint="eastAsia" w:ascii="宋体" w:hAnsi="宋体"/>
                <w:sz w:val="21"/>
                <w:szCs w:val="21"/>
              </w:rPr>
            </w:pPr>
            <w:r>
              <w:rPr>
                <w:rFonts w:hint="eastAsia" w:ascii="宋体" w:hAnsi="宋体"/>
                <w:sz w:val="21"/>
                <w:szCs w:val="21"/>
              </w:rPr>
              <w:t>良（方案基本完整、分析一般、针对性一般、可行性一般）得3分；</w:t>
            </w:r>
          </w:p>
          <w:p>
            <w:pPr>
              <w:rPr>
                <w:rFonts w:hint="eastAsia"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pPr>
              <w:spacing w:line="240" w:lineRule="atLeast"/>
              <w:rPr>
                <w:rFonts w:hint="eastAsia"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pPr>
              <w:spacing w:line="240" w:lineRule="atLeast"/>
              <w:ind w:left="-38" w:left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pPr>
              <w:spacing w:line="240" w:lineRule="atLeast"/>
              <w:ind w:firstLine="28" w:firstLineChars="0"/>
              <w:jc w:val="center"/>
              <w:rPr>
                <w:rFonts w:hint="eastAsia"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商务部分</w:t>
            </w:r>
          </w:p>
          <w:p>
            <w:pPr>
              <w:spacing w:line="240" w:lineRule="atLeast"/>
              <w:ind w:firstLine="28" w:firstLineChars="0"/>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团队配置</w:t>
            </w:r>
          </w:p>
          <w:p>
            <w:pPr>
              <w:spacing w:line="240" w:lineRule="atLeast"/>
              <w:ind w:firstLine="28" w:firstLineChars="0"/>
              <w:jc w:val="center"/>
              <w:rPr>
                <w:rFonts w:hint="eastAsia" w:ascii="宋体" w:hAnsi="宋体"/>
                <w:sz w:val="21"/>
                <w:szCs w:val="21"/>
              </w:rPr>
            </w:pPr>
            <w:r>
              <w:rPr>
                <w:rFonts w:ascii="宋体" w:hAnsi="宋体"/>
                <w:sz w:val="21"/>
                <w:szCs w:val="21"/>
              </w:rPr>
              <w:t>3</w:t>
            </w:r>
            <w:r>
              <w:rPr>
                <w:rFonts w:hint="eastAsia" w:ascii="宋体" w:hAnsi="宋体"/>
                <w:sz w:val="21"/>
                <w:szCs w:val="21"/>
              </w:rPr>
              <w:t>0分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1.人员数量（10分）</w:t>
            </w:r>
          </w:p>
          <w:p>
            <w:pPr>
              <w:spacing w:line="240" w:lineRule="atLeast"/>
              <w:rPr>
                <w:rFonts w:hint="eastAsia" w:ascii="宋体" w:hAnsi="宋体"/>
                <w:sz w:val="21"/>
                <w:szCs w:val="21"/>
              </w:rPr>
            </w:pPr>
            <w:r>
              <w:rPr>
                <w:rFonts w:hint="eastAsia" w:ascii="宋体" w:hAnsi="宋体"/>
                <w:sz w:val="21"/>
                <w:szCs w:val="21"/>
              </w:rPr>
              <w:t>拟派本项目团队人数在5人及以上的，得10分</w:t>
            </w:r>
            <w:r>
              <w:rPr>
                <w:rFonts w:hint="eastAsia" w:ascii="宋体" w:hAnsi="宋体"/>
                <w:sz w:val="21"/>
                <w:szCs w:val="21"/>
                <w:lang w:eastAsia="zh-CN"/>
              </w:rPr>
              <w:t>，否则不得分</w:t>
            </w:r>
            <w:r>
              <w:rPr>
                <w:rFonts w:hint="eastAsia" w:ascii="宋体" w:hAnsi="宋体"/>
                <w:sz w:val="21"/>
                <w:szCs w:val="21"/>
              </w:rPr>
              <w:t>。</w:t>
            </w:r>
          </w:p>
        </w:tc>
        <w:tc>
          <w:tcPr>
            <w:tcW w:w="2409" w:type="dxa"/>
            <w:vMerge w:val="restart"/>
            <w:tcBorders>
              <w:bottom w:val="single" w:color="auto" w:sz="4" w:space="0"/>
            </w:tcBorders>
            <w:vAlign w:val="center"/>
          </w:tcPr>
          <w:p>
            <w:pPr>
              <w:spacing w:line="240" w:lineRule="atLeast"/>
              <w:ind w:left="-38" w:leftChars="0"/>
              <w:jc w:val="left"/>
              <w:rPr>
                <w:rFonts w:hint="eastAsia"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2.项目负责人（</w:t>
            </w:r>
            <w:r>
              <w:rPr>
                <w:rFonts w:ascii="宋体" w:hAnsi="宋体"/>
                <w:sz w:val="21"/>
                <w:szCs w:val="21"/>
              </w:rPr>
              <w:t>1</w:t>
            </w:r>
            <w:r>
              <w:rPr>
                <w:rFonts w:hint="eastAsia" w:ascii="宋体" w:hAnsi="宋体"/>
                <w:sz w:val="21"/>
                <w:szCs w:val="21"/>
              </w:rPr>
              <w:t>0分）</w:t>
            </w:r>
          </w:p>
          <w:p>
            <w:pPr>
              <w:spacing w:line="240" w:lineRule="atLeast"/>
              <w:rPr>
                <w:rFonts w:hint="eastAsia" w:ascii="宋体" w:hAnsi="宋体"/>
                <w:sz w:val="21"/>
                <w:szCs w:val="21"/>
              </w:rPr>
            </w:pPr>
            <w:r>
              <w:rPr>
                <w:rFonts w:hint="eastAsia" w:ascii="宋体" w:hAnsi="宋体"/>
                <w:sz w:val="21"/>
                <w:szCs w:val="21"/>
              </w:rPr>
              <w:t>具备高级及以上职称、注册咨询工程师，同时提供上述两个及以上得10分，提供一个的得5分，否则不得分。</w:t>
            </w:r>
          </w:p>
        </w:tc>
        <w:tc>
          <w:tcPr>
            <w:tcW w:w="2409" w:type="dxa"/>
            <w:vMerge w:val="continue"/>
            <w:vAlign w:val="center"/>
          </w:tcPr>
          <w:p>
            <w:pPr>
              <w:spacing w:line="240" w:lineRule="atLeast"/>
              <w:ind w:left="-38" w:leftChars="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3.团队成员（10分）</w:t>
            </w:r>
          </w:p>
          <w:p>
            <w:pPr>
              <w:spacing w:line="240" w:lineRule="atLeast"/>
              <w:rPr>
                <w:rFonts w:hint="eastAsia" w:ascii="宋体" w:hAnsi="宋体"/>
                <w:sz w:val="21"/>
                <w:szCs w:val="21"/>
              </w:rPr>
            </w:pPr>
            <w:r>
              <w:rPr>
                <w:rFonts w:hint="eastAsia" w:ascii="宋体" w:hAnsi="宋体"/>
                <w:sz w:val="21"/>
                <w:szCs w:val="21"/>
              </w:rPr>
              <w:t>拟派本项目团队人员（不含项目负责人）有一名高级及以上职称，得5分，满分10分。</w:t>
            </w:r>
          </w:p>
        </w:tc>
        <w:tc>
          <w:tcPr>
            <w:tcW w:w="2409" w:type="dxa"/>
            <w:vMerge w:val="continue"/>
            <w:vAlign w:val="center"/>
          </w:tcPr>
          <w:p>
            <w:pPr>
              <w:spacing w:line="240" w:lineRule="atLeast"/>
              <w:ind w:left="-38" w:leftChars="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Align w:val="center"/>
          </w:tcPr>
          <w:p>
            <w:pPr>
              <w:spacing w:line="240" w:lineRule="atLeast"/>
              <w:jc w:val="center"/>
              <w:rPr>
                <w:rFonts w:hint="eastAsia" w:ascii="宋体" w:hAnsi="宋体"/>
                <w:sz w:val="21"/>
                <w:szCs w:val="21"/>
              </w:rPr>
            </w:pPr>
            <w:r>
              <w:rPr>
                <w:rFonts w:hint="eastAsia" w:ascii="宋体" w:hAnsi="宋体"/>
                <w:sz w:val="21"/>
                <w:szCs w:val="21"/>
              </w:rPr>
              <w:t>业绩</w:t>
            </w:r>
          </w:p>
          <w:p>
            <w:pPr>
              <w:spacing w:line="240" w:lineRule="atLeast"/>
              <w:ind w:firstLine="28" w:firstLineChars="0"/>
              <w:jc w:val="center"/>
              <w:rPr>
                <w:rFonts w:hint="eastAsia" w:ascii="宋体" w:hAnsi="宋体"/>
                <w:sz w:val="21"/>
                <w:szCs w:val="21"/>
              </w:rPr>
            </w:pPr>
            <w:r>
              <w:rPr>
                <w:rFonts w:hint="eastAsia" w:ascii="宋体" w:hAnsi="宋体"/>
                <w:sz w:val="21"/>
                <w:szCs w:val="21"/>
              </w:rPr>
              <w:t>6分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2019年1月1日至响应文件递交截止时间，供应商承接过基于区块链相关技术的建设类项目或运维类项目服务经验的，提供一个合同得3分，满分6分。</w:t>
            </w:r>
          </w:p>
        </w:tc>
        <w:tc>
          <w:tcPr>
            <w:tcW w:w="2409" w:type="dxa"/>
            <w:vAlign w:val="center"/>
          </w:tcPr>
          <w:p>
            <w:pPr>
              <w:spacing w:line="240" w:lineRule="atLeast"/>
              <w:ind w:left="-38" w:leftChars="0"/>
              <w:jc w:val="left"/>
              <w:rPr>
                <w:rFonts w:hint="eastAsia" w:ascii="宋体" w:hAnsi="宋体"/>
                <w:sz w:val="21"/>
                <w:szCs w:val="21"/>
              </w:rPr>
            </w:pPr>
            <w:r>
              <w:rPr>
                <w:rFonts w:hint="eastAsia" w:ascii="宋体" w:hAnsi="宋体"/>
                <w:sz w:val="21"/>
                <w:szCs w:val="21"/>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firstLineChars="0"/>
              <w:jc w:val="center"/>
              <w:rPr>
                <w:rFonts w:hint="eastAsia" w:ascii="宋体" w:hAnsi="宋体"/>
                <w:sz w:val="21"/>
                <w:szCs w:val="21"/>
              </w:rPr>
            </w:pPr>
          </w:p>
        </w:tc>
        <w:tc>
          <w:tcPr>
            <w:tcW w:w="1276" w:type="dxa"/>
            <w:vMerge w:val="continue"/>
            <w:vAlign w:val="center"/>
          </w:tcPr>
          <w:p>
            <w:pPr>
              <w:spacing w:line="240" w:lineRule="atLeast"/>
              <w:ind w:firstLine="28" w:firstLineChars="0"/>
              <w:jc w:val="center"/>
              <w:rPr>
                <w:rFonts w:hint="eastAsia" w:ascii="宋体" w:hAnsi="宋体"/>
                <w:sz w:val="21"/>
                <w:szCs w:val="21"/>
              </w:rPr>
            </w:pPr>
          </w:p>
        </w:tc>
        <w:tc>
          <w:tcPr>
            <w:tcW w:w="1276" w:type="dxa"/>
            <w:vAlign w:val="center"/>
          </w:tcPr>
          <w:p>
            <w:pPr>
              <w:spacing w:line="240" w:lineRule="atLeast"/>
              <w:jc w:val="center"/>
              <w:rPr>
                <w:rFonts w:ascii="宋体" w:hAnsi="宋体"/>
                <w:sz w:val="21"/>
                <w:szCs w:val="21"/>
              </w:rPr>
            </w:pPr>
            <w:r>
              <w:rPr>
                <w:rFonts w:hint="eastAsia" w:ascii="宋体" w:hAnsi="宋体"/>
                <w:sz w:val="21"/>
                <w:szCs w:val="21"/>
              </w:rPr>
              <w:t>企业资质</w:t>
            </w:r>
          </w:p>
          <w:p>
            <w:pPr>
              <w:spacing w:line="240" w:lineRule="atLeast"/>
              <w:jc w:val="center"/>
              <w:rPr>
                <w:rFonts w:hint="eastAsia" w:ascii="宋体" w:hAnsi="宋体"/>
                <w:sz w:val="21"/>
                <w:szCs w:val="21"/>
              </w:rPr>
            </w:pPr>
            <w:r>
              <w:rPr>
                <w:rFonts w:hint="eastAsia" w:ascii="宋体" w:hAnsi="宋体"/>
                <w:sz w:val="21"/>
                <w:szCs w:val="21"/>
              </w:rPr>
              <w:t>4分</w:t>
            </w:r>
          </w:p>
        </w:tc>
        <w:tc>
          <w:tcPr>
            <w:tcW w:w="4111" w:type="dxa"/>
            <w:vAlign w:val="center"/>
          </w:tcPr>
          <w:p>
            <w:pPr>
              <w:spacing w:line="240" w:lineRule="atLeast"/>
              <w:rPr>
                <w:rFonts w:hint="eastAsia" w:ascii="宋体" w:hAnsi="宋体"/>
                <w:sz w:val="21"/>
                <w:szCs w:val="21"/>
              </w:rPr>
            </w:pPr>
            <w:r>
              <w:rPr>
                <w:rFonts w:hint="eastAsia" w:ascii="宋体" w:hAnsi="宋体"/>
                <w:sz w:val="21"/>
                <w:szCs w:val="21"/>
              </w:rPr>
              <w:t>投标人提供区块链信息服务备案的证明材料得4分，未提供不得分。</w:t>
            </w:r>
          </w:p>
        </w:tc>
        <w:tc>
          <w:tcPr>
            <w:tcW w:w="2409" w:type="dxa"/>
            <w:vAlign w:val="center"/>
          </w:tcPr>
          <w:p>
            <w:pPr>
              <w:spacing w:line="240" w:lineRule="atLeast"/>
              <w:ind w:left="-38" w:leftChars="0"/>
              <w:jc w:val="left"/>
              <w:rPr>
                <w:rFonts w:hint="eastAsia" w:ascii="宋体" w:hAnsi="宋体"/>
                <w:sz w:val="21"/>
                <w:szCs w:val="21"/>
              </w:rPr>
            </w:pPr>
            <w:r>
              <w:rPr>
                <w:rFonts w:hint="eastAsia" w:ascii="宋体" w:hAnsi="宋体"/>
                <w:sz w:val="21"/>
                <w:szCs w:val="21"/>
              </w:rPr>
              <w:t>提供资质备案证明材料，加盖供应商公章。</w:t>
            </w:r>
          </w:p>
        </w:tc>
      </w:tr>
    </w:tbl>
    <w:p>
      <w:pPr>
        <w:snapToGrid w:val="0"/>
        <w:spacing w:line="360" w:lineRule="auto"/>
        <w:ind w:firstLine="465"/>
        <w:rPr>
          <w:rFonts w:hint="eastAsia" w:ascii="宋体" w:hAnsi="宋体"/>
          <w:b/>
          <w:sz w:val="24"/>
          <w:szCs w:val="24"/>
        </w:rPr>
      </w:pPr>
      <w:r>
        <w:rPr>
          <w:rFonts w:hint="eastAsia" w:ascii="宋体" w:hAnsi="宋体"/>
          <w:b/>
          <w:sz w:val="24"/>
          <w:szCs w:val="24"/>
        </w:rPr>
        <w:t>说明：</w:t>
      </w:r>
    </w:p>
    <w:p>
      <w:pPr>
        <w:snapToGrid w:val="0"/>
        <w:spacing w:line="360" w:lineRule="auto"/>
        <w:ind w:firstLine="465"/>
        <w:rPr>
          <w:rFonts w:hint="eastAsia"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hint="eastAsia" w:ascii="宋体" w:hAnsi="宋体"/>
          <w:sz w:val="24"/>
          <w:szCs w:val="24"/>
        </w:rPr>
      </w:pPr>
      <w:r>
        <w:rPr>
          <w:rFonts w:hint="eastAsia" w:ascii="宋体" w:hAnsi="宋体"/>
          <w:sz w:val="24"/>
          <w:szCs w:val="24"/>
        </w:rPr>
        <w:t>（二）关于小微企业报价扣除比例说明</w:t>
      </w:r>
    </w:p>
    <w:p>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hint="eastAsia"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65"/>
        <w:rPr>
          <w:rFonts w:hint="eastAsia" w:ascii="宋体" w:hAnsi="宋体"/>
          <w:sz w:val="24"/>
          <w:szCs w:val="24"/>
        </w:rPr>
      </w:pPr>
      <w:r>
        <w:rPr>
          <w:rFonts w:hint="eastAsia" w:ascii="宋体" w:hAnsi="宋体"/>
          <w:sz w:val="24"/>
          <w:szCs w:val="24"/>
        </w:rPr>
        <w:t>2.对小微型企业给予</w:t>
      </w:r>
      <w:r>
        <w:rPr>
          <w:rFonts w:ascii="Times New Roman" w:hAnsi="Times New Roman"/>
          <w:sz w:val="24"/>
          <w:szCs w:val="24"/>
          <w:u w:val="single"/>
        </w:rPr>
        <w:t xml:space="preserve"> 10</w:t>
      </w:r>
      <w:r>
        <w:rPr>
          <w:rFonts w:ascii="Times New Roman" w:hAnsi="Times New Roman"/>
          <w:b/>
          <w:bCs/>
          <w:sz w:val="24"/>
          <w:szCs w:val="24"/>
          <w:u w:val="single"/>
        </w:rPr>
        <w:t xml:space="preserve"> </w:t>
      </w:r>
      <w:r>
        <w:rPr>
          <w:rFonts w:hint="eastAsia" w:ascii="宋体" w:hAnsi="宋体"/>
          <w:b/>
          <w:bCs/>
          <w:sz w:val="24"/>
          <w:szCs w:val="24"/>
          <w:u w:val="single"/>
        </w:rPr>
        <w:t>%</w:t>
      </w:r>
      <w:r>
        <w:rPr>
          <w:rFonts w:hint="eastAsia" w:ascii="宋体" w:hAnsi="宋体"/>
          <w:sz w:val="24"/>
          <w:szCs w:val="24"/>
        </w:rPr>
        <w:t>的扣除，以扣除后的报价参与评审。</w:t>
      </w:r>
    </w:p>
    <w:p>
      <w:pPr>
        <w:snapToGrid w:val="0"/>
        <w:spacing w:line="360" w:lineRule="auto"/>
        <w:ind w:firstLine="465"/>
        <w:rPr>
          <w:rFonts w:hint="eastAsia" w:ascii="宋体" w:hAnsi="宋体"/>
          <w:sz w:val="24"/>
          <w:szCs w:val="24"/>
        </w:rPr>
      </w:pPr>
      <w:r>
        <w:rPr>
          <w:rFonts w:hint="eastAsia" w:ascii="宋体" w:hAnsi="宋体"/>
          <w:sz w:val="24"/>
          <w:szCs w:val="24"/>
        </w:rPr>
        <w:t>3.监狱企业、残疾人福利性单位视同小型、微型企业。</w:t>
      </w:r>
    </w:p>
    <w:p>
      <w:pPr>
        <w:pStyle w:val="5"/>
        <w:spacing w:before="0" w:after="0" w:line="360" w:lineRule="auto"/>
        <w:ind w:firstLine="481" w:firstLineChars="200"/>
        <w:rPr>
          <w:rFonts w:hint="eastAsia" w:ascii="宋体" w:hAnsi="宋体"/>
          <w:sz w:val="24"/>
          <w:szCs w:val="24"/>
        </w:rPr>
      </w:pPr>
      <w:bookmarkStart w:id="77" w:name="_Toc32283"/>
      <w:r>
        <w:rPr>
          <w:rFonts w:hint="eastAsia" w:ascii="宋体" w:hAnsi="宋体"/>
          <w:sz w:val="24"/>
          <w:szCs w:val="24"/>
        </w:rPr>
        <w:t>三、无效响应</w:t>
      </w:r>
      <w:bookmarkEnd w:id="77"/>
    </w:p>
    <w:p>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hint="eastAsia"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（二）供应商的法定代表人或其授权代表未参加比选；</w:t>
      </w:r>
    </w:p>
    <w:p>
      <w:pPr>
        <w:snapToGrid w:val="0"/>
        <w:spacing w:line="360" w:lineRule="auto"/>
        <w:ind w:firstLine="465"/>
        <w:rPr>
          <w:rFonts w:hint="eastAsia" w:ascii="宋体" w:hAnsi="宋体"/>
          <w:sz w:val="24"/>
          <w:szCs w:val="24"/>
        </w:rPr>
      </w:pPr>
      <w:r>
        <w:rPr>
          <w:rFonts w:hint="eastAsia" w:ascii="宋体" w:hAnsi="宋体"/>
          <w:sz w:val="24"/>
          <w:szCs w:val="24"/>
        </w:rPr>
        <w:t>（三）供应商未按照竞争性比选文件的要求缴纳比选保证金；</w:t>
      </w:r>
    </w:p>
    <w:p>
      <w:pPr>
        <w:snapToGrid w:val="0"/>
        <w:spacing w:line="360" w:lineRule="auto"/>
        <w:ind w:firstLine="465"/>
        <w:rPr>
          <w:rFonts w:hint="eastAsia" w:ascii="宋体" w:hAnsi="宋体"/>
          <w:sz w:val="24"/>
          <w:szCs w:val="24"/>
        </w:rPr>
      </w:pPr>
      <w:r>
        <w:rPr>
          <w:rFonts w:hint="eastAsia" w:ascii="宋体" w:hAnsi="宋体"/>
          <w:sz w:val="24"/>
          <w:szCs w:val="24"/>
        </w:rPr>
        <w:t>（四）供应商所提交的响应文件不按第七篇“响应文件编制要求”规定签字、盖章；</w:t>
      </w:r>
    </w:p>
    <w:p>
      <w:pPr>
        <w:snapToGrid w:val="0"/>
        <w:spacing w:line="360" w:lineRule="auto"/>
        <w:ind w:firstLine="465"/>
        <w:rPr>
          <w:rFonts w:hint="eastAsia" w:ascii="宋体" w:hAnsi="宋体"/>
          <w:sz w:val="24"/>
          <w:szCs w:val="24"/>
        </w:rPr>
      </w:pPr>
      <w:r>
        <w:rPr>
          <w:rFonts w:hint="eastAsia" w:ascii="宋体" w:hAnsi="宋体"/>
          <w:sz w:val="24"/>
          <w:szCs w:val="24"/>
        </w:rPr>
        <w:t>（五）供应商的报价超过采购预算金额或最高限价的；</w:t>
      </w:r>
    </w:p>
    <w:p>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（八）所提供的产品不符合必须强制执行的国家标准的；</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（九）供应商的服务时间、服务质保期及比选有效期不满足竞争性比选文件要求的；</w:t>
      </w:r>
    </w:p>
    <w:p>
      <w:pPr>
        <w:snapToGrid w:val="0"/>
        <w:spacing w:line="360" w:lineRule="auto"/>
        <w:ind w:firstLine="465"/>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（十）供应商响应文件内容有与国家现行法律法规相违背的内容，或附有采购人无法接受的条件。</w:t>
      </w:r>
    </w:p>
    <w:p>
      <w:pPr>
        <w:pStyle w:val="5"/>
        <w:spacing w:before="0" w:after="0" w:line="360" w:lineRule="auto"/>
        <w:ind w:firstLine="481" w:firstLineChars="200"/>
        <w:rPr>
          <w:rFonts w:hint="eastAsia" w:ascii="宋体" w:hAnsi="宋体"/>
          <w:sz w:val="24"/>
          <w:szCs w:val="24"/>
        </w:rPr>
      </w:pPr>
      <w:bookmarkStart w:id="78" w:name="_Toc16053"/>
      <w:r>
        <w:rPr>
          <w:rFonts w:hint="eastAsia" w:ascii="宋体" w:hAnsi="宋体"/>
          <w:sz w:val="24"/>
          <w:szCs w:val="24"/>
        </w:rPr>
        <w:t>四、</w:t>
      </w:r>
      <w:bookmarkEnd w:id="75"/>
      <w:bookmarkEnd w:id="76"/>
      <w:r>
        <w:rPr>
          <w:rFonts w:hint="eastAsia" w:ascii="宋体" w:hAnsi="宋体"/>
          <w:sz w:val="24"/>
          <w:szCs w:val="24"/>
        </w:rPr>
        <w:t>采购终止</w:t>
      </w:r>
      <w:bookmarkEnd w:id="78"/>
    </w:p>
    <w:p>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（一）因情况变化，不再符合规定的竞争性比选采购人式适用情形的；</w:t>
      </w:r>
    </w:p>
    <w:p>
      <w:pPr>
        <w:snapToGrid w:val="0"/>
        <w:spacing w:line="360" w:lineRule="auto"/>
        <w:ind w:firstLine="465"/>
        <w:rPr>
          <w:rFonts w:hint="eastAsia"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pPr>
        <w:pStyle w:val="4"/>
        <w:spacing w:line="360" w:lineRule="auto"/>
        <w:jc w:val="center"/>
        <w:rPr>
          <w:rFonts w:hint="eastAsia" w:ascii="宋体" w:hAnsi="宋体" w:eastAsia="宋体"/>
          <w:sz w:val="36"/>
          <w:szCs w:val="30"/>
        </w:rPr>
      </w:pPr>
      <w:bookmarkStart w:id="79" w:name="_Toc102227313"/>
      <w:bookmarkStart w:id="80" w:name="_Toc31032"/>
      <w:r>
        <w:rPr>
          <w:rFonts w:hint="eastAsia" w:ascii="宋体" w:hAnsi="宋体" w:eastAsia="宋体"/>
          <w:sz w:val="36"/>
          <w:szCs w:val="30"/>
        </w:rPr>
        <w:t>第五篇  供应商须知</w:t>
      </w:r>
      <w:bookmarkEnd w:id="79"/>
      <w:bookmarkEnd w:id="80"/>
    </w:p>
    <w:p>
      <w:pPr>
        <w:pStyle w:val="5"/>
        <w:spacing w:before="0" w:after="0" w:line="360" w:lineRule="auto"/>
        <w:ind w:firstLine="481" w:firstLineChars="200"/>
        <w:rPr>
          <w:rFonts w:hint="eastAsia" w:ascii="宋体" w:hAnsi="宋体"/>
          <w:sz w:val="24"/>
          <w:szCs w:val="24"/>
        </w:rPr>
      </w:pPr>
      <w:bookmarkStart w:id="81" w:name="_Toc14699"/>
      <w:bookmarkStart w:id="82" w:name="_Toc342913389"/>
      <w:r>
        <w:rPr>
          <w:rFonts w:hint="eastAsia" w:ascii="宋体" w:hAnsi="宋体"/>
          <w:sz w:val="24"/>
          <w:szCs w:val="24"/>
        </w:rPr>
        <w:t>一、比选费用</w:t>
      </w:r>
      <w:bookmarkEnd w:id="81"/>
      <w:bookmarkEnd w:id="82"/>
    </w:p>
    <w:p>
      <w:pPr>
        <w:pStyle w:val="200"/>
        <w:spacing w:line="360" w:lineRule="auto"/>
        <w:ind w:firstLine="480" w:firstLineChars="200"/>
        <w:rPr>
          <w:rFonts w:hint="eastAsia"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1" w:firstLineChars="200"/>
        <w:rPr>
          <w:rFonts w:hint="eastAsia" w:ascii="宋体" w:hAnsi="宋体"/>
          <w:sz w:val="24"/>
          <w:szCs w:val="24"/>
        </w:rPr>
      </w:pPr>
      <w:bookmarkStart w:id="83" w:name="_Toc342913391"/>
      <w:bookmarkStart w:id="84" w:name="_Toc15247"/>
      <w:r>
        <w:rPr>
          <w:rFonts w:hint="eastAsia" w:ascii="宋体" w:hAnsi="宋体"/>
          <w:sz w:val="24"/>
          <w:szCs w:val="24"/>
        </w:rPr>
        <w:t>二、竞争性比选文件</w:t>
      </w:r>
      <w:bookmarkEnd w:id="83"/>
      <w:bookmarkEnd w:id="84"/>
    </w:p>
    <w:p>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hint="eastAsia"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349"/>
      <w:bookmarkStart w:id="86" w:name="_Toc318166429"/>
      <w:bookmarkStart w:id="87" w:name="_Toc318159780"/>
      <w:bookmarkStart w:id="88" w:name="_Toc318159160"/>
    </w:p>
    <w:p>
      <w:pPr>
        <w:spacing w:line="360" w:lineRule="auto"/>
        <w:ind w:firstLine="480" w:firstLineChars="200"/>
        <w:rPr>
          <w:rFonts w:hint="eastAsia"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pPr>
        <w:pStyle w:val="5"/>
        <w:spacing w:before="0" w:after="0" w:line="360" w:lineRule="auto"/>
        <w:ind w:firstLine="481" w:firstLineChars="200"/>
        <w:rPr>
          <w:rFonts w:hint="eastAsia" w:ascii="宋体" w:hAnsi="宋体"/>
          <w:sz w:val="24"/>
          <w:szCs w:val="24"/>
        </w:rPr>
      </w:pPr>
      <w:bookmarkStart w:id="89" w:name="_Toc342913392"/>
      <w:bookmarkStart w:id="90" w:name="_Toc30493"/>
      <w:bookmarkStart w:id="91" w:name="_Toc102227318"/>
      <w:bookmarkStart w:id="92" w:name="_Toc179714297"/>
      <w:r>
        <w:rPr>
          <w:rFonts w:hint="eastAsia" w:ascii="宋体" w:hAnsi="宋体"/>
          <w:sz w:val="24"/>
          <w:szCs w:val="24"/>
        </w:rPr>
        <w:t>三、比选要求</w:t>
      </w:r>
      <w:bookmarkEnd w:id="89"/>
      <w:bookmarkEnd w:id="90"/>
      <w:bookmarkEnd w:id="91"/>
      <w:bookmarkEnd w:id="92"/>
    </w:p>
    <w:p>
      <w:pPr>
        <w:spacing w:line="360" w:lineRule="auto"/>
        <w:ind w:firstLine="480" w:firstLineChars="200"/>
        <w:rPr>
          <w:rFonts w:hint="eastAsia" w:ascii="宋体" w:hAnsi="宋体"/>
          <w:sz w:val="24"/>
          <w:szCs w:val="24"/>
        </w:rPr>
      </w:pPr>
      <w:r>
        <w:rPr>
          <w:rFonts w:hint="eastAsia" w:ascii="宋体" w:hAnsi="宋体"/>
          <w:sz w:val="24"/>
          <w:szCs w:val="24"/>
        </w:rPr>
        <w:t>（一）响应文件</w:t>
      </w:r>
    </w:p>
    <w:p>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sz w:val="24"/>
          <w:szCs w:val="24"/>
        </w:rPr>
      </w:pPr>
      <w:r>
        <w:rPr>
          <w:rFonts w:hint="eastAsia" w:ascii="宋体" w:hAnsi="宋体"/>
          <w:sz w:val="24"/>
          <w:szCs w:val="24"/>
        </w:rPr>
        <w:t>（二）联合体</w:t>
      </w:r>
    </w:p>
    <w:p>
      <w:pPr>
        <w:spacing w:line="360" w:lineRule="auto"/>
        <w:ind w:firstLine="480" w:firstLineChars="200"/>
        <w:rPr>
          <w:rFonts w:hint="eastAsia"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hint="eastAsia"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hint="eastAsia" w:ascii="宋体" w:hAnsi="宋体"/>
          <w:sz w:val="24"/>
          <w:szCs w:val="24"/>
        </w:rPr>
      </w:pPr>
      <w:r>
        <w:rPr>
          <w:rFonts w:hint="eastAsia" w:ascii="宋体" w:hAnsi="宋体"/>
          <w:sz w:val="24"/>
          <w:szCs w:val="24"/>
        </w:rPr>
        <w:t>（四）比选保证金：</w:t>
      </w:r>
    </w:p>
    <w:p>
      <w:pPr>
        <w:spacing w:line="360" w:lineRule="auto"/>
        <w:ind w:firstLine="480" w:firstLineChars="200"/>
        <w:rPr>
          <w:rFonts w:hint="eastAsia"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hint="eastAsia"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hint="eastAsia"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hint="eastAsia"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hint="eastAsia"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hint="eastAsia"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hint="eastAsia"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hint="eastAsia" w:ascii="宋体" w:hAnsi="宋体"/>
          <w:sz w:val="24"/>
          <w:szCs w:val="24"/>
        </w:rPr>
      </w:pPr>
      <w:r>
        <w:rPr>
          <w:rFonts w:hint="eastAsia" w:ascii="宋体" w:hAnsi="宋体"/>
          <w:sz w:val="24"/>
          <w:szCs w:val="24"/>
        </w:rPr>
        <w:t>（四）修正错误</w:t>
      </w:r>
    </w:p>
    <w:p>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hint="eastAsia"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5"/>
        <w:spacing w:before="0" w:after="0" w:line="360" w:lineRule="auto"/>
        <w:ind w:firstLine="481" w:firstLineChars="200"/>
        <w:rPr>
          <w:rFonts w:hint="eastAsia" w:ascii="宋体" w:hAnsi="宋体"/>
          <w:sz w:val="24"/>
          <w:szCs w:val="24"/>
        </w:rPr>
      </w:pPr>
      <w:bookmarkStart w:id="93" w:name="_Toc8180"/>
      <w:r>
        <w:rPr>
          <w:rFonts w:hint="eastAsia" w:ascii="宋体" w:hAnsi="宋体"/>
          <w:sz w:val="24"/>
          <w:szCs w:val="24"/>
        </w:rPr>
        <w:t>四、成交供应商的确认和变更</w:t>
      </w:r>
      <w:bookmarkEnd w:id="93"/>
    </w:p>
    <w:p>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1" w:firstLineChars="200"/>
        <w:rPr>
          <w:rFonts w:hint="eastAsia" w:ascii="宋体" w:hAnsi="宋体"/>
          <w:sz w:val="24"/>
          <w:szCs w:val="24"/>
        </w:rPr>
      </w:pPr>
      <w:bookmarkStart w:id="94" w:name="_Toc102227321"/>
      <w:bookmarkStart w:id="95" w:name="_Toc28310"/>
      <w:bookmarkStart w:id="96" w:name="_Toc342913395"/>
      <w:r>
        <w:rPr>
          <w:rFonts w:hint="eastAsia" w:ascii="宋体" w:hAnsi="宋体"/>
          <w:sz w:val="24"/>
          <w:szCs w:val="24"/>
        </w:rPr>
        <w:t>五、成交通知</w:t>
      </w:r>
      <w:bookmarkEnd w:id="94"/>
      <w:bookmarkEnd w:id="95"/>
      <w:bookmarkEnd w:id="96"/>
    </w:p>
    <w:p>
      <w:pPr>
        <w:spacing w:line="360" w:lineRule="auto"/>
        <w:ind w:firstLine="480" w:firstLineChars="200"/>
        <w:rPr>
          <w:rFonts w:hint="eastAsia"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hint="eastAsia" w:ascii="宋体" w:hAnsi="宋体"/>
        </w:rPr>
      </w:pPr>
      <w:r>
        <w:rPr>
          <w:rFonts w:hint="eastAsia" w:ascii="宋体" w:hAnsi="宋体"/>
          <w:sz w:val="24"/>
          <w:szCs w:val="24"/>
        </w:rPr>
        <w:t>（四）如有供应商对成交结果提出质疑的，在质疑处理完毕后发出成交通知书。</w:t>
      </w:r>
    </w:p>
    <w:p>
      <w:pPr>
        <w:pStyle w:val="5"/>
        <w:spacing w:before="0" w:after="0" w:line="360" w:lineRule="auto"/>
        <w:ind w:firstLine="481" w:firstLineChars="200"/>
        <w:rPr>
          <w:rFonts w:hint="eastAsia" w:ascii="宋体" w:hAnsi="宋体"/>
          <w:sz w:val="24"/>
          <w:szCs w:val="24"/>
        </w:rPr>
      </w:pPr>
      <w:bookmarkStart w:id="97" w:name="_Toc21548"/>
      <w:r>
        <w:rPr>
          <w:rFonts w:hint="eastAsia" w:ascii="宋体" w:hAnsi="宋体"/>
          <w:sz w:val="24"/>
          <w:szCs w:val="24"/>
        </w:rPr>
        <w:t>六、关于质疑和投诉</w:t>
      </w:r>
      <w:bookmarkEnd w:id="97"/>
    </w:p>
    <w:p>
      <w:pPr>
        <w:spacing w:line="360" w:lineRule="auto"/>
        <w:ind w:firstLine="480" w:firstLineChars="200"/>
        <w:rPr>
          <w:rFonts w:hint="eastAsia" w:ascii="宋体" w:hAnsi="宋体"/>
          <w:sz w:val="24"/>
          <w:szCs w:val="24"/>
        </w:rPr>
      </w:pPr>
      <w:r>
        <w:rPr>
          <w:rFonts w:hint="eastAsia" w:ascii="宋体" w:hAnsi="宋体"/>
          <w:sz w:val="24"/>
          <w:szCs w:val="24"/>
        </w:rPr>
        <w:t>（一）质疑</w:t>
      </w:r>
    </w:p>
    <w:p>
      <w:pPr>
        <w:spacing w:line="360" w:lineRule="auto"/>
        <w:ind w:firstLine="570"/>
        <w:rPr>
          <w:rFonts w:hint="eastAsia"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hint="eastAsia" w:ascii="宋体" w:hAnsi="宋体"/>
          <w:sz w:val="24"/>
          <w:szCs w:val="24"/>
        </w:rPr>
      </w:pPr>
      <w:r>
        <w:rPr>
          <w:rFonts w:hint="eastAsia" w:ascii="宋体" w:hAnsi="宋体"/>
          <w:sz w:val="24"/>
          <w:szCs w:val="24"/>
        </w:rPr>
        <w:t>1.质疑内容、时限</w:t>
      </w:r>
    </w:p>
    <w:p>
      <w:pPr>
        <w:spacing w:line="360" w:lineRule="auto"/>
        <w:ind w:firstLine="570"/>
        <w:rPr>
          <w:rFonts w:hint="eastAsia"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hint="eastAsia" w:ascii="宋体" w:hAnsi="宋体"/>
          <w:sz w:val="24"/>
          <w:szCs w:val="24"/>
        </w:rPr>
      </w:pPr>
      <w:r>
        <w:rPr>
          <w:rFonts w:hint="eastAsia" w:ascii="宋体" w:hAnsi="宋体"/>
          <w:sz w:val="24"/>
          <w:szCs w:val="24"/>
        </w:rPr>
        <w:t>（4）事实依据；</w:t>
      </w:r>
    </w:p>
    <w:p>
      <w:pPr>
        <w:spacing w:line="360" w:lineRule="auto"/>
        <w:ind w:firstLine="570"/>
        <w:rPr>
          <w:rFonts w:hint="eastAsia" w:ascii="宋体" w:hAnsi="宋体"/>
          <w:sz w:val="24"/>
          <w:szCs w:val="24"/>
        </w:rPr>
      </w:pPr>
      <w:r>
        <w:rPr>
          <w:rFonts w:hint="eastAsia" w:ascii="宋体" w:hAnsi="宋体"/>
          <w:sz w:val="24"/>
          <w:szCs w:val="24"/>
        </w:rPr>
        <w:t>（5）必要的法律依据；</w:t>
      </w:r>
    </w:p>
    <w:p>
      <w:pPr>
        <w:spacing w:line="360" w:lineRule="auto"/>
        <w:ind w:firstLine="570"/>
        <w:rPr>
          <w:rFonts w:hint="eastAsia" w:ascii="宋体" w:hAnsi="宋体"/>
          <w:sz w:val="24"/>
          <w:szCs w:val="24"/>
        </w:rPr>
      </w:pPr>
      <w:r>
        <w:rPr>
          <w:rFonts w:hint="eastAsia" w:ascii="宋体" w:hAnsi="宋体"/>
          <w:sz w:val="24"/>
          <w:szCs w:val="24"/>
        </w:rPr>
        <w:t>（6）提出质疑的日期；</w:t>
      </w:r>
    </w:p>
    <w:p>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sz w:val="24"/>
          <w:szCs w:val="24"/>
        </w:rPr>
      </w:pPr>
      <w:r>
        <w:rPr>
          <w:rFonts w:hint="eastAsia" w:ascii="宋体" w:hAnsi="宋体"/>
          <w:sz w:val="24"/>
          <w:szCs w:val="24"/>
        </w:rPr>
        <w:t>2.质疑答复</w:t>
      </w:r>
    </w:p>
    <w:p>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sz w:val="24"/>
          <w:szCs w:val="24"/>
        </w:rPr>
      </w:pPr>
      <w:r>
        <w:rPr>
          <w:rFonts w:hint="eastAsia" w:ascii="宋体" w:hAnsi="宋体"/>
          <w:sz w:val="24"/>
          <w:szCs w:val="24"/>
        </w:rPr>
        <w:t>3.其他</w:t>
      </w:r>
    </w:p>
    <w:p>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hint="eastAsia" w:ascii="宋体" w:hAnsi="宋体"/>
          <w:sz w:val="24"/>
          <w:szCs w:val="24"/>
        </w:rPr>
      </w:pPr>
      <w:r>
        <w:rPr>
          <w:rFonts w:hint="eastAsia" w:ascii="宋体" w:hAnsi="宋体"/>
          <w:sz w:val="24"/>
          <w:szCs w:val="24"/>
        </w:rPr>
        <w:t>（二）投诉</w:t>
      </w:r>
    </w:p>
    <w:p>
      <w:pPr>
        <w:spacing w:line="360" w:lineRule="auto"/>
        <w:ind w:firstLine="570"/>
        <w:rPr>
          <w:rFonts w:hint="eastAsia"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hint="eastAsia"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hint="eastAsia"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hint="eastAsia"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1" w:firstLineChars="200"/>
        <w:rPr>
          <w:rFonts w:hint="eastAsia" w:ascii="宋体" w:hAnsi="宋体"/>
          <w:sz w:val="24"/>
          <w:szCs w:val="24"/>
        </w:rPr>
      </w:pPr>
      <w:bookmarkStart w:id="98" w:name="_Toc26661"/>
      <w:r>
        <w:rPr>
          <w:rFonts w:hint="eastAsia" w:ascii="宋体" w:hAnsi="宋体"/>
          <w:sz w:val="24"/>
          <w:szCs w:val="24"/>
        </w:rPr>
        <w:t>七、采购代理服务费</w:t>
      </w:r>
      <w:bookmarkEnd w:id="98"/>
    </w:p>
    <w:p>
      <w:pPr>
        <w:spacing w:line="360" w:lineRule="auto"/>
        <w:ind w:firstLine="480" w:firstLineChars="200"/>
        <w:rPr>
          <w:rFonts w:hint="eastAsia" w:ascii="宋体" w:hAnsi="宋体"/>
          <w:sz w:val="24"/>
        </w:rPr>
      </w:pPr>
      <w:r>
        <w:rPr>
          <w:rFonts w:hint="eastAsia" w:ascii="宋体" w:hAnsi="宋体"/>
          <w:sz w:val="24"/>
        </w:rPr>
        <w:t>（一）采购代理服务费标准</w:t>
      </w:r>
    </w:p>
    <w:p>
      <w:pPr>
        <w:spacing w:line="360" w:lineRule="auto"/>
        <w:ind w:firstLine="480" w:firstLineChars="200"/>
        <w:rPr>
          <w:rFonts w:hint="eastAsia"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PvmD1gAAAAgBAAAPAAAAAAAAAAEAIAAA&#10;ADgAAABkcnMvZG93bnJldi54bWxQSwECFAAUAAAACACHTuJANqueaL8BAAB/AwAADgAAAAAAAAAB&#10;ACAAAAA7AQAAZHJzL2Uyb0RvYy54bWxQSwUGAAAAAAYABgBZAQAAbA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hint="eastAsia"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vAlign w:val="center"/>
          </w:tcPr>
          <w:p>
            <w:pPr>
              <w:pStyle w:val="212"/>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pPr>
        <w:snapToGrid w:val="0"/>
        <w:spacing w:line="360" w:lineRule="auto"/>
        <w:ind w:firstLine="481" w:firstLineChars="200"/>
        <w:rPr>
          <w:rFonts w:hint="eastAsia"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1" w:firstLineChars="200"/>
        <w:rPr>
          <w:rFonts w:hint="eastAsia" w:ascii="宋体" w:hAnsi="宋体"/>
          <w:b/>
          <w:sz w:val="24"/>
          <w:szCs w:val="24"/>
        </w:rPr>
      </w:pPr>
      <w:r>
        <w:rPr>
          <w:rFonts w:hint="eastAsia" w:ascii="宋体" w:hAnsi="宋体"/>
          <w:b/>
          <w:sz w:val="24"/>
          <w:szCs w:val="24"/>
        </w:rPr>
        <w:t>开户行：中国银行重庆江北支行</w:t>
      </w:r>
    </w:p>
    <w:p>
      <w:pPr>
        <w:snapToGrid w:val="0"/>
        <w:spacing w:line="360" w:lineRule="auto"/>
        <w:ind w:firstLine="481" w:firstLineChars="200"/>
        <w:rPr>
          <w:rFonts w:hint="eastAsia" w:ascii="宋体" w:hAnsi="宋体"/>
          <w:b/>
          <w:sz w:val="24"/>
          <w:szCs w:val="24"/>
        </w:rPr>
      </w:pPr>
      <w:r>
        <w:rPr>
          <w:rFonts w:hint="eastAsia" w:ascii="宋体" w:hAnsi="宋体"/>
          <w:b/>
          <w:sz w:val="24"/>
          <w:szCs w:val="24"/>
        </w:rPr>
        <w:t>账  号：1144 6718 4234</w:t>
      </w:r>
    </w:p>
    <w:p>
      <w:pPr>
        <w:pStyle w:val="5"/>
        <w:spacing w:before="0" w:after="0" w:line="360" w:lineRule="auto"/>
        <w:ind w:firstLine="481" w:firstLineChars="200"/>
        <w:rPr>
          <w:rFonts w:hint="eastAsia" w:ascii="宋体" w:hAnsi="宋体"/>
          <w:sz w:val="24"/>
          <w:szCs w:val="24"/>
        </w:rPr>
      </w:pPr>
      <w:bookmarkStart w:id="99" w:name="_Toc102227322"/>
      <w:bookmarkStart w:id="100" w:name="_Toc29307"/>
      <w:bookmarkStart w:id="101" w:name="_Toc342913396"/>
      <w:bookmarkStart w:id="102" w:name="_Toc11641055"/>
      <w:bookmarkStart w:id="103" w:name="_Toc12789059"/>
      <w:r>
        <w:rPr>
          <w:rFonts w:hint="eastAsia" w:ascii="宋体" w:hAnsi="宋体"/>
          <w:sz w:val="24"/>
          <w:szCs w:val="24"/>
        </w:rPr>
        <w:t>八、签订</w:t>
      </w:r>
      <w:bookmarkEnd w:id="99"/>
      <w:r>
        <w:rPr>
          <w:rFonts w:hint="eastAsia" w:ascii="宋体" w:hAnsi="宋体"/>
          <w:sz w:val="24"/>
          <w:szCs w:val="24"/>
        </w:rPr>
        <w:t>合同</w:t>
      </w:r>
      <w:bookmarkEnd w:id="100"/>
      <w:bookmarkEnd w:id="101"/>
    </w:p>
    <w:p>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hint="eastAsia"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hint="eastAsia" w:ascii="宋体" w:hAnsi="宋体" w:eastAsia="宋体"/>
          <w:sz w:val="36"/>
          <w:szCs w:val="30"/>
        </w:rPr>
      </w:pPr>
      <w:bookmarkStart w:id="104" w:name="_Toc870"/>
      <w:r>
        <w:rPr>
          <w:rFonts w:hint="eastAsia" w:ascii="宋体" w:hAnsi="宋体" w:eastAsia="宋体"/>
          <w:sz w:val="36"/>
          <w:szCs w:val="30"/>
        </w:rPr>
        <w:t xml:space="preserve">第六篇  </w:t>
      </w:r>
      <w:bookmarkEnd w:id="102"/>
      <w:bookmarkEnd w:id="103"/>
      <w:r>
        <w:rPr>
          <w:rFonts w:hint="eastAsia" w:ascii="宋体" w:hAnsi="宋体" w:eastAsia="宋体"/>
          <w:sz w:val="36"/>
          <w:szCs w:val="30"/>
        </w:rPr>
        <w:t>合同草案条款</w:t>
      </w:r>
      <w:bookmarkEnd w:id="104"/>
    </w:p>
    <w:p>
      <w:pPr>
        <w:pStyle w:val="5"/>
        <w:spacing w:before="0" w:after="0" w:line="360" w:lineRule="auto"/>
        <w:ind w:firstLine="481" w:firstLineChars="200"/>
        <w:rPr>
          <w:rFonts w:hint="eastAsia" w:ascii="宋体" w:hAnsi="宋体"/>
          <w:sz w:val="24"/>
          <w:szCs w:val="24"/>
        </w:rPr>
      </w:pPr>
      <w:bookmarkStart w:id="105" w:name="_Hlt41879464"/>
      <w:bookmarkEnd w:id="105"/>
      <w:bookmarkStart w:id="106" w:name="_Toc78194465"/>
      <w:bookmarkStart w:id="107" w:name="_Toc508007737"/>
      <w:bookmarkStart w:id="108" w:name="_Toc277084870"/>
      <w:bookmarkStart w:id="109" w:name="_Toc30927"/>
      <w:bookmarkStart w:id="110" w:name="_Toc285722712"/>
      <w:bookmarkStart w:id="111" w:name="_Toc12789072"/>
      <w:r>
        <w:rPr>
          <w:rFonts w:hint="eastAsia" w:ascii="宋体" w:hAnsi="宋体"/>
          <w:sz w:val="24"/>
          <w:szCs w:val="24"/>
        </w:rPr>
        <w:t>一、合同主要条款</w:t>
      </w:r>
      <w:bookmarkEnd w:id="106"/>
      <w:bookmarkEnd w:id="107"/>
      <w:bookmarkEnd w:id="108"/>
      <w:bookmarkEnd w:id="109"/>
      <w:bookmarkEnd w:id="110"/>
    </w:p>
    <w:p>
      <w:pPr>
        <w:snapToGrid w:val="0"/>
        <w:spacing w:line="360" w:lineRule="auto"/>
        <w:ind w:firstLine="480" w:firstLineChars="200"/>
        <w:outlineLvl w:val="0"/>
        <w:rPr>
          <w:rFonts w:hint="eastAsia" w:ascii="宋体" w:hAnsi="宋体"/>
          <w:bCs/>
          <w:sz w:val="24"/>
        </w:rPr>
      </w:pPr>
      <w:r>
        <w:rPr>
          <w:rFonts w:hint="eastAsia" w:ascii="宋体" w:hAnsi="宋体"/>
          <w:bCs/>
          <w:sz w:val="24"/>
        </w:rPr>
        <w:t>（一）定义</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hint="eastAsia"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hint="eastAsia"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hint="eastAsia"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hint="eastAsia"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（六）付款</w:t>
      </w:r>
    </w:p>
    <w:p>
      <w:pPr>
        <w:adjustRightInd w:val="0"/>
        <w:snapToGrid w:val="0"/>
        <w:spacing w:line="360" w:lineRule="auto"/>
        <w:ind w:firstLine="480" w:firstLineChars="200"/>
        <w:rPr>
          <w:rFonts w:hint="eastAsia"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hint="eastAsia"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hint="eastAsia"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hint="eastAsia" w:ascii="宋体" w:hAnsi="宋体"/>
          <w:sz w:val="24"/>
        </w:rPr>
      </w:pPr>
      <w:r>
        <w:rPr>
          <w:rFonts w:hint="eastAsia" w:ascii="宋体" w:hAnsi="宋体"/>
          <w:sz w:val="24"/>
        </w:rPr>
        <w:t>（七）检查验收</w:t>
      </w:r>
    </w:p>
    <w:p>
      <w:pPr>
        <w:adjustRightInd w:val="0"/>
        <w:snapToGrid w:val="0"/>
        <w:spacing w:line="360" w:lineRule="auto"/>
        <w:ind w:firstLine="480" w:firstLineChars="200"/>
        <w:rPr>
          <w:rFonts w:hint="eastAsia" w:ascii="宋体" w:hAnsi="宋体"/>
          <w:sz w:val="24"/>
        </w:rPr>
      </w:pPr>
      <w:r>
        <w:rPr>
          <w:rFonts w:hint="eastAsia" w:ascii="宋体" w:hAnsi="宋体"/>
          <w:sz w:val="24"/>
        </w:rPr>
        <w:t>（八）索赔</w:t>
      </w:r>
    </w:p>
    <w:p>
      <w:pPr>
        <w:adjustRightInd w:val="0"/>
        <w:snapToGrid w:val="0"/>
        <w:spacing w:line="360" w:lineRule="auto"/>
        <w:ind w:firstLine="480" w:firstLineChars="200"/>
        <w:rPr>
          <w:rFonts w:hint="eastAsia"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hint="eastAsia" w:ascii="宋体" w:hAnsi="宋体"/>
          <w:sz w:val="24"/>
        </w:rPr>
      </w:pPr>
      <w:r>
        <w:rPr>
          <w:rFonts w:hint="eastAsia" w:ascii="宋体" w:hAnsi="宋体"/>
          <w:sz w:val="24"/>
        </w:rPr>
        <w:t>（九）知识产权</w:t>
      </w:r>
    </w:p>
    <w:p>
      <w:pPr>
        <w:adjustRightInd w:val="0"/>
        <w:snapToGrid w:val="0"/>
        <w:spacing w:line="360" w:lineRule="auto"/>
        <w:ind w:firstLine="480" w:firstLineChars="200"/>
        <w:rPr>
          <w:rFonts w:hint="eastAsia"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2.在60天内当事人协商不能达成协议的，可向需方所在人民法院提请诉讼。</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hint="eastAsia"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hint="eastAsia" w:ascii="宋体" w:hAnsi="宋体"/>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1" w:firstLineChars="200"/>
        <w:rPr>
          <w:rFonts w:hint="eastAsia" w:ascii="宋体" w:hAnsi="宋体"/>
          <w:sz w:val="24"/>
          <w:szCs w:val="24"/>
        </w:rPr>
      </w:pPr>
      <w:bookmarkStart w:id="112" w:name="_Toc14411"/>
      <w:bookmarkStart w:id="113" w:name="_Toc277084871"/>
      <w:bookmarkStart w:id="114" w:name="_Toc285722713"/>
      <w:bookmarkStart w:id="115" w:name="_Toc508178250"/>
      <w:r>
        <w:rPr>
          <w:rFonts w:hint="eastAsia" w:ascii="宋体" w:hAnsi="宋体"/>
          <w:sz w:val="24"/>
          <w:szCs w:val="24"/>
        </w:rPr>
        <w:t>二、政府采购合同（格式）</w:t>
      </w:r>
      <w:bookmarkEnd w:id="112"/>
      <w:bookmarkEnd w:id="113"/>
      <w:bookmarkEnd w:id="114"/>
      <w:bookmarkEnd w:id="115"/>
    </w:p>
    <w:p>
      <w:pPr>
        <w:spacing w:line="500" w:lineRule="exact"/>
        <w:jc w:val="center"/>
        <w:rPr>
          <w:rFonts w:hint="eastAsia" w:ascii="宋体" w:hAnsi="宋体"/>
          <w:b/>
          <w:sz w:val="44"/>
        </w:rPr>
      </w:pPr>
    </w:p>
    <w:bookmarkEnd w:id="111"/>
    <w:p>
      <w:pPr>
        <w:spacing w:line="360" w:lineRule="auto"/>
        <w:jc w:val="center"/>
        <w:rPr>
          <w:rFonts w:hint="eastAsia" w:ascii="宋体" w:hAnsi="宋体"/>
          <w:b/>
          <w:sz w:val="44"/>
        </w:rPr>
      </w:pPr>
      <w:bookmarkStart w:id="116" w:name="_Toc23764521"/>
      <w:r>
        <w:rPr>
          <w:rFonts w:ascii="宋体" w:hAnsi="宋体"/>
          <w:b/>
          <w:sz w:val="44"/>
        </w:rPr>
        <w:t>重庆市政府采购合同</w:t>
      </w:r>
    </w:p>
    <w:p>
      <w:pPr>
        <w:spacing w:line="360" w:lineRule="auto"/>
        <w:jc w:val="center"/>
        <w:rPr>
          <w:rFonts w:hint="eastAsia" w:ascii="宋体" w:hAnsi="宋体"/>
        </w:rPr>
      </w:pPr>
      <w:r>
        <w:rPr>
          <w:rFonts w:ascii="宋体" w:hAnsi="宋体"/>
        </w:rPr>
        <w:t>（项目编号：     ）</w:t>
      </w:r>
    </w:p>
    <w:p>
      <w:pPr>
        <w:spacing w:line="360" w:lineRule="auto"/>
        <w:rPr>
          <w:rFonts w:hint="eastAsia" w:ascii="宋体" w:hAnsi="宋体"/>
          <w:sz w:val="24"/>
        </w:rPr>
      </w:pPr>
      <w:r>
        <w:rPr>
          <w:rFonts w:ascii="宋体" w:hAnsi="宋体"/>
          <w:sz w:val="24"/>
        </w:rPr>
        <w:t>甲方（需方）：___________________________      计价单位：____________</w:t>
      </w:r>
    </w:p>
    <w:p>
      <w:pPr>
        <w:spacing w:line="360" w:lineRule="auto"/>
        <w:rPr>
          <w:rFonts w:hint="eastAsia" w:ascii="宋体" w:hAnsi="宋体"/>
          <w:sz w:val="24"/>
        </w:rPr>
      </w:pPr>
      <w:r>
        <w:rPr>
          <w:rFonts w:ascii="宋体" w:hAnsi="宋体"/>
          <w:sz w:val="24"/>
        </w:rPr>
        <w:t>乙方（供方）：___________________________      计量单位：_____________</w:t>
      </w: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hint="eastAsia"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hint="eastAsia"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hint="eastAsia"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hint="eastAsia" w:ascii="宋体" w:hAnsi="宋体"/>
                <w:sz w:val="21"/>
                <w:szCs w:val="21"/>
              </w:rPr>
            </w:pPr>
            <w:r>
              <w:rPr>
                <w:rFonts w:ascii="宋体" w:hAnsi="宋体"/>
                <w:sz w:val="21"/>
                <w:szCs w:val="21"/>
              </w:rPr>
              <w:t>总价</w:t>
            </w:r>
          </w:p>
        </w:tc>
        <w:tc>
          <w:tcPr>
            <w:tcW w:w="1559" w:type="dxa"/>
            <w:vAlign w:val="center"/>
          </w:tcPr>
          <w:p>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hint="eastAsia" w:ascii="宋体" w:hAnsi="宋体"/>
                <w:sz w:val="21"/>
                <w:szCs w:val="21"/>
              </w:rPr>
            </w:pPr>
          </w:p>
        </w:tc>
        <w:tc>
          <w:tcPr>
            <w:tcW w:w="984" w:type="dxa"/>
            <w:vAlign w:val="center"/>
          </w:tcPr>
          <w:p>
            <w:pPr>
              <w:spacing w:line="360" w:lineRule="auto"/>
              <w:jc w:val="center"/>
              <w:rPr>
                <w:rFonts w:hint="eastAsia" w:ascii="宋体" w:hAnsi="宋体"/>
                <w:sz w:val="21"/>
                <w:szCs w:val="21"/>
              </w:rPr>
            </w:pPr>
          </w:p>
        </w:tc>
        <w:tc>
          <w:tcPr>
            <w:tcW w:w="1298" w:type="dxa"/>
            <w:gridSpan w:val="2"/>
            <w:vAlign w:val="center"/>
          </w:tcPr>
          <w:p>
            <w:pPr>
              <w:spacing w:line="360" w:lineRule="auto"/>
              <w:jc w:val="center"/>
              <w:rPr>
                <w:rFonts w:hint="eastAsia" w:ascii="宋体" w:hAnsi="宋体"/>
                <w:sz w:val="21"/>
                <w:szCs w:val="21"/>
              </w:rPr>
            </w:pPr>
          </w:p>
        </w:tc>
        <w:tc>
          <w:tcPr>
            <w:tcW w:w="1134" w:type="dxa"/>
            <w:vAlign w:val="center"/>
          </w:tcPr>
          <w:p>
            <w:pPr>
              <w:spacing w:line="360" w:lineRule="auto"/>
              <w:jc w:val="center"/>
              <w:rPr>
                <w:rFonts w:hint="eastAsia" w:ascii="宋体" w:hAnsi="宋体"/>
                <w:sz w:val="21"/>
                <w:szCs w:val="21"/>
              </w:rPr>
            </w:pPr>
          </w:p>
        </w:tc>
        <w:tc>
          <w:tcPr>
            <w:tcW w:w="1559" w:type="dxa"/>
            <w:vAlign w:val="center"/>
          </w:tcPr>
          <w:p>
            <w:pPr>
              <w:spacing w:line="360" w:lineRule="auto"/>
              <w:jc w:val="center"/>
              <w:rPr>
                <w:rFonts w:hint="eastAsia" w:ascii="宋体" w:hAnsi="宋体"/>
                <w:sz w:val="21"/>
                <w:szCs w:val="21"/>
              </w:rPr>
            </w:pPr>
          </w:p>
        </w:tc>
        <w:tc>
          <w:tcPr>
            <w:tcW w:w="1567"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hint="eastAsia"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hint="eastAsia"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hint="eastAsia" w:ascii="宋体" w:hAnsi="宋体"/>
                <w:sz w:val="21"/>
                <w:szCs w:val="21"/>
              </w:rPr>
            </w:pPr>
            <w:r>
              <w:rPr>
                <w:rFonts w:ascii="宋体" w:hAnsi="宋体"/>
                <w:sz w:val="21"/>
                <w:szCs w:val="21"/>
              </w:rPr>
              <w:t>一、质量要求和技术标准：</w:t>
            </w:r>
          </w:p>
          <w:p>
            <w:pPr>
              <w:spacing w:line="360" w:lineRule="auto"/>
              <w:rPr>
                <w:rFonts w:hint="eastAsia" w:ascii="宋体" w:hAnsi="宋体"/>
                <w:sz w:val="21"/>
                <w:szCs w:val="21"/>
              </w:rPr>
            </w:pPr>
            <w:r>
              <w:rPr>
                <w:rFonts w:ascii="宋体" w:hAnsi="宋体"/>
                <w:sz w:val="21"/>
                <w:szCs w:val="21"/>
              </w:rPr>
              <w:t>1、服务措施：</w:t>
            </w:r>
          </w:p>
          <w:p>
            <w:pPr>
              <w:spacing w:line="360"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hint="eastAsia"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hint="eastAsia" w:ascii="宋体" w:hAnsi="宋体"/>
                <w:sz w:val="21"/>
                <w:szCs w:val="21"/>
              </w:rPr>
            </w:pPr>
            <w:r>
              <w:rPr>
                <w:rFonts w:hint="eastAsia" w:ascii="宋体" w:hAnsi="宋体"/>
                <w:sz w:val="21"/>
                <w:szCs w:val="21"/>
              </w:rPr>
              <w:t>三</w:t>
            </w:r>
            <w:r>
              <w:rPr>
                <w:rFonts w:ascii="宋体" w:hAnsi="宋体"/>
                <w:sz w:val="21"/>
                <w:szCs w:val="21"/>
              </w:rPr>
              <w:t>、付款方式：</w:t>
            </w:r>
          </w:p>
          <w:p>
            <w:pPr>
              <w:pStyle w:val="32"/>
              <w:spacing w:line="360" w:lineRule="auto"/>
              <w:ind w:left="98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hint="eastAsia"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hint="eastAsia"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hint="eastAsia"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hint="eastAsia"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hint="eastAsia"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hint="eastAsia" w:ascii="宋体" w:hAnsi="宋体"/>
                <w:sz w:val="21"/>
                <w:szCs w:val="21"/>
              </w:rPr>
            </w:pPr>
            <w:r>
              <w:rPr>
                <w:rFonts w:ascii="宋体" w:hAnsi="宋体"/>
                <w:sz w:val="21"/>
                <w:szCs w:val="21"/>
              </w:rPr>
              <w:t>本合同一式__份， 需方__份，供方__份，具同等法律效力。</w:t>
            </w:r>
          </w:p>
          <w:p>
            <w:pPr>
              <w:spacing w:line="360" w:lineRule="auto"/>
              <w:rPr>
                <w:rFonts w:hint="eastAsia"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hint="eastAsia" w:ascii="宋体" w:hAnsi="宋体"/>
                <w:sz w:val="21"/>
                <w:szCs w:val="21"/>
              </w:rPr>
            </w:pPr>
            <w:r>
              <w:rPr>
                <w:rFonts w:ascii="宋体" w:hAnsi="宋体"/>
                <w:sz w:val="21"/>
                <w:szCs w:val="21"/>
              </w:rPr>
              <w:t>需方：</w:t>
            </w:r>
          </w:p>
          <w:p>
            <w:pPr>
              <w:spacing w:line="360" w:lineRule="auto"/>
              <w:rPr>
                <w:rFonts w:hint="eastAsia" w:ascii="宋体" w:hAnsi="宋体"/>
                <w:sz w:val="21"/>
                <w:szCs w:val="21"/>
              </w:rPr>
            </w:pPr>
            <w:r>
              <w:rPr>
                <w:rFonts w:ascii="宋体" w:hAnsi="宋体"/>
                <w:sz w:val="21"/>
                <w:szCs w:val="21"/>
              </w:rPr>
              <w:t>地址：</w:t>
            </w:r>
          </w:p>
          <w:p>
            <w:pPr>
              <w:spacing w:line="360" w:lineRule="auto"/>
              <w:rPr>
                <w:rFonts w:hint="eastAsia" w:ascii="宋体" w:hAnsi="宋体"/>
                <w:sz w:val="21"/>
                <w:szCs w:val="21"/>
              </w:rPr>
            </w:pPr>
            <w:r>
              <w:rPr>
                <w:rFonts w:ascii="宋体" w:hAnsi="宋体"/>
                <w:sz w:val="21"/>
                <w:szCs w:val="21"/>
              </w:rPr>
              <w:t>联系电话：</w:t>
            </w:r>
          </w:p>
          <w:p>
            <w:pPr>
              <w:spacing w:line="360" w:lineRule="auto"/>
              <w:rPr>
                <w:rFonts w:hint="eastAsia" w:ascii="宋体" w:hAnsi="宋体"/>
                <w:sz w:val="21"/>
                <w:szCs w:val="21"/>
              </w:rPr>
            </w:pPr>
            <w:r>
              <w:rPr>
                <w:rFonts w:ascii="宋体" w:hAnsi="宋体"/>
                <w:sz w:val="21"/>
                <w:szCs w:val="21"/>
              </w:rPr>
              <w:t>授权代表：</w:t>
            </w:r>
          </w:p>
        </w:tc>
        <w:tc>
          <w:tcPr>
            <w:tcW w:w="5125" w:type="dxa"/>
            <w:gridSpan w:val="5"/>
          </w:tcPr>
          <w:p>
            <w:pPr>
              <w:spacing w:line="360" w:lineRule="auto"/>
              <w:rPr>
                <w:rFonts w:hint="eastAsia" w:ascii="宋体" w:hAnsi="宋体"/>
                <w:sz w:val="21"/>
                <w:szCs w:val="21"/>
              </w:rPr>
            </w:pPr>
            <w:r>
              <w:rPr>
                <w:rFonts w:ascii="宋体" w:hAnsi="宋体"/>
                <w:sz w:val="21"/>
                <w:szCs w:val="21"/>
              </w:rPr>
              <w:t>供方：</w:t>
            </w:r>
          </w:p>
          <w:p>
            <w:pPr>
              <w:spacing w:line="360" w:lineRule="auto"/>
              <w:rPr>
                <w:rFonts w:hint="eastAsia" w:ascii="宋体" w:hAnsi="宋体"/>
                <w:sz w:val="21"/>
                <w:szCs w:val="21"/>
              </w:rPr>
            </w:pPr>
            <w:r>
              <w:rPr>
                <w:rFonts w:ascii="宋体" w:hAnsi="宋体"/>
                <w:sz w:val="21"/>
                <w:szCs w:val="21"/>
              </w:rPr>
              <w:t>地址：</w:t>
            </w:r>
          </w:p>
          <w:p>
            <w:pPr>
              <w:spacing w:line="360" w:lineRule="auto"/>
              <w:rPr>
                <w:rFonts w:hint="eastAsia" w:ascii="宋体" w:hAnsi="宋体"/>
                <w:sz w:val="21"/>
                <w:szCs w:val="21"/>
              </w:rPr>
            </w:pPr>
            <w:r>
              <w:rPr>
                <w:rFonts w:ascii="宋体" w:hAnsi="宋体"/>
                <w:sz w:val="21"/>
                <w:szCs w:val="21"/>
              </w:rPr>
              <w:t>电话：</w:t>
            </w:r>
          </w:p>
          <w:p>
            <w:pPr>
              <w:spacing w:line="360" w:lineRule="auto"/>
              <w:rPr>
                <w:rFonts w:hint="eastAsia" w:ascii="宋体" w:hAnsi="宋体"/>
                <w:sz w:val="21"/>
                <w:szCs w:val="21"/>
              </w:rPr>
            </w:pPr>
            <w:r>
              <w:rPr>
                <w:rFonts w:ascii="宋体" w:hAnsi="宋体"/>
                <w:sz w:val="21"/>
                <w:szCs w:val="21"/>
              </w:rPr>
              <w:t>传真：</w:t>
            </w:r>
          </w:p>
          <w:p>
            <w:pPr>
              <w:spacing w:line="360" w:lineRule="auto"/>
              <w:rPr>
                <w:rFonts w:hint="eastAsia" w:ascii="宋体" w:hAnsi="宋体"/>
                <w:sz w:val="21"/>
                <w:szCs w:val="21"/>
              </w:rPr>
            </w:pPr>
            <w:r>
              <w:rPr>
                <w:rFonts w:ascii="宋体" w:hAnsi="宋体"/>
                <w:sz w:val="21"/>
                <w:szCs w:val="21"/>
              </w:rPr>
              <w:t>开户银行：</w:t>
            </w:r>
          </w:p>
          <w:p>
            <w:pPr>
              <w:spacing w:line="360" w:lineRule="auto"/>
              <w:rPr>
                <w:rFonts w:hint="eastAsia" w:ascii="宋体" w:hAnsi="宋体"/>
                <w:sz w:val="21"/>
                <w:szCs w:val="21"/>
              </w:rPr>
            </w:pPr>
            <w:r>
              <w:rPr>
                <w:rFonts w:ascii="宋体" w:hAnsi="宋体"/>
                <w:sz w:val="21"/>
                <w:szCs w:val="21"/>
              </w:rPr>
              <w:t>账号：</w:t>
            </w:r>
          </w:p>
          <w:p>
            <w:pPr>
              <w:spacing w:line="360" w:lineRule="auto"/>
              <w:rPr>
                <w:rFonts w:hint="eastAsia" w:ascii="宋体" w:hAnsi="宋体"/>
                <w:sz w:val="21"/>
                <w:szCs w:val="21"/>
              </w:rPr>
            </w:pPr>
            <w:r>
              <w:rPr>
                <w:rFonts w:ascii="宋体" w:hAnsi="宋体"/>
                <w:sz w:val="21"/>
                <w:szCs w:val="21"/>
              </w:rPr>
              <w:t>授权代表：</w:t>
            </w:r>
          </w:p>
          <w:p>
            <w:pPr>
              <w:widowControl/>
              <w:spacing w:line="360" w:lineRule="auto"/>
              <w:jc w:val="left"/>
              <w:rPr>
                <w:rFonts w:hint="eastAsia"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hint="eastAsia" w:ascii="宋体" w:hAnsi="宋体"/>
                <w:sz w:val="21"/>
                <w:szCs w:val="21"/>
              </w:rPr>
            </w:pPr>
            <w:r>
              <w:rPr>
                <w:rFonts w:ascii="宋体" w:hAnsi="宋体"/>
                <w:sz w:val="21"/>
                <w:szCs w:val="21"/>
              </w:rPr>
              <w:t>备注：</w:t>
            </w:r>
          </w:p>
          <w:p>
            <w:pPr>
              <w:spacing w:line="360" w:lineRule="auto"/>
              <w:rPr>
                <w:rFonts w:hint="eastAsia" w:ascii="宋体" w:hAnsi="宋体"/>
                <w:sz w:val="21"/>
                <w:szCs w:val="21"/>
              </w:rPr>
            </w:pPr>
          </w:p>
          <w:p>
            <w:pPr>
              <w:spacing w:line="360" w:lineRule="auto"/>
              <w:rPr>
                <w:rFonts w:hint="eastAsia" w:ascii="宋体" w:hAnsi="宋体"/>
                <w:sz w:val="21"/>
                <w:szCs w:val="21"/>
              </w:rPr>
            </w:pPr>
          </w:p>
        </w:tc>
      </w:tr>
    </w:tbl>
    <w:p>
      <w:pPr>
        <w:spacing w:line="360" w:lineRule="auto"/>
        <w:ind w:firstLine="480" w:firstLineChars="200"/>
        <w:rPr>
          <w:rFonts w:hint="eastAsia" w:ascii="宋体" w:hAnsi="宋体"/>
          <w:sz w:val="24"/>
        </w:rPr>
      </w:pPr>
      <w:r>
        <w:rPr>
          <w:rFonts w:ascii="宋体" w:hAnsi="宋体"/>
          <w:sz w:val="24"/>
        </w:rPr>
        <w:t>签约时间：           年   月   日      签约地点：</w:t>
      </w:r>
    </w:p>
    <w:p>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pPr>
        <w:pStyle w:val="4"/>
        <w:spacing w:line="360" w:lineRule="auto"/>
        <w:jc w:val="center"/>
        <w:rPr>
          <w:rFonts w:hint="eastAsia" w:ascii="宋体" w:hAnsi="宋体" w:eastAsia="宋体"/>
          <w:sz w:val="36"/>
          <w:szCs w:val="30"/>
        </w:rPr>
      </w:pPr>
      <w:bookmarkStart w:id="117" w:name="_Toc89693272"/>
      <w:bookmarkStart w:id="118" w:name="_Toc4641"/>
      <w:r>
        <w:rPr>
          <w:rFonts w:ascii="宋体" w:hAnsi="宋体" w:eastAsia="宋体"/>
          <w:sz w:val="36"/>
          <w:szCs w:val="30"/>
        </w:rPr>
        <w:t>第七篇  响应文件编制要求</w:t>
      </w:r>
      <w:bookmarkEnd w:id="117"/>
      <w:bookmarkEnd w:id="118"/>
    </w:p>
    <w:p>
      <w:pPr>
        <w:pStyle w:val="5"/>
        <w:spacing w:before="0" w:after="0" w:line="360" w:lineRule="auto"/>
        <w:ind w:firstLine="481" w:firstLineChars="200"/>
        <w:rPr>
          <w:rFonts w:hint="eastAsia" w:ascii="宋体" w:hAnsi="宋体"/>
          <w:sz w:val="24"/>
          <w:szCs w:val="24"/>
        </w:rPr>
      </w:pPr>
      <w:bookmarkStart w:id="119" w:name="_Toc5488"/>
      <w:bookmarkStart w:id="120" w:name="_Toc89693273"/>
      <w:r>
        <w:rPr>
          <w:rFonts w:ascii="宋体" w:hAnsi="宋体"/>
          <w:sz w:val="24"/>
          <w:szCs w:val="24"/>
        </w:rPr>
        <w:t>一、经济部分</w:t>
      </w:r>
      <w:bookmarkEnd w:id="119"/>
      <w:bookmarkEnd w:id="120"/>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1" w:firstLineChars="200"/>
        <w:rPr>
          <w:rFonts w:hint="eastAsia" w:ascii="宋体" w:hAnsi="宋体"/>
          <w:sz w:val="24"/>
          <w:szCs w:val="24"/>
        </w:rPr>
      </w:pPr>
      <w:bookmarkStart w:id="121" w:name="_Toc89693274"/>
      <w:bookmarkStart w:id="122" w:name="_Toc78194469"/>
      <w:bookmarkStart w:id="123" w:name="_Toc3074"/>
      <w:r>
        <w:rPr>
          <w:rFonts w:hint="eastAsia" w:ascii="宋体" w:hAnsi="宋体"/>
          <w:sz w:val="24"/>
          <w:szCs w:val="24"/>
        </w:rPr>
        <w:t>二、技术部分</w:t>
      </w:r>
      <w:bookmarkEnd w:id="121"/>
      <w:bookmarkEnd w:id="122"/>
      <w:bookmarkEnd w:id="123"/>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1" w:firstLineChars="200"/>
        <w:rPr>
          <w:rFonts w:hint="eastAsia" w:ascii="宋体" w:hAnsi="宋体"/>
          <w:sz w:val="24"/>
          <w:szCs w:val="24"/>
        </w:rPr>
      </w:pPr>
      <w:bookmarkStart w:id="124" w:name="_Toc89693275"/>
      <w:bookmarkStart w:id="125" w:name="_Toc19963"/>
      <w:r>
        <w:rPr>
          <w:rFonts w:ascii="宋体" w:hAnsi="宋体"/>
          <w:sz w:val="24"/>
          <w:szCs w:val="24"/>
        </w:rPr>
        <w:t>三、商务部分</w:t>
      </w:r>
      <w:bookmarkEnd w:id="124"/>
      <w:bookmarkEnd w:id="12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其它商务证明材料</w:t>
      </w:r>
    </w:p>
    <w:p>
      <w:pPr>
        <w:pStyle w:val="5"/>
        <w:spacing w:before="0" w:after="0" w:line="360" w:lineRule="auto"/>
        <w:ind w:firstLine="481" w:firstLineChars="200"/>
        <w:rPr>
          <w:rFonts w:hint="eastAsia" w:ascii="宋体" w:hAnsi="宋体"/>
          <w:sz w:val="24"/>
          <w:szCs w:val="24"/>
        </w:rPr>
      </w:pPr>
      <w:bookmarkStart w:id="126" w:name="_Toc89693276"/>
      <w:bookmarkStart w:id="127" w:name="_Toc24947"/>
      <w:r>
        <w:rPr>
          <w:rFonts w:ascii="宋体" w:hAnsi="宋体"/>
          <w:sz w:val="24"/>
          <w:szCs w:val="24"/>
        </w:rPr>
        <w:t>四、资格条件及其他</w:t>
      </w:r>
      <w:bookmarkEnd w:id="126"/>
      <w:bookmarkEnd w:id="127"/>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pPr>
        <w:snapToGrid w:val="0"/>
        <w:spacing w:line="360" w:lineRule="auto"/>
        <w:ind w:firstLine="480" w:firstLineChars="200"/>
        <w:rPr>
          <w:sz w:val="24"/>
          <w:szCs w:val="24"/>
        </w:rPr>
      </w:pPr>
      <w:r>
        <w:rPr>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8" w:name="_Toc23764522"/>
      <w:bookmarkStart w:id="129" w:name="_Toc313888360"/>
      <w:bookmarkStart w:id="130" w:name="_Toc342913419"/>
      <w:bookmarkStart w:id="131" w:name="_Toc313008356"/>
      <w:bookmarkStart w:id="132" w:name="_Toc283382454"/>
      <w:bookmarkStart w:id="133" w:name="_Toc12789073"/>
      <w:r>
        <w:rPr>
          <w:rFonts w:hint="eastAsia"/>
          <w:b/>
          <w:sz w:val="24"/>
          <w:szCs w:val="24"/>
        </w:rPr>
        <w:t xml:space="preserve">    </w:t>
      </w:r>
      <w:r>
        <w:rPr>
          <w:b/>
          <w:sz w:val="24"/>
          <w:szCs w:val="24"/>
        </w:rPr>
        <w:t>一、经济部分</w:t>
      </w:r>
      <w:bookmarkEnd w:id="128"/>
      <w:bookmarkEnd w:id="129"/>
      <w:bookmarkEnd w:id="130"/>
      <w:bookmarkEnd w:id="131"/>
    </w:p>
    <w:bookmarkEnd w:id="132"/>
    <w:bookmarkEnd w:id="133"/>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hint="eastAsia" w:ascii="宋体" w:hAnsi="宋体"/>
          <w:sz w:val="24"/>
          <w:szCs w:val="24"/>
        </w:rPr>
      </w:pPr>
      <w:bookmarkStart w:id="134" w:name="_Toc342913420"/>
      <w:bookmarkStart w:id="135" w:name="_Toc313888361"/>
      <w:bookmarkStart w:id="136" w:name="_Toc23764523"/>
      <w:bookmarkStart w:id="137" w:name="_Toc313008357"/>
      <w:r>
        <w:rPr>
          <w:rFonts w:hint="eastAsia" w:ascii="宋体" w:hAnsi="宋体"/>
          <w:sz w:val="24"/>
          <w:szCs w:val="24"/>
        </w:rPr>
        <w:t>（二）分项报价明细表</w:t>
      </w:r>
    </w:p>
    <w:p>
      <w:pPr>
        <w:jc w:val="center"/>
        <w:rPr>
          <w:rFonts w:hint="eastAsia" w:ascii="宋体" w:hAnsi="宋体"/>
          <w:b/>
          <w:szCs w:val="28"/>
        </w:rPr>
      </w:pPr>
      <w:r>
        <w:rPr>
          <w:rFonts w:hint="eastAsia" w:ascii="宋体" w:hAnsi="宋体"/>
          <w:b/>
          <w:szCs w:val="28"/>
        </w:rPr>
        <w:t>分项报价明细表</w:t>
      </w:r>
    </w:p>
    <w:p>
      <w:pPr>
        <w:snapToGrid w:val="0"/>
        <w:rPr>
          <w:rFonts w:hint="eastAsia" w:ascii="宋体" w:hAnsi="宋体"/>
          <w:sz w:val="24"/>
          <w:szCs w:val="24"/>
        </w:rPr>
      </w:pPr>
      <w:r>
        <w:rPr>
          <w:rFonts w:hint="eastAsia" w:ascii="宋体" w:hAnsi="宋体"/>
          <w:sz w:val="24"/>
          <w:szCs w:val="24"/>
        </w:rPr>
        <w:t>项目号：</w:t>
      </w:r>
    </w:p>
    <w:p>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18"/>
        <w:gridCol w:w="2126"/>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618" w:type="dxa"/>
            <w:vAlign w:val="center"/>
          </w:tcPr>
          <w:p>
            <w:pPr>
              <w:jc w:val="center"/>
              <w:rPr>
                <w:b/>
                <w:sz w:val="21"/>
                <w:szCs w:val="21"/>
              </w:rPr>
            </w:pPr>
            <w:r>
              <w:rPr>
                <w:rFonts w:hint="eastAsia"/>
                <w:b/>
                <w:sz w:val="21"/>
                <w:szCs w:val="21"/>
              </w:rPr>
              <w:t>分项名称</w:t>
            </w:r>
          </w:p>
        </w:tc>
        <w:tc>
          <w:tcPr>
            <w:tcW w:w="2126"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1</w:t>
            </w:r>
          </w:p>
        </w:tc>
        <w:tc>
          <w:tcPr>
            <w:tcW w:w="1618" w:type="dxa"/>
            <w:vAlign w:val="center"/>
          </w:tcPr>
          <w:p>
            <w:pPr>
              <w:jc w:val="center"/>
              <w:rPr>
                <w:sz w:val="21"/>
                <w:szCs w:val="21"/>
              </w:rPr>
            </w:pPr>
          </w:p>
        </w:tc>
        <w:tc>
          <w:tcPr>
            <w:tcW w:w="2126"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2</w:t>
            </w:r>
          </w:p>
        </w:tc>
        <w:tc>
          <w:tcPr>
            <w:tcW w:w="1618" w:type="dxa"/>
            <w:vAlign w:val="center"/>
          </w:tcPr>
          <w:p>
            <w:pPr>
              <w:jc w:val="center"/>
              <w:rPr>
                <w:sz w:val="21"/>
                <w:szCs w:val="21"/>
              </w:rPr>
            </w:pPr>
          </w:p>
        </w:tc>
        <w:tc>
          <w:tcPr>
            <w:tcW w:w="2126"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3</w:t>
            </w:r>
          </w:p>
        </w:tc>
        <w:tc>
          <w:tcPr>
            <w:tcW w:w="1618" w:type="dxa"/>
            <w:vAlign w:val="center"/>
          </w:tcPr>
          <w:p>
            <w:pPr>
              <w:jc w:val="center"/>
              <w:rPr>
                <w:bCs/>
                <w:kern w:val="0"/>
                <w:sz w:val="22"/>
              </w:rPr>
            </w:pPr>
          </w:p>
        </w:tc>
        <w:tc>
          <w:tcPr>
            <w:tcW w:w="2126"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4</w:t>
            </w:r>
          </w:p>
        </w:tc>
        <w:tc>
          <w:tcPr>
            <w:tcW w:w="1618" w:type="dxa"/>
            <w:vAlign w:val="center"/>
          </w:tcPr>
          <w:p>
            <w:pPr>
              <w:jc w:val="center"/>
              <w:rPr>
                <w:bCs/>
                <w:kern w:val="0"/>
                <w:sz w:val="22"/>
              </w:rPr>
            </w:pPr>
          </w:p>
        </w:tc>
        <w:tc>
          <w:tcPr>
            <w:tcW w:w="2126"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5</w:t>
            </w:r>
          </w:p>
        </w:tc>
        <w:tc>
          <w:tcPr>
            <w:tcW w:w="1618" w:type="dxa"/>
            <w:vAlign w:val="center"/>
          </w:tcPr>
          <w:p>
            <w:pPr>
              <w:jc w:val="center"/>
              <w:rPr>
                <w:sz w:val="21"/>
                <w:szCs w:val="21"/>
              </w:rPr>
            </w:pPr>
          </w:p>
        </w:tc>
        <w:tc>
          <w:tcPr>
            <w:tcW w:w="2126"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6</w:t>
            </w:r>
          </w:p>
        </w:tc>
        <w:tc>
          <w:tcPr>
            <w:tcW w:w="1618" w:type="dxa"/>
            <w:vAlign w:val="center"/>
          </w:tcPr>
          <w:p>
            <w:pPr>
              <w:jc w:val="center"/>
              <w:rPr>
                <w:sz w:val="21"/>
                <w:szCs w:val="21"/>
              </w:rPr>
            </w:pPr>
          </w:p>
        </w:tc>
        <w:tc>
          <w:tcPr>
            <w:tcW w:w="2126"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7</w:t>
            </w:r>
          </w:p>
        </w:tc>
        <w:tc>
          <w:tcPr>
            <w:tcW w:w="1618" w:type="dxa"/>
            <w:vAlign w:val="center"/>
          </w:tcPr>
          <w:p>
            <w:pPr>
              <w:jc w:val="center"/>
              <w:rPr>
                <w:b/>
                <w:sz w:val="21"/>
                <w:szCs w:val="21"/>
              </w:rPr>
            </w:pPr>
          </w:p>
        </w:tc>
        <w:tc>
          <w:tcPr>
            <w:tcW w:w="2126"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3"/>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hint="eastAsia" w:ascii="宋体" w:hAnsi="宋体"/>
          <w:sz w:val="24"/>
          <w:szCs w:val="28"/>
        </w:rPr>
      </w:pP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 xml:space="preserve">   </w:t>
      </w:r>
    </w:p>
    <w:p>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snapToGrid w:val="0"/>
        <w:spacing w:line="360" w:lineRule="auto"/>
        <w:ind w:firstLine="480" w:firstLineChars="200"/>
        <w:rPr>
          <w:rFonts w:hint="eastAsia"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pPr>
        <w:pStyle w:val="32"/>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pPr>
        <w:pStyle w:val="32"/>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633" w:type="dxa"/>
            <w:vAlign w:val="center"/>
          </w:tcPr>
          <w:p>
            <w:pPr>
              <w:tabs>
                <w:tab w:val="left" w:pos="6300"/>
              </w:tabs>
              <w:snapToGrid w:val="0"/>
              <w:jc w:val="center"/>
              <w:outlineLvl w:val="0"/>
              <w:rPr>
                <w:rFonts w:hint="eastAsia" w:ascii="宋体" w:hAnsi="宋体"/>
                <w:sz w:val="21"/>
                <w:szCs w:val="21"/>
              </w:rPr>
            </w:pPr>
          </w:p>
        </w:tc>
      </w:tr>
    </w:tbl>
    <w:p>
      <w:pPr>
        <w:spacing w:line="360" w:lineRule="auto"/>
        <w:ind w:firstLine="480" w:firstLineChars="200"/>
        <w:rPr>
          <w:rFonts w:hint="eastAsia" w:ascii="宋体" w:hAnsi="宋体"/>
          <w:sz w:val="24"/>
          <w:szCs w:val="28"/>
        </w:rPr>
      </w:pPr>
    </w:p>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2.根据响应情况在“差异说明”项填写正偏离或负偏离及原因，完全符合的填写“无差异”；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8" w:name="_Toc313008358"/>
      <w:bookmarkStart w:id="139" w:name="_Toc313888362"/>
      <w:bookmarkStart w:id="140" w:name="_Toc23764524"/>
      <w:bookmarkStart w:id="141" w:name="_Toc342913421"/>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pPr>
        <w:tabs>
          <w:tab w:val="left" w:pos="6300"/>
        </w:tabs>
        <w:snapToGrid w:val="0"/>
        <w:spacing w:line="360" w:lineRule="auto"/>
        <w:rPr>
          <w:rFonts w:hint="eastAsia" w:ascii="宋体" w:hAnsi="宋体"/>
          <w:sz w:val="24"/>
          <w:szCs w:val="24"/>
        </w:rPr>
      </w:pPr>
      <w:r>
        <w:rPr>
          <w:rFonts w:hint="eastAsia"/>
          <w:sz w:val="24"/>
          <w:szCs w:val="24"/>
        </w:rPr>
        <w:t xml:space="preserve">    （一）商务响应偏离表</w:t>
      </w:r>
    </w:p>
    <w:p>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2.根据投标情况在“差异说明”项填写正偏离或负偏离及原因，完全符合的填写“无差异”。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hint="eastAsia" w:ascii="宋体" w:hAnsi="宋体"/>
          <w:sz w:val="24"/>
          <w:szCs w:val="24"/>
        </w:rPr>
      </w:pPr>
    </w:p>
    <w:p>
      <w:pPr>
        <w:pStyle w:val="22"/>
      </w:pP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（二）其它商务证明材料（格式自定）</w:t>
      </w:r>
    </w:p>
    <w:p>
      <w:pPr>
        <w:pStyle w:val="22"/>
      </w:pPr>
    </w:p>
    <w:p>
      <w:pPr>
        <w:pageBreakBefore/>
        <w:tabs>
          <w:tab w:val="left" w:pos="6300"/>
        </w:tabs>
        <w:snapToGrid w:val="0"/>
        <w:spacing w:line="360" w:lineRule="auto"/>
        <w:rPr>
          <w:b/>
          <w:sz w:val="24"/>
          <w:szCs w:val="24"/>
        </w:rPr>
      </w:pPr>
      <w:bookmarkStart w:id="142" w:name="_Toc313008359"/>
      <w:bookmarkStart w:id="143" w:name="_Toc23764525"/>
      <w:bookmarkStart w:id="144" w:name="_Toc342913422"/>
      <w:bookmarkStart w:id="145" w:name="_Toc313888363"/>
      <w:r>
        <w:rPr>
          <w:rFonts w:hint="eastAsia"/>
          <w:b/>
          <w:sz w:val="24"/>
          <w:szCs w:val="24"/>
        </w:rPr>
        <w:t xml:space="preserve">    </w:t>
      </w:r>
      <w:r>
        <w:rPr>
          <w:b/>
          <w:sz w:val="24"/>
          <w:szCs w:val="24"/>
        </w:rPr>
        <w:t>四、资格条件及其他</w:t>
      </w:r>
      <w:bookmarkEnd w:id="142"/>
      <w:bookmarkEnd w:id="143"/>
      <w:bookmarkEnd w:id="144"/>
      <w:bookmarkEnd w:id="145"/>
    </w:p>
    <w:p>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hint="eastAsia" w:ascii="宋体" w:hAnsi="宋体"/>
          <w:sz w:val="24"/>
          <w:szCs w:val="24"/>
        </w:rPr>
      </w:pPr>
    </w:p>
    <w:p>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hint="eastAsia" w:ascii="宋体" w:hAnsi="宋体"/>
        </w:rPr>
      </w:pPr>
      <w:r>
        <w:rPr>
          <w:rFonts w:ascii="宋体" w:hAnsi="宋体"/>
        </w:rPr>
        <w:t>法定代表人身份证明书</w:t>
      </w:r>
    </w:p>
    <w:p>
      <w:pPr>
        <w:tabs>
          <w:tab w:val="left" w:pos="6300"/>
        </w:tabs>
        <w:snapToGrid w:val="0"/>
        <w:spacing w:line="500" w:lineRule="exact"/>
        <w:jc w:val="center"/>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hint="eastAsia"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hint="eastAsia" w:ascii="宋体" w:hAnsi="宋体"/>
          <w:sz w:val="24"/>
        </w:rPr>
      </w:pPr>
      <w:r>
        <w:rPr>
          <w:rFonts w:ascii="宋体" w:hAnsi="宋体"/>
        </w:rPr>
        <w:br w:type="column"/>
      </w:r>
      <w:r>
        <w:rPr>
          <w:rFonts w:hint="eastAsia" w:ascii="宋体" w:hAnsi="宋体"/>
          <w:sz w:val="24"/>
        </w:rPr>
        <w:t>（四）基本资格条件承诺函（格式）</w:t>
      </w:r>
    </w:p>
    <w:p>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hint="eastAsia"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hint="eastAsia" w:ascii="宋体" w:hAnsi="宋体"/>
          <w:szCs w:val="28"/>
        </w:rPr>
      </w:pPr>
      <w:r>
        <w:rPr>
          <w:rFonts w:hint="eastAsia" w:ascii="宋体" w:hAnsi="宋体"/>
        </w:rPr>
        <w:t>中小企业声明函（服务类）</w:t>
      </w:r>
    </w:p>
    <w:p>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hint="eastAsia" w:ascii="宋体" w:hAnsi="宋体" w:cs="微软雅黑"/>
          <w:sz w:val="24"/>
          <w:szCs w:val="24"/>
        </w:rPr>
      </w:pP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1" w:firstLineChars="200"/>
        <w:jc w:val="left"/>
        <w:rPr>
          <w:rFonts w:hint="eastAsia"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hint="eastAsia"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pPr>
        <w:tabs>
          <w:tab w:val="left" w:pos="6300"/>
        </w:tabs>
        <w:snapToGrid w:val="0"/>
        <w:spacing w:line="400" w:lineRule="exact"/>
        <w:jc w:val="left"/>
        <w:rPr>
          <w:rFonts w:hint="eastAsia" w:ascii="宋体" w:hAnsi="宋体"/>
          <w:sz w:val="21"/>
          <w:szCs w:val="21"/>
        </w:rPr>
      </w:pPr>
    </w:p>
    <w:p>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pPr>
        <w:tabs>
          <w:tab w:val="left" w:pos="6300"/>
        </w:tabs>
        <w:snapToGrid w:val="0"/>
        <w:spacing w:line="500" w:lineRule="exact"/>
        <w:jc w:val="left"/>
        <w:rPr>
          <w:rFonts w:hint="eastAsia" w:ascii="宋体" w:hAnsi="宋体"/>
        </w:rPr>
      </w:pPr>
    </w:p>
    <w:p>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hint="eastAsia" w:ascii="宋体" w:hAnsi="宋体"/>
        </w:rPr>
      </w:pPr>
    </w:p>
    <w:p>
      <w:pPr>
        <w:tabs>
          <w:tab w:val="left" w:pos="6300"/>
        </w:tabs>
        <w:snapToGrid w:val="0"/>
        <w:spacing w:line="500" w:lineRule="exact"/>
        <w:jc w:val="left"/>
        <w:rPr>
          <w:rFonts w:hint="eastAsia" w:ascii="宋体" w:hAnsi="宋体"/>
        </w:rPr>
      </w:pPr>
    </w:p>
    <w:p>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ind w:firstLine="480" w:firstLineChars="200"/>
        <w:jc w:val="left"/>
        <w:rPr>
          <w:rFonts w:hint="eastAsia" w:ascii="宋体" w:hAnsi="宋体"/>
          <w:sz w:val="24"/>
          <w:szCs w:val="24"/>
        </w:rPr>
      </w:pPr>
    </w:p>
    <w:p>
      <w:pPr>
        <w:jc w:val="lef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rPr>
          <w:rFonts w:hint="eastAsia"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文泉驿微米黑"/>
    <w:panose1 w:val="02010601000101010101"/>
    <w:charset w:val="88"/>
    <w:family w:val="roman"/>
    <w:pitch w:val="default"/>
    <w:sig w:usb0="00000000" w:usb1="00000000" w:usb2="00000016" w:usb3="00000000" w:csb0="00100001" w:csb1="00000000"/>
  </w:font>
  <w:font w:name="仿宋_GB2312">
    <w:altName w:val="方正仿宋_GBK"/>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昆仑楷体">
    <w:altName w:val="方正楷体_GBK"/>
    <w:panose1 w:val="00000000000000000000"/>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xOWZkNGMyYThlMDYxNjI3NTA5MjhmZDhkOTdjMjE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55C"/>
    <w:rsid w:val="00021757"/>
    <w:rsid w:val="00021BFC"/>
    <w:rsid w:val="0002306F"/>
    <w:rsid w:val="00023349"/>
    <w:rsid w:val="00023B94"/>
    <w:rsid w:val="00024976"/>
    <w:rsid w:val="00026234"/>
    <w:rsid w:val="000272B0"/>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B06"/>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530"/>
    <w:rsid w:val="00087882"/>
    <w:rsid w:val="00087B92"/>
    <w:rsid w:val="000900C7"/>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32"/>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4C11"/>
    <w:rsid w:val="000F52CF"/>
    <w:rsid w:val="000F5401"/>
    <w:rsid w:val="000F5BB5"/>
    <w:rsid w:val="000F5F78"/>
    <w:rsid w:val="000F5FD6"/>
    <w:rsid w:val="000F65BF"/>
    <w:rsid w:val="000F6929"/>
    <w:rsid w:val="000F6F04"/>
    <w:rsid w:val="000F7DBF"/>
    <w:rsid w:val="0010014A"/>
    <w:rsid w:val="00100639"/>
    <w:rsid w:val="00101AC0"/>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6EFB"/>
    <w:rsid w:val="001277DB"/>
    <w:rsid w:val="00127F11"/>
    <w:rsid w:val="0013085B"/>
    <w:rsid w:val="001330DD"/>
    <w:rsid w:val="001331B7"/>
    <w:rsid w:val="00133D16"/>
    <w:rsid w:val="001351F8"/>
    <w:rsid w:val="00135CA4"/>
    <w:rsid w:val="00135FF6"/>
    <w:rsid w:val="0013601C"/>
    <w:rsid w:val="00136D2B"/>
    <w:rsid w:val="0013794A"/>
    <w:rsid w:val="00137EB6"/>
    <w:rsid w:val="001407CF"/>
    <w:rsid w:val="00142491"/>
    <w:rsid w:val="001426F8"/>
    <w:rsid w:val="001429F3"/>
    <w:rsid w:val="00143186"/>
    <w:rsid w:val="00143675"/>
    <w:rsid w:val="0014474A"/>
    <w:rsid w:val="001450D5"/>
    <w:rsid w:val="00145999"/>
    <w:rsid w:val="001460CF"/>
    <w:rsid w:val="001460FA"/>
    <w:rsid w:val="001464CE"/>
    <w:rsid w:val="00147FB4"/>
    <w:rsid w:val="0015011C"/>
    <w:rsid w:val="001501FB"/>
    <w:rsid w:val="00150429"/>
    <w:rsid w:val="00150E1E"/>
    <w:rsid w:val="00151661"/>
    <w:rsid w:val="00151887"/>
    <w:rsid w:val="00151EF1"/>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6A98"/>
    <w:rsid w:val="001872E3"/>
    <w:rsid w:val="001879FD"/>
    <w:rsid w:val="00187CBA"/>
    <w:rsid w:val="00187FE3"/>
    <w:rsid w:val="00190D77"/>
    <w:rsid w:val="00190DA3"/>
    <w:rsid w:val="00190E36"/>
    <w:rsid w:val="00191139"/>
    <w:rsid w:val="00192231"/>
    <w:rsid w:val="001937A9"/>
    <w:rsid w:val="00193D98"/>
    <w:rsid w:val="001940F1"/>
    <w:rsid w:val="00194BDC"/>
    <w:rsid w:val="00195091"/>
    <w:rsid w:val="00195549"/>
    <w:rsid w:val="00195D48"/>
    <w:rsid w:val="00196543"/>
    <w:rsid w:val="00196C11"/>
    <w:rsid w:val="00197CD0"/>
    <w:rsid w:val="001A0DF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3714"/>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1FC"/>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DAB"/>
    <w:rsid w:val="001F2104"/>
    <w:rsid w:val="001F2882"/>
    <w:rsid w:val="001F2F9C"/>
    <w:rsid w:val="001F3A3C"/>
    <w:rsid w:val="001F3BA0"/>
    <w:rsid w:val="001F4964"/>
    <w:rsid w:val="001F58AE"/>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7E7"/>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0790"/>
    <w:rsid w:val="00241034"/>
    <w:rsid w:val="00241148"/>
    <w:rsid w:val="002415EF"/>
    <w:rsid w:val="00241AD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6C3F"/>
    <w:rsid w:val="00257F64"/>
    <w:rsid w:val="00260332"/>
    <w:rsid w:val="00261083"/>
    <w:rsid w:val="00261495"/>
    <w:rsid w:val="002614C2"/>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9A5"/>
    <w:rsid w:val="00282E12"/>
    <w:rsid w:val="0028314D"/>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6D79"/>
    <w:rsid w:val="00297317"/>
    <w:rsid w:val="00297357"/>
    <w:rsid w:val="0029789D"/>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0CC9"/>
    <w:rsid w:val="002E13A6"/>
    <w:rsid w:val="002E167C"/>
    <w:rsid w:val="002E19DE"/>
    <w:rsid w:val="002E1BD1"/>
    <w:rsid w:val="002E1E7F"/>
    <w:rsid w:val="002E391B"/>
    <w:rsid w:val="002E40BB"/>
    <w:rsid w:val="002E4386"/>
    <w:rsid w:val="002E4F37"/>
    <w:rsid w:val="002E5138"/>
    <w:rsid w:val="002E69BB"/>
    <w:rsid w:val="002F0700"/>
    <w:rsid w:val="002F1AE8"/>
    <w:rsid w:val="002F1AFD"/>
    <w:rsid w:val="002F1DBB"/>
    <w:rsid w:val="002F228B"/>
    <w:rsid w:val="002F32E1"/>
    <w:rsid w:val="002F3DE3"/>
    <w:rsid w:val="002F459D"/>
    <w:rsid w:val="002F4996"/>
    <w:rsid w:val="002F4C3A"/>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678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32"/>
    <w:rsid w:val="0034664F"/>
    <w:rsid w:val="0034697B"/>
    <w:rsid w:val="00346A3D"/>
    <w:rsid w:val="00347A4A"/>
    <w:rsid w:val="00347A4C"/>
    <w:rsid w:val="00347F6B"/>
    <w:rsid w:val="00350C20"/>
    <w:rsid w:val="00350D97"/>
    <w:rsid w:val="003518A4"/>
    <w:rsid w:val="003524B8"/>
    <w:rsid w:val="00352864"/>
    <w:rsid w:val="003530F8"/>
    <w:rsid w:val="003548FA"/>
    <w:rsid w:val="00354DE5"/>
    <w:rsid w:val="00354EED"/>
    <w:rsid w:val="00354F48"/>
    <w:rsid w:val="003551F3"/>
    <w:rsid w:val="0035560B"/>
    <w:rsid w:val="00355A74"/>
    <w:rsid w:val="00356999"/>
    <w:rsid w:val="00356B83"/>
    <w:rsid w:val="00356C32"/>
    <w:rsid w:val="00356F69"/>
    <w:rsid w:val="0035742F"/>
    <w:rsid w:val="00357D6C"/>
    <w:rsid w:val="0036013B"/>
    <w:rsid w:val="003606CD"/>
    <w:rsid w:val="00361266"/>
    <w:rsid w:val="003612C2"/>
    <w:rsid w:val="00361427"/>
    <w:rsid w:val="0036458B"/>
    <w:rsid w:val="003645D7"/>
    <w:rsid w:val="00365521"/>
    <w:rsid w:val="00366B32"/>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A83"/>
    <w:rsid w:val="003B6BBE"/>
    <w:rsid w:val="003B764A"/>
    <w:rsid w:val="003C0499"/>
    <w:rsid w:val="003C1DF6"/>
    <w:rsid w:val="003C1E69"/>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3FC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95C"/>
    <w:rsid w:val="003F7A1C"/>
    <w:rsid w:val="00400859"/>
    <w:rsid w:val="00400A7F"/>
    <w:rsid w:val="00400F9C"/>
    <w:rsid w:val="00401C5D"/>
    <w:rsid w:val="00401D58"/>
    <w:rsid w:val="004021E6"/>
    <w:rsid w:val="00402B32"/>
    <w:rsid w:val="00405FB2"/>
    <w:rsid w:val="0040638D"/>
    <w:rsid w:val="00406647"/>
    <w:rsid w:val="004067A5"/>
    <w:rsid w:val="0040702D"/>
    <w:rsid w:val="0040710C"/>
    <w:rsid w:val="00407E02"/>
    <w:rsid w:val="00410AFE"/>
    <w:rsid w:val="00410C34"/>
    <w:rsid w:val="00410C93"/>
    <w:rsid w:val="00410D9A"/>
    <w:rsid w:val="00411B4A"/>
    <w:rsid w:val="00412369"/>
    <w:rsid w:val="0041250D"/>
    <w:rsid w:val="00413472"/>
    <w:rsid w:val="00413BB6"/>
    <w:rsid w:val="00413C81"/>
    <w:rsid w:val="00413E2A"/>
    <w:rsid w:val="0041597E"/>
    <w:rsid w:val="00415FB9"/>
    <w:rsid w:val="0041741A"/>
    <w:rsid w:val="00417E99"/>
    <w:rsid w:val="004206F0"/>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37C79"/>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76B"/>
    <w:rsid w:val="00470AD0"/>
    <w:rsid w:val="00471630"/>
    <w:rsid w:val="00471D38"/>
    <w:rsid w:val="00472AA2"/>
    <w:rsid w:val="00474640"/>
    <w:rsid w:val="00474B4A"/>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3FC0"/>
    <w:rsid w:val="004C4070"/>
    <w:rsid w:val="004C448E"/>
    <w:rsid w:val="004C64E4"/>
    <w:rsid w:val="004C6B80"/>
    <w:rsid w:val="004C710D"/>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04C"/>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391B"/>
    <w:rsid w:val="005652CB"/>
    <w:rsid w:val="0056623E"/>
    <w:rsid w:val="00566A85"/>
    <w:rsid w:val="00566CF8"/>
    <w:rsid w:val="00566EB3"/>
    <w:rsid w:val="00567161"/>
    <w:rsid w:val="00567733"/>
    <w:rsid w:val="00567ABA"/>
    <w:rsid w:val="005707AA"/>
    <w:rsid w:val="00571F99"/>
    <w:rsid w:val="0057247C"/>
    <w:rsid w:val="00572CAB"/>
    <w:rsid w:val="00573AE3"/>
    <w:rsid w:val="00574613"/>
    <w:rsid w:val="00574D27"/>
    <w:rsid w:val="00575438"/>
    <w:rsid w:val="00577A40"/>
    <w:rsid w:val="00577F44"/>
    <w:rsid w:val="00580498"/>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2D7F"/>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B7927"/>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0CB"/>
    <w:rsid w:val="005C7685"/>
    <w:rsid w:val="005D00FD"/>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2A7"/>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4EB"/>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1FAA"/>
    <w:rsid w:val="00622D51"/>
    <w:rsid w:val="006230A6"/>
    <w:rsid w:val="00623B74"/>
    <w:rsid w:val="00623BE2"/>
    <w:rsid w:val="00623F6C"/>
    <w:rsid w:val="0062480E"/>
    <w:rsid w:val="006254A0"/>
    <w:rsid w:val="00625947"/>
    <w:rsid w:val="00626206"/>
    <w:rsid w:val="0062709B"/>
    <w:rsid w:val="006321D7"/>
    <w:rsid w:val="0063412C"/>
    <w:rsid w:val="00634402"/>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D86"/>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0F75"/>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649"/>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04C1"/>
    <w:rsid w:val="00722FF7"/>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5DFE"/>
    <w:rsid w:val="007B6D79"/>
    <w:rsid w:val="007B7037"/>
    <w:rsid w:val="007B7968"/>
    <w:rsid w:val="007C0124"/>
    <w:rsid w:val="007C0842"/>
    <w:rsid w:val="007C08AD"/>
    <w:rsid w:val="007C0F78"/>
    <w:rsid w:val="007C1B6E"/>
    <w:rsid w:val="007C20BD"/>
    <w:rsid w:val="007C29B0"/>
    <w:rsid w:val="007C3750"/>
    <w:rsid w:val="007C3DBA"/>
    <w:rsid w:val="007C6B15"/>
    <w:rsid w:val="007C6E12"/>
    <w:rsid w:val="007C717F"/>
    <w:rsid w:val="007D0A74"/>
    <w:rsid w:val="007D0EDC"/>
    <w:rsid w:val="007D0F51"/>
    <w:rsid w:val="007D10D9"/>
    <w:rsid w:val="007D14F5"/>
    <w:rsid w:val="007D1E65"/>
    <w:rsid w:val="007D38E8"/>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FC6"/>
    <w:rsid w:val="007E418B"/>
    <w:rsid w:val="007E43E0"/>
    <w:rsid w:val="007E56FA"/>
    <w:rsid w:val="007E5F58"/>
    <w:rsid w:val="007E6305"/>
    <w:rsid w:val="007E63CE"/>
    <w:rsid w:val="007E72FA"/>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8A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3776E"/>
    <w:rsid w:val="00840446"/>
    <w:rsid w:val="00842273"/>
    <w:rsid w:val="00842974"/>
    <w:rsid w:val="00843966"/>
    <w:rsid w:val="0084429D"/>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0FB"/>
    <w:rsid w:val="008566B6"/>
    <w:rsid w:val="0085707D"/>
    <w:rsid w:val="008573B9"/>
    <w:rsid w:val="00857C4E"/>
    <w:rsid w:val="008616EF"/>
    <w:rsid w:val="00861A7E"/>
    <w:rsid w:val="0086209C"/>
    <w:rsid w:val="00862BE3"/>
    <w:rsid w:val="008639FF"/>
    <w:rsid w:val="00863C25"/>
    <w:rsid w:val="0086432B"/>
    <w:rsid w:val="00865616"/>
    <w:rsid w:val="008662A7"/>
    <w:rsid w:val="00866875"/>
    <w:rsid w:val="0086729A"/>
    <w:rsid w:val="00867C84"/>
    <w:rsid w:val="008705BC"/>
    <w:rsid w:val="0087107F"/>
    <w:rsid w:val="00871139"/>
    <w:rsid w:val="00873E01"/>
    <w:rsid w:val="0087486D"/>
    <w:rsid w:val="00874AFC"/>
    <w:rsid w:val="00874E31"/>
    <w:rsid w:val="008755F8"/>
    <w:rsid w:val="00875667"/>
    <w:rsid w:val="00875A42"/>
    <w:rsid w:val="00875F81"/>
    <w:rsid w:val="00876CEE"/>
    <w:rsid w:val="0087732E"/>
    <w:rsid w:val="00880BDF"/>
    <w:rsid w:val="0088114C"/>
    <w:rsid w:val="00881E28"/>
    <w:rsid w:val="00882BE2"/>
    <w:rsid w:val="0088735B"/>
    <w:rsid w:val="00887758"/>
    <w:rsid w:val="008904A8"/>
    <w:rsid w:val="00890A0E"/>
    <w:rsid w:val="00892103"/>
    <w:rsid w:val="0089236E"/>
    <w:rsid w:val="008926A8"/>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B3E"/>
    <w:rsid w:val="008E3E7B"/>
    <w:rsid w:val="008E3F17"/>
    <w:rsid w:val="008E41E0"/>
    <w:rsid w:val="008E4808"/>
    <w:rsid w:val="008E512F"/>
    <w:rsid w:val="008E596B"/>
    <w:rsid w:val="008E66B8"/>
    <w:rsid w:val="008E75FA"/>
    <w:rsid w:val="008F01C1"/>
    <w:rsid w:val="008F109F"/>
    <w:rsid w:val="008F1483"/>
    <w:rsid w:val="008F1988"/>
    <w:rsid w:val="008F317C"/>
    <w:rsid w:val="008F450F"/>
    <w:rsid w:val="008F6252"/>
    <w:rsid w:val="008F6D8C"/>
    <w:rsid w:val="008F7605"/>
    <w:rsid w:val="008F78E2"/>
    <w:rsid w:val="009023F3"/>
    <w:rsid w:val="00902AB9"/>
    <w:rsid w:val="00902D27"/>
    <w:rsid w:val="0090383C"/>
    <w:rsid w:val="009039EC"/>
    <w:rsid w:val="00906019"/>
    <w:rsid w:val="00906A8A"/>
    <w:rsid w:val="009071EC"/>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21"/>
    <w:rsid w:val="009227B8"/>
    <w:rsid w:val="00922ACD"/>
    <w:rsid w:val="00922F48"/>
    <w:rsid w:val="00922FAD"/>
    <w:rsid w:val="00923BB4"/>
    <w:rsid w:val="009248A4"/>
    <w:rsid w:val="00924F0A"/>
    <w:rsid w:val="00925681"/>
    <w:rsid w:val="00925C89"/>
    <w:rsid w:val="00925D5C"/>
    <w:rsid w:val="00925E94"/>
    <w:rsid w:val="00926E80"/>
    <w:rsid w:val="0092708B"/>
    <w:rsid w:val="009270EA"/>
    <w:rsid w:val="009271F5"/>
    <w:rsid w:val="00927B9C"/>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689"/>
    <w:rsid w:val="00945839"/>
    <w:rsid w:val="00945A4A"/>
    <w:rsid w:val="00945A80"/>
    <w:rsid w:val="00945CB8"/>
    <w:rsid w:val="00946941"/>
    <w:rsid w:val="0094696B"/>
    <w:rsid w:val="00951A98"/>
    <w:rsid w:val="00953333"/>
    <w:rsid w:val="0095340A"/>
    <w:rsid w:val="00953F54"/>
    <w:rsid w:val="00953F58"/>
    <w:rsid w:val="009547B6"/>
    <w:rsid w:val="00954B4D"/>
    <w:rsid w:val="00954C1F"/>
    <w:rsid w:val="009551F9"/>
    <w:rsid w:val="00955A35"/>
    <w:rsid w:val="0095672D"/>
    <w:rsid w:val="00956DFE"/>
    <w:rsid w:val="00957648"/>
    <w:rsid w:val="009606C4"/>
    <w:rsid w:val="00961503"/>
    <w:rsid w:val="0096342A"/>
    <w:rsid w:val="0096444A"/>
    <w:rsid w:val="009646B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68AA"/>
    <w:rsid w:val="009A7FA3"/>
    <w:rsid w:val="009B0B60"/>
    <w:rsid w:val="009B10F7"/>
    <w:rsid w:val="009B18B2"/>
    <w:rsid w:val="009B2D9A"/>
    <w:rsid w:val="009B3C4A"/>
    <w:rsid w:val="009B4B3E"/>
    <w:rsid w:val="009B4C7C"/>
    <w:rsid w:val="009B4EF2"/>
    <w:rsid w:val="009B5476"/>
    <w:rsid w:val="009B776E"/>
    <w:rsid w:val="009B7C1C"/>
    <w:rsid w:val="009B7D1A"/>
    <w:rsid w:val="009C16EE"/>
    <w:rsid w:val="009C2583"/>
    <w:rsid w:val="009C2C42"/>
    <w:rsid w:val="009C3034"/>
    <w:rsid w:val="009C36E8"/>
    <w:rsid w:val="009C3D9F"/>
    <w:rsid w:val="009C5012"/>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2FC5"/>
    <w:rsid w:val="009F3C8C"/>
    <w:rsid w:val="009F41BD"/>
    <w:rsid w:val="009F4C48"/>
    <w:rsid w:val="009F5015"/>
    <w:rsid w:val="009F74A9"/>
    <w:rsid w:val="00A00628"/>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7FE"/>
    <w:rsid w:val="00A24A41"/>
    <w:rsid w:val="00A26FF7"/>
    <w:rsid w:val="00A27535"/>
    <w:rsid w:val="00A310A7"/>
    <w:rsid w:val="00A315D8"/>
    <w:rsid w:val="00A316B5"/>
    <w:rsid w:val="00A34063"/>
    <w:rsid w:val="00A3496C"/>
    <w:rsid w:val="00A36452"/>
    <w:rsid w:val="00A36726"/>
    <w:rsid w:val="00A37419"/>
    <w:rsid w:val="00A40DA5"/>
    <w:rsid w:val="00A423A8"/>
    <w:rsid w:val="00A43C97"/>
    <w:rsid w:val="00A445DC"/>
    <w:rsid w:val="00A44BEA"/>
    <w:rsid w:val="00A44CCB"/>
    <w:rsid w:val="00A45D4D"/>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14EF"/>
    <w:rsid w:val="00A624A6"/>
    <w:rsid w:val="00A62959"/>
    <w:rsid w:val="00A62BAE"/>
    <w:rsid w:val="00A637B0"/>
    <w:rsid w:val="00A63D2F"/>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0383"/>
    <w:rsid w:val="00A93D06"/>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23"/>
    <w:rsid w:val="00AC18DD"/>
    <w:rsid w:val="00AC2B04"/>
    <w:rsid w:val="00AC2D63"/>
    <w:rsid w:val="00AC33AD"/>
    <w:rsid w:val="00AC37E5"/>
    <w:rsid w:val="00AC4674"/>
    <w:rsid w:val="00AC4898"/>
    <w:rsid w:val="00AC48B3"/>
    <w:rsid w:val="00AC4EE9"/>
    <w:rsid w:val="00AC5F75"/>
    <w:rsid w:val="00AC620B"/>
    <w:rsid w:val="00AC7626"/>
    <w:rsid w:val="00AC7AC9"/>
    <w:rsid w:val="00AD0477"/>
    <w:rsid w:val="00AD0621"/>
    <w:rsid w:val="00AD22DE"/>
    <w:rsid w:val="00AD24E3"/>
    <w:rsid w:val="00AD380C"/>
    <w:rsid w:val="00AD3961"/>
    <w:rsid w:val="00AD4AD4"/>
    <w:rsid w:val="00AD58EC"/>
    <w:rsid w:val="00AD6462"/>
    <w:rsid w:val="00AD6823"/>
    <w:rsid w:val="00AD748B"/>
    <w:rsid w:val="00AD7B20"/>
    <w:rsid w:val="00AE1920"/>
    <w:rsid w:val="00AE263B"/>
    <w:rsid w:val="00AE3014"/>
    <w:rsid w:val="00AE35A4"/>
    <w:rsid w:val="00AE38AB"/>
    <w:rsid w:val="00AE4986"/>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5E"/>
    <w:rsid w:val="00AF556F"/>
    <w:rsid w:val="00AF671D"/>
    <w:rsid w:val="00AF6C57"/>
    <w:rsid w:val="00AF6C5D"/>
    <w:rsid w:val="00AF7992"/>
    <w:rsid w:val="00B0028D"/>
    <w:rsid w:val="00B00545"/>
    <w:rsid w:val="00B00AB3"/>
    <w:rsid w:val="00B011FE"/>
    <w:rsid w:val="00B031EF"/>
    <w:rsid w:val="00B032FE"/>
    <w:rsid w:val="00B05D4B"/>
    <w:rsid w:val="00B05FF5"/>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4A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C83"/>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30A4"/>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05E83"/>
    <w:rsid w:val="00C078F5"/>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2B90"/>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3ED"/>
    <w:rsid w:val="00C63D6E"/>
    <w:rsid w:val="00C63E60"/>
    <w:rsid w:val="00C648F3"/>
    <w:rsid w:val="00C6490B"/>
    <w:rsid w:val="00C65711"/>
    <w:rsid w:val="00C66943"/>
    <w:rsid w:val="00C66AC4"/>
    <w:rsid w:val="00C676B9"/>
    <w:rsid w:val="00C67D38"/>
    <w:rsid w:val="00C702BF"/>
    <w:rsid w:val="00C721C5"/>
    <w:rsid w:val="00C72B08"/>
    <w:rsid w:val="00C73211"/>
    <w:rsid w:val="00C737BB"/>
    <w:rsid w:val="00C747CB"/>
    <w:rsid w:val="00C74BAB"/>
    <w:rsid w:val="00C74D7D"/>
    <w:rsid w:val="00C74E9E"/>
    <w:rsid w:val="00C751EE"/>
    <w:rsid w:val="00C75849"/>
    <w:rsid w:val="00C76ECD"/>
    <w:rsid w:val="00C77235"/>
    <w:rsid w:val="00C77262"/>
    <w:rsid w:val="00C80D99"/>
    <w:rsid w:val="00C80F82"/>
    <w:rsid w:val="00C80FDF"/>
    <w:rsid w:val="00C81652"/>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5520"/>
    <w:rsid w:val="00C96A12"/>
    <w:rsid w:val="00C96EBD"/>
    <w:rsid w:val="00C9703A"/>
    <w:rsid w:val="00CA0D31"/>
    <w:rsid w:val="00CA14BE"/>
    <w:rsid w:val="00CA1A83"/>
    <w:rsid w:val="00CA2168"/>
    <w:rsid w:val="00CA2836"/>
    <w:rsid w:val="00CA299F"/>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1556"/>
    <w:rsid w:val="00CB215B"/>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0452"/>
    <w:rsid w:val="00D12FE3"/>
    <w:rsid w:val="00D13B7A"/>
    <w:rsid w:val="00D14493"/>
    <w:rsid w:val="00D15748"/>
    <w:rsid w:val="00D157A5"/>
    <w:rsid w:val="00D15DB9"/>
    <w:rsid w:val="00D1691B"/>
    <w:rsid w:val="00D16DDB"/>
    <w:rsid w:val="00D2021D"/>
    <w:rsid w:val="00D21346"/>
    <w:rsid w:val="00D21E36"/>
    <w:rsid w:val="00D22B63"/>
    <w:rsid w:val="00D22C4B"/>
    <w:rsid w:val="00D22F7C"/>
    <w:rsid w:val="00D230C7"/>
    <w:rsid w:val="00D232B6"/>
    <w:rsid w:val="00D2386F"/>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8FA"/>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1EA7"/>
    <w:rsid w:val="00DE276D"/>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385"/>
    <w:rsid w:val="00E01AEE"/>
    <w:rsid w:val="00E02E6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572"/>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234"/>
    <w:rsid w:val="00E41568"/>
    <w:rsid w:val="00E41755"/>
    <w:rsid w:val="00E4199A"/>
    <w:rsid w:val="00E42144"/>
    <w:rsid w:val="00E4413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01F"/>
    <w:rsid w:val="00E641A8"/>
    <w:rsid w:val="00E658AD"/>
    <w:rsid w:val="00E65CA6"/>
    <w:rsid w:val="00E65E1B"/>
    <w:rsid w:val="00E66117"/>
    <w:rsid w:val="00E66508"/>
    <w:rsid w:val="00E66C3B"/>
    <w:rsid w:val="00E673C1"/>
    <w:rsid w:val="00E70CED"/>
    <w:rsid w:val="00E71327"/>
    <w:rsid w:val="00E7294B"/>
    <w:rsid w:val="00E7342C"/>
    <w:rsid w:val="00E737AC"/>
    <w:rsid w:val="00E74505"/>
    <w:rsid w:val="00E74861"/>
    <w:rsid w:val="00E75A4B"/>
    <w:rsid w:val="00E76363"/>
    <w:rsid w:val="00E76515"/>
    <w:rsid w:val="00E77158"/>
    <w:rsid w:val="00E77559"/>
    <w:rsid w:val="00E77A80"/>
    <w:rsid w:val="00E80026"/>
    <w:rsid w:val="00E8022D"/>
    <w:rsid w:val="00E80569"/>
    <w:rsid w:val="00E807B4"/>
    <w:rsid w:val="00E80F29"/>
    <w:rsid w:val="00E82AFD"/>
    <w:rsid w:val="00E83C05"/>
    <w:rsid w:val="00E849C3"/>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A08"/>
    <w:rsid w:val="00EB1C84"/>
    <w:rsid w:val="00EB1E33"/>
    <w:rsid w:val="00EB2D6B"/>
    <w:rsid w:val="00EB2FC4"/>
    <w:rsid w:val="00EB3A1F"/>
    <w:rsid w:val="00EB47C1"/>
    <w:rsid w:val="00EB5E45"/>
    <w:rsid w:val="00EB613E"/>
    <w:rsid w:val="00EB6688"/>
    <w:rsid w:val="00EB702C"/>
    <w:rsid w:val="00EB7CB4"/>
    <w:rsid w:val="00EC0548"/>
    <w:rsid w:val="00EC0609"/>
    <w:rsid w:val="00EC0881"/>
    <w:rsid w:val="00EC0FAF"/>
    <w:rsid w:val="00EC1BE6"/>
    <w:rsid w:val="00EC22CB"/>
    <w:rsid w:val="00EC2336"/>
    <w:rsid w:val="00EC37A9"/>
    <w:rsid w:val="00EC3ACB"/>
    <w:rsid w:val="00EC4B4E"/>
    <w:rsid w:val="00EC4CFA"/>
    <w:rsid w:val="00EC52E5"/>
    <w:rsid w:val="00ED01A1"/>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2D0"/>
    <w:rsid w:val="00EE49B5"/>
    <w:rsid w:val="00EE58B2"/>
    <w:rsid w:val="00EE5A62"/>
    <w:rsid w:val="00EE5D09"/>
    <w:rsid w:val="00EE6258"/>
    <w:rsid w:val="00EE7822"/>
    <w:rsid w:val="00EF063F"/>
    <w:rsid w:val="00EF0E72"/>
    <w:rsid w:val="00EF163B"/>
    <w:rsid w:val="00EF2517"/>
    <w:rsid w:val="00EF2D55"/>
    <w:rsid w:val="00EF4C54"/>
    <w:rsid w:val="00EF591F"/>
    <w:rsid w:val="00EF6540"/>
    <w:rsid w:val="00F004A5"/>
    <w:rsid w:val="00F00B08"/>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3AF"/>
    <w:rsid w:val="00F20E12"/>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746"/>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14C"/>
    <w:rsid w:val="00F50EA6"/>
    <w:rsid w:val="00F513D1"/>
    <w:rsid w:val="00F51ACA"/>
    <w:rsid w:val="00F546A6"/>
    <w:rsid w:val="00F54C4A"/>
    <w:rsid w:val="00F553EB"/>
    <w:rsid w:val="00F5560C"/>
    <w:rsid w:val="00F55977"/>
    <w:rsid w:val="00F55FAA"/>
    <w:rsid w:val="00F56399"/>
    <w:rsid w:val="00F5656E"/>
    <w:rsid w:val="00F56CF8"/>
    <w:rsid w:val="00F5745E"/>
    <w:rsid w:val="00F57B95"/>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21AE"/>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6054"/>
    <w:rsid w:val="00F97EFB"/>
    <w:rsid w:val="00FA0685"/>
    <w:rsid w:val="00FA15AF"/>
    <w:rsid w:val="00FA2886"/>
    <w:rsid w:val="00FA2A8C"/>
    <w:rsid w:val="00FA2C6C"/>
    <w:rsid w:val="00FA2E1D"/>
    <w:rsid w:val="00FA3936"/>
    <w:rsid w:val="00FA3D13"/>
    <w:rsid w:val="00FA425B"/>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51E"/>
    <w:rsid w:val="00FE1C27"/>
    <w:rsid w:val="00FE249F"/>
    <w:rsid w:val="00FE26CA"/>
    <w:rsid w:val="00FE2AE4"/>
    <w:rsid w:val="00FE4593"/>
    <w:rsid w:val="00FE527E"/>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915889"/>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BD5217"/>
    <w:rsid w:val="06D55414"/>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1190E"/>
    <w:rsid w:val="08FE48C8"/>
    <w:rsid w:val="090C0806"/>
    <w:rsid w:val="09304FAA"/>
    <w:rsid w:val="097529BD"/>
    <w:rsid w:val="098B0C04"/>
    <w:rsid w:val="09AA5678"/>
    <w:rsid w:val="09B23531"/>
    <w:rsid w:val="09DB4F16"/>
    <w:rsid w:val="09EA6168"/>
    <w:rsid w:val="0A256191"/>
    <w:rsid w:val="0A430D0D"/>
    <w:rsid w:val="0A4C1970"/>
    <w:rsid w:val="0A5E4659"/>
    <w:rsid w:val="0AE67450"/>
    <w:rsid w:val="0AEB5FE9"/>
    <w:rsid w:val="0AF3003D"/>
    <w:rsid w:val="0AFE126B"/>
    <w:rsid w:val="0B3C19E4"/>
    <w:rsid w:val="0B3C5F0D"/>
    <w:rsid w:val="0B584344"/>
    <w:rsid w:val="0B605985"/>
    <w:rsid w:val="0BC8771C"/>
    <w:rsid w:val="0BD7795F"/>
    <w:rsid w:val="0BF240CE"/>
    <w:rsid w:val="0C3B6140"/>
    <w:rsid w:val="0C3E178C"/>
    <w:rsid w:val="0C96655E"/>
    <w:rsid w:val="0C9870EE"/>
    <w:rsid w:val="0C9B3A6C"/>
    <w:rsid w:val="0CA35A93"/>
    <w:rsid w:val="0CA8710F"/>
    <w:rsid w:val="0D100A2C"/>
    <w:rsid w:val="0D270472"/>
    <w:rsid w:val="0D5A6456"/>
    <w:rsid w:val="0D6011AC"/>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863EB3"/>
    <w:rsid w:val="0F9A13CF"/>
    <w:rsid w:val="0FC91CB4"/>
    <w:rsid w:val="0FD17E1B"/>
    <w:rsid w:val="0FE93815"/>
    <w:rsid w:val="103643F7"/>
    <w:rsid w:val="10401F77"/>
    <w:rsid w:val="104B7E58"/>
    <w:rsid w:val="108350AE"/>
    <w:rsid w:val="108C6F6A"/>
    <w:rsid w:val="108E490C"/>
    <w:rsid w:val="11105483"/>
    <w:rsid w:val="11210F08"/>
    <w:rsid w:val="113820DD"/>
    <w:rsid w:val="113E5D8A"/>
    <w:rsid w:val="115219B0"/>
    <w:rsid w:val="115458DC"/>
    <w:rsid w:val="11741222"/>
    <w:rsid w:val="11764FD0"/>
    <w:rsid w:val="11A2456B"/>
    <w:rsid w:val="11CC15E8"/>
    <w:rsid w:val="121F089B"/>
    <w:rsid w:val="12665599"/>
    <w:rsid w:val="12687E9E"/>
    <w:rsid w:val="127F665A"/>
    <w:rsid w:val="12863E8D"/>
    <w:rsid w:val="12865C3B"/>
    <w:rsid w:val="12883761"/>
    <w:rsid w:val="12BC165D"/>
    <w:rsid w:val="12F32A2B"/>
    <w:rsid w:val="132316DC"/>
    <w:rsid w:val="1351449B"/>
    <w:rsid w:val="135B0E75"/>
    <w:rsid w:val="135E55DA"/>
    <w:rsid w:val="13750189"/>
    <w:rsid w:val="138F2580"/>
    <w:rsid w:val="13E26EA1"/>
    <w:rsid w:val="13E9022F"/>
    <w:rsid w:val="141D612B"/>
    <w:rsid w:val="142158F6"/>
    <w:rsid w:val="14302302"/>
    <w:rsid w:val="14465682"/>
    <w:rsid w:val="148A7C64"/>
    <w:rsid w:val="14956609"/>
    <w:rsid w:val="14EC447B"/>
    <w:rsid w:val="15003A82"/>
    <w:rsid w:val="151237B6"/>
    <w:rsid w:val="154716B1"/>
    <w:rsid w:val="154E5139"/>
    <w:rsid w:val="1571672E"/>
    <w:rsid w:val="15787ABD"/>
    <w:rsid w:val="15802E15"/>
    <w:rsid w:val="158C6D06"/>
    <w:rsid w:val="15AF7257"/>
    <w:rsid w:val="15E433A4"/>
    <w:rsid w:val="15FD4466"/>
    <w:rsid w:val="162163A6"/>
    <w:rsid w:val="16895CFA"/>
    <w:rsid w:val="16E949A3"/>
    <w:rsid w:val="16EA49EA"/>
    <w:rsid w:val="16F38A1B"/>
    <w:rsid w:val="170610F8"/>
    <w:rsid w:val="17125CEF"/>
    <w:rsid w:val="17215501"/>
    <w:rsid w:val="17AEF22E"/>
    <w:rsid w:val="17D3735B"/>
    <w:rsid w:val="17D461F9"/>
    <w:rsid w:val="180C51F5"/>
    <w:rsid w:val="1811291B"/>
    <w:rsid w:val="18277578"/>
    <w:rsid w:val="18470786"/>
    <w:rsid w:val="18567E5D"/>
    <w:rsid w:val="186E2908"/>
    <w:rsid w:val="1875217F"/>
    <w:rsid w:val="187C78C4"/>
    <w:rsid w:val="18BE5C62"/>
    <w:rsid w:val="18E84F59"/>
    <w:rsid w:val="191C098F"/>
    <w:rsid w:val="192166BD"/>
    <w:rsid w:val="194355A9"/>
    <w:rsid w:val="194F1402"/>
    <w:rsid w:val="19622F5E"/>
    <w:rsid w:val="19625EB7"/>
    <w:rsid w:val="197C38F4"/>
    <w:rsid w:val="1981715C"/>
    <w:rsid w:val="19A215AC"/>
    <w:rsid w:val="19A327C1"/>
    <w:rsid w:val="19C07C84"/>
    <w:rsid w:val="19D73FF0"/>
    <w:rsid w:val="1A304E0A"/>
    <w:rsid w:val="1A6518DB"/>
    <w:rsid w:val="1ADA2FC8"/>
    <w:rsid w:val="1AEE2C8C"/>
    <w:rsid w:val="1B175B14"/>
    <w:rsid w:val="1B5E1503"/>
    <w:rsid w:val="1BA809D0"/>
    <w:rsid w:val="1BB67591"/>
    <w:rsid w:val="1BE0016A"/>
    <w:rsid w:val="1BF16438"/>
    <w:rsid w:val="1BFD3753"/>
    <w:rsid w:val="1C0E2F29"/>
    <w:rsid w:val="1C107927"/>
    <w:rsid w:val="1CE1063D"/>
    <w:rsid w:val="1CF459BA"/>
    <w:rsid w:val="1DAB47A7"/>
    <w:rsid w:val="1DCB1A4C"/>
    <w:rsid w:val="1DD43CFE"/>
    <w:rsid w:val="1DDB508D"/>
    <w:rsid w:val="1DF67FA2"/>
    <w:rsid w:val="1E040CC9"/>
    <w:rsid w:val="1EB63404"/>
    <w:rsid w:val="1F5634E7"/>
    <w:rsid w:val="1F78690B"/>
    <w:rsid w:val="1F7A08D5"/>
    <w:rsid w:val="1FB603CA"/>
    <w:rsid w:val="1FB66677"/>
    <w:rsid w:val="1FC61D6D"/>
    <w:rsid w:val="1FDF7862"/>
    <w:rsid w:val="203C3DDD"/>
    <w:rsid w:val="204376E1"/>
    <w:rsid w:val="20994D8B"/>
    <w:rsid w:val="21050673"/>
    <w:rsid w:val="21076199"/>
    <w:rsid w:val="210E39CB"/>
    <w:rsid w:val="21127D99"/>
    <w:rsid w:val="21162880"/>
    <w:rsid w:val="21252901"/>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34D8C"/>
    <w:rsid w:val="27F751B9"/>
    <w:rsid w:val="282377EF"/>
    <w:rsid w:val="287E747C"/>
    <w:rsid w:val="28BC5ABB"/>
    <w:rsid w:val="28F134A2"/>
    <w:rsid w:val="28F21A24"/>
    <w:rsid w:val="29127C4A"/>
    <w:rsid w:val="292F2731"/>
    <w:rsid w:val="293711C1"/>
    <w:rsid w:val="293C185A"/>
    <w:rsid w:val="294F2DD3"/>
    <w:rsid w:val="29791BFE"/>
    <w:rsid w:val="297F26C7"/>
    <w:rsid w:val="2A3A4005"/>
    <w:rsid w:val="2A54453D"/>
    <w:rsid w:val="2A5561C7"/>
    <w:rsid w:val="2AAD36A8"/>
    <w:rsid w:val="2AFE314D"/>
    <w:rsid w:val="2B2F4C6A"/>
    <w:rsid w:val="2B481888"/>
    <w:rsid w:val="2B6A79CB"/>
    <w:rsid w:val="2B85488A"/>
    <w:rsid w:val="2B900426"/>
    <w:rsid w:val="2B944ACD"/>
    <w:rsid w:val="2B980A61"/>
    <w:rsid w:val="2BA04CC0"/>
    <w:rsid w:val="2BAD1D0A"/>
    <w:rsid w:val="2BE710A1"/>
    <w:rsid w:val="2BEF88B0"/>
    <w:rsid w:val="2BEFB6AE"/>
    <w:rsid w:val="2BFAC50E"/>
    <w:rsid w:val="2C1F3557"/>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D676E7"/>
    <w:rsid w:val="2DF61A6F"/>
    <w:rsid w:val="2DF950BB"/>
    <w:rsid w:val="2E22281F"/>
    <w:rsid w:val="2E4C168F"/>
    <w:rsid w:val="2E6BD85B"/>
    <w:rsid w:val="2E7A4053"/>
    <w:rsid w:val="2E86C62F"/>
    <w:rsid w:val="2EC13E2B"/>
    <w:rsid w:val="2EC92CDF"/>
    <w:rsid w:val="2F2148C9"/>
    <w:rsid w:val="2F651F62"/>
    <w:rsid w:val="2F7C65EB"/>
    <w:rsid w:val="2F8337D6"/>
    <w:rsid w:val="2F9A3FB4"/>
    <w:rsid w:val="2FBF0138"/>
    <w:rsid w:val="2FDD2F30"/>
    <w:rsid w:val="2FE53B49"/>
    <w:rsid w:val="2FF41FDE"/>
    <w:rsid w:val="301A4E70"/>
    <w:rsid w:val="306727B0"/>
    <w:rsid w:val="30E42053"/>
    <w:rsid w:val="30F73B34"/>
    <w:rsid w:val="30FA49AB"/>
    <w:rsid w:val="30FA7AC8"/>
    <w:rsid w:val="311C0F7E"/>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30B1B18"/>
    <w:rsid w:val="332B5D17"/>
    <w:rsid w:val="333A7D2B"/>
    <w:rsid w:val="33590AD6"/>
    <w:rsid w:val="336D4581"/>
    <w:rsid w:val="33784CD4"/>
    <w:rsid w:val="338A14B1"/>
    <w:rsid w:val="33C543BD"/>
    <w:rsid w:val="33FE255E"/>
    <w:rsid w:val="344A041F"/>
    <w:rsid w:val="34542791"/>
    <w:rsid w:val="347463DD"/>
    <w:rsid w:val="347B2CCE"/>
    <w:rsid w:val="348576A9"/>
    <w:rsid w:val="34D128EE"/>
    <w:rsid w:val="34D348B8"/>
    <w:rsid w:val="352B64A2"/>
    <w:rsid w:val="35374E47"/>
    <w:rsid w:val="355F0F7C"/>
    <w:rsid w:val="35690D78"/>
    <w:rsid w:val="357C6B52"/>
    <w:rsid w:val="357E1440"/>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6778"/>
    <w:rsid w:val="37D52CC2"/>
    <w:rsid w:val="37D90437"/>
    <w:rsid w:val="37EF1A09"/>
    <w:rsid w:val="37F4568F"/>
    <w:rsid w:val="380F3E59"/>
    <w:rsid w:val="384F4255"/>
    <w:rsid w:val="388B19BB"/>
    <w:rsid w:val="38A50319"/>
    <w:rsid w:val="38BB1451"/>
    <w:rsid w:val="38E928FC"/>
    <w:rsid w:val="38FA9E0C"/>
    <w:rsid w:val="390F328A"/>
    <w:rsid w:val="39510DF4"/>
    <w:rsid w:val="39643D30"/>
    <w:rsid w:val="39805EEA"/>
    <w:rsid w:val="39A9208B"/>
    <w:rsid w:val="39CE7FA5"/>
    <w:rsid w:val="3A10210A"/>
    <w:rsid w:val="3A1B6272"/>
    <w:rsid w:val="3A465B2C"/>
    <w:rsid w:val="3A52002D"/>
    <w:rsid w:val="3AA06FEA"/>
    <w:rsid w:val="3AAD36A6"/>
    <w:rsid w:val="3AD26D10"/>
    <w:rsid w:val="3ADB7F66"/>
    <w:rsid w:val="3AEF3ACE"/>
    <w:rsid w:val="3AFFF0B7"/>
    <w:rsid w:val="3B0532F1"/>
    <w:rsid w:val="3B0D21A6"/>
    <w:rsid w:val="3B3B68BF"/>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9C1A33"/>
    <w:rsid w:val="3CC656EB"/>
    <w:rsid w:val="3CCA21E8"/>
    <w:rsid w:val="3CEA09F1"/>
    <w:rsid w:val="3CED0588"/>
    <w:rsid w:val="3D040192"/>
    <w:rsid w:val="3D1F334F"/>
    <w:rsid w:val="3D2C2B7F"/>
    <w:rsid w:val="3D546277"/>
    <w:rsid w:val="3D65451B"/>
    <w:rsid w:val="3D672041"/>
    <w:rsid w:val="3D714C6E"/>
    <w:rsid w:val="3D7D2EC3"/>
    <w:rsid w:val="3D976D74"/>
    <w:rsid w:val="3DA07301"/>
    <w:rsid w:val="3E2057E8"/>
    <w:rsid w:val="3E287A22"/>
    <w:rsid w:val="3E3D429E"/>
    <w:rsid w:val="3E491747"/>
    <w:rsid w:val="3E530817"/>
    <w:rsid w:val="3ED57EC4"/>
    <w:rsid w:val="3F2E1A93"/>
    <w:rsid w:val="3F5B09CC"/>
    <w:rsid w:val="3F6251B6"/>
    <w:rsid w:val="3F663E5C"/>
    <w:rsid w:val="3F7B897E"/>
    <w:rsid w:val="3FBA5A5C"/>
    <w:rsid w:val="3FBB6674"/>
    <w:rsid w:val="3FBFEFAE"/>
    <w:rsid w:val="3FC159A6"/>
    <w:rsid w:val="3FC45529"/>
    <w:rsid w:val="3FCFB285"/>
    <w:rsid w:val="3FD6E448"/>
    <w:rsid w:val="3FFB5406"/>
    <w:rsid w:val="3FFFDDBB"/>
    <w:rsid w:val="3FFFECFE"/>
    <w:rsid w:val="40172D36"/>
    <w:rsid w:val="402C6CE6"/>
    <w:rsid w:val="40496BCB"/>
    <w:rsid w:val="404F6F10"/>
    <w:rsid w:val="40662A84"/>
    <w:rsid w:val="412A5860"/>
    <w:rsid w:val="4136516D"/>
    <w:rsid w:val="416A6C53"/>
    <w:rsid w:val="419B49AF"/>
    <w:rsid w:val="41CF4673"/>
    <w:rsid w:val="41FA7928"/>
    <w:rsid w:val="42096F4A"/>
    <w:rsid w:val="420C765B"/>
    <w:rsid w:val="42204EB5"/>
    <w:rsid w:val="42404D69"/>
    <w:rsid w:val="42426BD9"/>
    <w:rsid w:val="428A3BA8"/>
    <w:rsid w:val="429E60AC"/>
    <w:rsid w:val="42A74EAA"/>
    <w:rsid w:val="42AE24C0"/>
    <w:rsid w:val="42FE0D52"/>
    <w:rsid w:val="43062A32"/>
    <w:rsid w:val="43193DDE"/>
    <w:rsid w:val="431B5DA8"/>
    <w:rsid w:val="435314FB"/>
    <w:rsid w:val="43545656"/>
    <w:rsid w:val="437B23A2"/>
    <w:rsid w:val="439D67BD"/>
    <w:rsid w:val="43AA712C"/>
    <w:rsid w:val="43D67F21"/>
    <w:rsid w:val="43E1406E"/>
    <w:rsid w:val="43E450C9"/>
    <w:rsid w:val="43F31FE2"/>
    <w:rsid w:val="444C7E44"/>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CC523B"/>
    <w:rsid w:val="45D54045"/>
    <w:rsid w:val="45EC57D9"/>
    <w:rsid w:val="46244F73"/>
    <w:rsid w:val="464C44CA"/>
    <w:rsid w:val="46633A7A"/>
    <w:rsid w:val="46663A64"/>
    <w:rsid w:val="46C157C3"/>
    <w:rsid w:val="46C16C66"/>
    <w:rsid w:val="46F96400"/>
    <w:rsid w:val="470A2591"/>
    <w:rsid w:val="472471F5"/>
    <w:rsid w:val="475C4800"/>
    <w:rsid w:val="475F7720"/>
    <w:rsid w:val="476A2E5A"/>
    <w:rsid w:val="478618F4"/>
    <w:rsid w:val="47B14D93"/>
    <w:rsid w:val="47E04ECA"/>
    <w:rsid w:val="48455675"/>
    <w:rsid w:val="485D5370"/>
    <w:rsid w:val="4880045B"/>
    <w:rsid w:val="48944734"/>
    <w:rsid w:val="48A15F32"/>
    <w:rsid w:val="48A64365"/>
    <w:rsid w:val="48C9665E"/>
    <w:rsid w:val="48FA1FBB"/>
    <w:rsid w:val="491E4498"/>
    <w:rsid w:val="495D2FD2"/>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3E6EF"/>
    <w:rsid w:val="4AF6791F"/>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7A415D"/>
    <w:rsid w:val="4C8C3872"/>
    <w:rsid w:val="4CA010CC"/>
    <w:rsid w:val="4CA02E7A"/>
    <w:rsid w:val="4CA50490"/>
    <w:rsid w:val="4CAB0D7C"/>
    <w:rsid w:val="4D0038F1"/>
    <w:rsid w:val="4D151ABA"/>
    <w:rsid w:val="4D397974"/>
    <w:rsid w:val="4D3D27D6"/>
    <w:rsid w:val="4D445EFB"/>
    <w:rsid w:val="4DB124A4"/>
    <w:rsid w:val="4DC4528E"/>
    <w:rsid w:val="4DFF7706"/>
    <w:rsid w:val="4E3C4E24"/>
    <w:rsid w:val="4E4F6905"/>
    <w:rsid w:val="4E5C1022"/>
    <w:rsid w:val="4E764152"/>
    <w:rsid w:val="4EDB63EB"/>
    <w:rsid w:val="4F0C73B1"/>
    <w:rsid w:val="4F22226C"/>
    <w:rsid w:val="4F304B59"/>
    <w:rsid w:val="4F4F0B87"/>
    <w:rsid w:val="4F667E20"/>
    <w:rsid w:val="4F7A01A3"/>
    <w:rsid w:val="4F824AB9"/>
    <w:rsid w:val="4FA113E3"/>
    <w:rsid w:val="4FDC066D"/>
    <w:rsid w:val="4FF35FAD"/>
    <w:rsid w:val="50016325"/>
    <w:rsid w:val="500E27F0"/>
    <w:rsid w:val="501F49FD"/>
    <w:rsid w:val="502618E8"/>
    <w:rsid w:val="503C1161"/>
    <w:rsid w:val="509176A9"/>
    <w:rsid w:val="509800C2"/>
    <w:rsid w:val="50C555A5"/>
    <w:rsid w:val="50CE51D3"/>
    <w:rsid w:val="51281690"/>
    <w:rsid w:val="515A150F"/>
    <w:rsid w:val="51654692"/>
    <w:rsid w:val="517D496F"/>
    <w:rsid w:val="51E27A91"/>
    <w:rsid w:val="51FB1976"/>
    <w:rsid w:val="521A547C"/>
    <w:rsid w:val="52326C6A"/>
    <w:rsid w:val="523C1920"/>
    <w:rsid w:val="5245699D"/>
    <w:rsid w:val="52A336C4"/>
    <w:rsid w:val="52AB2578"/>
    <w:rsid w:val="52F757BE"/>
    <w:rsid w:val="52FE538A"/>
    <w:rsid w:val="532A7941"/>
    <w:rsid w:val="533C54BD"/>
    <w:rsid w:val="53536E98"/>
    <w:rsid w:val="535DA908"/>
    <w:rsid w:val="537806AC"/>
    <w:rsid w:val="53795D12"/>
    <w:rsid w:val="537B1F4B"/>
    <w:rsid w:val="539179C0"/>
    <w:rsid w:val="53A476F3"/>
    <w:rsid w:val="53AF7E46"/>
    <w:rsid w:val="53BF540F"/>
    <w:rsid w:val="53D770A4"/>
    <w:rsid w:val="53E43F94"/>
    <w:rsid w:val="53E61390"/>
    <w:rsid w:val="53EA2E82"/>
    <w:rsid w:val="53FC6338"/>
    <w:rsid w:val="540006A2"/>
    <w:rsid w:val="5426499F"/>
    <w:rsid w:val="543A3BB4"/>
    <w:rsid w:val="543D22A5"/>
    <w:rsid w:val="54464F27"/>
    <w:rsid w:val="54792C37"/>
    <w:rsid w:val="54EE2A41"/>
    <w:rsid w:val="54F40207"/>
    <w:rsid w:val="54FA3343"/>
    <w:rsid w:val="55142657"/>
    <w:rsid w:val="552F56E3"/>
    <w:rsid w:val="5539030F"/>
    <w:rsid w:val="555627E9"/>
    <w:rsid w:val="55670A25"/>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E90786"/>
    <w:rsid w:val="573F603A"/>
    <w:rsid w:val="57633422"/>
    <w:rsid w:val="57D8796C"/>
    <w:rsid w:val="583077A8"/>
    <w:rsid w:val="583354EA"/>
    <w:rsid w:val="5851771E"/>
    <w:rsid w:val="586438F5"/>
    <w:rsid w:val="5875165E"/>
    <w:rsid w:val="58A91308"/>
    <w:rsid w:val="58AA5D67"/>
    <w:rsid w:val="58D8399B"/>
    <w:rsid w:val="59097FF9"/>
    <w:rsid w:val="59232E69"/>
    <w:rsid w:val="593D42FC"/>
    <w:rsid w:val="59550094"/>
    <w:rsid w:val="597C07CB"/>
    <w:rsid w:val="59834466"/>
    <w:rsid w:val="59906AA6"/>
    <w:rsid w:val="59B241EC"/>
    <w:rsid w:val="59DB53C2"/>
    <w:rsid w:val="59E95FFF"/>
    <w:rsid w:val="5A2450EA"/>
    <w:rsid w:val="5A4412E8"/>
    <w:rsid w:val="5A5C70CB"/>
    <w:rsid w:val="5A76346C"/>
    <w:rsid w:val="5A790AC2"/>
    <w:rsid w:val="5AE05899"/>
    <w:rsid w:val="5AE14D89"/>
    <w:rsid w:val="5AF26CD7"/>
    <w:rsid w:val="5AFC7E15"/>
    <w:rsid w:val="5B141289"/>
    <w:rsid w:val="5B7867D7"/>
    <w:rsid w:val="5B857E0A"/>
    <w:rsid w:val="5BAD6AF9"/>
    <w:rsid w:val="5BB92529"/>
    <w:rsid w:val="5BBE59A3"/>
    <w:rsid w:val="5BCF024B"/>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CC1AAE"/>
    <w:rsid w:val="5DDB6408"/>
    <w:rsid w:val="5DDF620D"/>
    <w:rsid w:val="5DFC012C"/>
    <w:rsid w:val="5E5169FC"/>
    <w:rsid w:val="5E930336"/>
    <w:rsid w:val="5EA165BA"/>
    <w:rsid w:val="5EAC56AE"/>
    <w:rsid w:val="5F0279C4"/>
    <w:rsid w:val="5F1871E8"/>
    <w:rsid w:val="5F426012"/>
    <w:rsid w:val="5F473629"/>
    <w:rsid w:val="5F6661A5"/>
    <w:rsid w:val="5F75C48F"/>
    <w:rsid w:val="5F9DAA12"/>
    <w:rsid w:val="5F9DE068"/>
    <w:rsid w:val="5FA665A1"/>
    <w:rsid w:val="5FB7008B"/>
    <w:rsid w:val="5FBB45C5"/>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7FAC34"/>
    <w:rsid w:val="63D23E09"/>
    <w:rsid w:val="63D336DD"/>
    <w:rsid w:val="64235C8D"/>
    <w:rsid w:val="64267CB1"/>
    <w:rsid w:val="64422EE1"/>
    <w:rsid w:val="64440F4B"/>
    <w:rsid w:val="648D5F82"/>
    <w:rsid w:val="64970BAF"/>
    <w:rsid w:val="649966D5"/>
    <w:rsid w:val="64AF7CA6"/>
    <w:rsid w:val="64C179D9"/>
    <w:rsid w:val="64EA0F76"/>
    <w:rsid w:val="64EF2799"/>
    <w:rsid w:val="64FD58E3"/>
    <w:rsid w:val="65143FAD"/>
    <w:rsid w:val="65536F9A"/>
    <w:rsid w:val="65574DC9"/>
    <w:rsid w:val="655F78C5"/>
    <w:rsid w:val="65660CAD"/>
    <w:rsid w:val="65A770B1"/>
    <w:rsid w:val="65BA088F"/>
    <w:rsid w:val="65CB0B10"/>
    <w:rsid w:val="66394172"/>
    <w:rsid w:val="66AA6977"/>
    <w:rsid w:val="66AC7493"/>
    <w:rsid w:val="66C537B1"/>
    <w:rsid w:val="675D05DF"/>
    <w:rsid w:val="677BF6D7"/>
    <w:rsid w:val="67B37DFF"/>
    <w:rsid w:val="67B7C16A"/>
    <w:rsid w:val="67BF6452"/>
    <w:rsid w:val="683C7AA3"/>
    <w:rsid w:val="68684D3C"/>
    <w:rsid w:val="68742AFB"/>
    <w:rsid w:val="68A5389A"/>
    <w:rsid w:val="68B009A8"/>
    <w:rsid w:val="68B818CF"/>
    <w:rsid w:val="68DD63B6"/>
    <w:rsid w:val="69127D3A"/>
    <w:rsid w:val="69196036"/>
    <w:rsid w:val="69371E67"/>
    <w:rsid w:val="694B1853"/>
    <w:rsid w:val="695D0EAC"/>
    <w:rsid w:val="699456BD"/>
    <w:rsid w:val="69E403F2"/>
    <w:rsid w:val="69E77EE2"/>
    <w:rsid w:val="69F968D1"/>
    <w:rsid w:val="6A49294B"/>
    <w:rsid w:val="6A93762C"/>
    <w:rsid w:val="6A996F13"/>
    <w:rsid w:val="6A9B2760"/>
    <w:rsid w:val="6AA869F9"/>
    <w:rsid w:val="6AC32999"/>
    <w:rsid w:val="6ACD402F"/>
    <w:rsid w:val="6AD06BC8"/>
    <w:rsid w:val="6B061897"/>
    <w:rsid w:val="6B0845B4"/>
    <w:rsid w:val="6B340F05"/>
    <w:rsid w:val="6B5370A8"/>
    <w:rsid w:val="6B741C4A"/>
    <w:rsid w:val="6BF56334"/>
    <w:rsid w:val="6BF93DBB"/>
    <w:rsid w:val="6C011206"/>
    <w:rsid w:val="6C2B6B55"/>
    <w:rsid w:val="6C4130E2"/>
    <w:rsid w:val="6C580C23"/>
    <w:rsid w:val="6C5E0930"/>
    <w:rsid w:val="6C6024F6"/>
    <w:rsid w:val="6C6C4759"/>
    <w:rsid w:val="6C86EEE1"/>
    <w:rsid w:val="6C910893"/>
    <w:rsid w:val="6C926199"/>
    <w:rsid w:val="6CA16A6E"/>
    <w:rsid w:val="6CCF49CF"/>
    <w:rsid w:val="6CD3474E"/>
    <w:rsid w:val="6CE71883"/>
    <w:rsid w:val="6D033285"/>
    <w:rsid w:val="6D0B038C"/>
    <w:rsid w:val="6D6313BE"/>
    <w:rsid w:val="6D934609"/>
    <w:rsid w:val="6D994549"/>
    <w:rsid w:val="6DA647CD"/>
    <w:rsid w:val="6DA71E62"/>
    <w:rsid w:val="6DBD3434"/>
    <w:rsid w:val="6DD644F6"/>
    <w:rsid w:val="6DE309C1"/>
    <w:rsid w:val="6DFE864A"/>
    <w:rsid w:val="6E011D6E"/>
    <w:rsid w:val="6E0252EB"/>
    <w:rsid w:val="6E250FD9"/>
    <w:rsid w:val="6E274D51"/>
    <w:rsid w:val="6E2C680B"/>
    <w:rsid w:val="6E421B8B"/>
    <w:rsid w:val="6E65E1FF"/>
    <w:rsid w:val="6E750AE1"/>
    <w:rsid w:val="6E8201DA"/>
    <w:rsid w:val="6E970129"/>
    <w:rsid w:val="6E9B4D97"/>
    <w:rsid w:val="6EB739C5"/>
    <w:rsid w:val="6EC5514E"/>
    <w:rsid w:val="6ECC499B"/>
    <w:rsid w:val="6ECE1671"/>
    <w:rsid w:val="6EF4CC5C"/>
    <w:rsid w:val="6EFB40C1"/>
    <w:rsid w:val="6F0B26FF"/>
    <w:rsid w:val="6F2B0871"/>
    <w:rsid w:val="6F541B76"/>
    <w:rsid w:val="6F5C6C7D"/>
    <w:rsid w:val="6F743FC6"/>
    <w:rsid w:val="6F926B42"/>
    <w:rsid w:val="6FBB7E47"/>
    <w:rsid w:val="6FBD7AA0"/>
    <w:rsid w:val="6FC54822"/>
    <w:rsid w:val="6FEE0822"/>
    <w:rsid w:val="6FFFDA32"/>
    <w:rsid w:val="70096E04"/>
    <w:rsid w:val="70235E37"/>
    <w:rsid w:val="702966B0"/>
    <w:rsid w:val="706F478E"/>
    <w:rsid w:val="70763D6E"/>
    <w:rsid w:val="708939C4"/>
    <w:rsid w:val="70967F6C"/>
    <w:rsid w:val="709C1A26"/>
    <w:rsid w:val="70AE175A"/>
    <w:rsid w:val="70FE2135"/>
    <w:rsid w:val="70FF71F1"/>
    <w:rsid w:val="710E21F8"/>
    <w:rsid w:val="712437CA"/>
    <w:rsid w:val="713F57D9"/>
    <w:rsid w:val="71724535"/>
    <w:rsid w:val="717C48A6"/>
    <w:rsid w:val="71BF43A2"/>
    <w:rsid w:val="71F65166"/>
    <w:rsid w:val="7220361D"/>
    <w:rsid w:val="7255060F"/>
    <w:rsid w:val="72734A0C"/>
    <w:rsid w:val="729F162E"/>
    <w:rsid w:val="72AF5315"/>
    <w:rsid w:val="72CC4119"/>
    <w:rsid w:val="72EC24FE"/>
    <w:rsid w:val="72EC5D52"/>
    <w:rsid w:val="7306587D"/>
    <w:rsid w:val="732F29F0"/>
    <w:rsid w:val="7333D1F5"/>
    <w:rsid w:val="735BAA51"/>
    <w:rsid w:val="73CD639B"/>
    <w:rsid w:val="73DF48D7"/>
    <w:rsid w:val="73E536E4"/>
    <w:rsid w:val="73ED4347"/>
    <w:rsid w:val="73FE6554"/>
    <w:rsid w:val="740F3D36"/>
    <w:rsid w:val="74AF28F2"/>
    <w:rsid w:val="74C07CAE"/>
    <w:rsid w:val="753A7A60"/>
    <w:rsid w:val="7549288D"/>
    <w:rsid w:val="75B40D64"/>
    <w:rsid w:val="75B570E6"/>
    <w:rsid w:val="75BA294F"/>
    <w:rsid w:val="75C64E50"/>
    <w:rsid w:val="75EB48B6"/>
    <w:rsid w:val="760360A4"/>
    <w:rsid w:val="7614205F"/>
    <w:rsid w:val="761E04A5"/>
    <w:rsid w:val="76442A85"/>
    <w:rsid w:val="7682521B"/>
    <w:rsid w:val="76852F5D"/>
    <w:rsid w:val="768C42EB"/>
    <w:rsid w:val="76DA2695"/>
    <w:rsid w:val="76F7A85A"/>
    <w:rsid w:val="76FF77BB"/>
    <w:rsid w:val="773A3D47"/>
    <w:rsid w:val="773C7ABF"/>
    <w:rsid w:val="77460B34"/>
    <w:rsid w:val="7762504C"/>
    <w:rsid w:val="776C318C"/>
    <w:rsid w:val="777423E0"/>
    <w:rsid w:val="77B07B65"/>
    <w:rsid w:val="77B4EAC3"/>
    <w:rsid w:val="77C433AF"/>
    <w:rsid w:val="77EBFE49"/>
    <w:rsid w:val="77FB8AD4"/>
    <w:rsid w:val="77FBD979"/>
    <w:rsid w:val="77FD434A"/>
    <w:rsid w:val="77FF3110"/>
    <w:rsid w:val="77FFD86E"/>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AF71A10"/>
    <w:rsid w:val="7B2965AD"/>
    <w:rsid w:val="7B302ED7"/>
    <w:rsid w:val="7B3DA034"/>
    <w:rsid w:val="7B3F8470"/>
    <w:rsid w:val="7B5D0004"/>
    <w:rsid w:val="7BBC62D2"/>
    <w:rsid w:val="7BBFEC7A"/>
    <w:rsid w:val="7BC736D0"/>
    <w:rsid w:val="7BCFBAB1"/>
    <w:rsid w:val="7BF94230"/>
    <w:rsid w:val="7C06069C"/>
    <w:rsid w:val="7C0641F8"/>
    <w:rsid w:val="7C0A7761"/>
    <w:rsid w:val="7C0E7550"/>
    <w:rsid w:val="7C5D4075"/>
    <w:rsid w:val="7C5E6C1B"/>
    <w:rsid w:val="7C7D60D9"/>
    <w:rsid w:val="7C921F30"/>
    <w:rsid w:val="7C9E6B26"/>
    <w:rsid w:val="7CBE4AD3"/>
    <w:rsid w:val="7CD51E1C"/>
    <w:rsid w:val="7CF53F94"/>
    <w:rsid w:val="7D034BDB"/>
    <w:rsid w:val="7D0821F2"/>
    <w:rsid w:val="7D197F5B"/>
    <w:rsid w:val="7D3303EC"/>
    <w:rsid w:val="7D5B1D38"/>
    <w:rsid w:val="7D605B8A"/>
    <w:rsid w:val="7D6FE28F"/>
    <w:rsid w:val="7D885FD9"/>
    <w:rsid w:val="7D951CD7"/>
    <w:rsid w:val="7DCBAAE8"/>
    <w:rsid w:val="7DDA5380"/>
    <w:rsid w:val="7DE50DBA"/>
    <w:rsid w:val="7DEA63DD"/>
    <w:rsid w:val="7DF74C88"/>
    <w:rsid w:val="7DF80940"/>
    <w:rsid w:val="7DFB00AA"/>
    <w:rsid w:val="7DFD6648"/>
    <w:rsid w:val="7DFF1824"/>
    <w:rsid w:val="7DFF642E"/>
    <w:rsid w:val="7E3F5A40"/>
    <w:rsid w:val="7E4FBD0C"/>
    <w:rsid w:val="7E5C0A47"/>
    <w:rsid w:val="7E6E2528"/>
    <w:rsid w:val="7E7F5059"/>
    <w:rsid w:val="7E8F4979"/>
    <w:rsid w:val="7E9B4D88"/>
    <w:rsid w:val="7EB268B9"/>
    <w:rsid w:val="7EB45046"/>
    <w:rsid w:val="7EB77A2B"/>
    <w:rsid w:val="7EBC6552"/>
    <w:rsid w:val="7EBC7738"/>
    <w:rsid w:val="7ECD3BC6"/>
    <w:rsid w:val="7EF23477"/>
    <w:rsid w:val="7EF50554"/>
    <w:rsid w:val="7EFFAE23"/>
    <w:rsid w:val="7F0798A1"/>
    <w:rsid w:val="7F2C666B"/>
    <w:rsid w:val="7F2F30B3"/>
    <w:rsid w:val="7F6B3AB5"/>
    <w:rsid w:val="7F6F8443"/>
    <w:rsid w:val="7F79683B"/>
    <w:rsid w:val="7F798D64"/>
    <w:rsid w:val="7F7BC727"/>
    <w:rsid w:val="7F7D0C1F"/>
    <w:rsid w:val="7F7FEEDB"/>
    <w:rsid w:val="7F9B734D"/>
    <w:rsid w:val="7FAA5A74"/>
    <w:rsid w:val="7FAF4BA7"/>
    <w:rsid w:val="7FEA85AD"/>
    <w:rsid w:val="7FEE082C"/>
    <w:rsid w:val="7FEF822E"/>
    <w:rsid w:val="7FF7F210"/>
    <w:rsid w:val="7FF8799B"/>
    <w:rsid w:val="7FFA0518"/>
    <w:rsid w:val="7FFC30B1"/>
    <w:rsid w:val="7FFE3630"/>
    <w:rsid w:val="87FF074F"/>
    <w:rsid w:val="8CF78F0C"/>
    <w:rsid w:val="92DD5907"/>
    <w:rsid w:val="92FF14C5"/>
    <w:rsid w:val="9573918A"/>
    <w:rsid w:val="9B577053"/>
    <w:rsid w:val="9FDBB7BD"/>
    <w:rsid w:val="9FDFAC54"/>
    <w:rsid w:val="9FFB04D8"/>
    <w:rsid w:val="A7FF20BD"/>
    <w:rsid w:val="AB7F66B1"/>
    <w:rsid w:val="ABFBB381"/>
    <w:rsid w:val="ADFFD0FA"/>
    <w:rsid w:val="AE9E953D"/>
    <w:rsid w:val="AF775B15"/>
    <w:rsid w:val="B17FFFE0"/>
    <w:rsid w:val="B2BE5626"/>
    <w:rsid w:val="B71F76D1"/>
    <w:rsid w:val="B81F382F"/>
    <w:rsid w:val="BAFFC9F1"/>
    <w:rsid w:val="BB3796AA"/>
    <w:rsid w:val="BBFBD634"/>
    <w:rsid w:val="BEF723C9"/>
    <w:rsid w:val="BF537F54"/>
    <w:rsid w:val="BF7FE34B"/>
    <w:rsid w:val="BFD14C48"/>
    <w:rsid w:val="BFDFF614"/>
    <w:rsid w:val="BFEFEE61"/>
    <w:rsid w:val="CED6C773"/>
    <w:rsid w:val="CF3D52FC"/>
    <w:rsid w:val="D2ED7BD0"/>
    <w:rsid w:val="D397DF34"/>
    <w:rsid w:val="D5FF4E83"/>
    <w:rsid w:val="D6FFC892"/>
    <w:rsid w:val="D778EAAB"/>
    <w:rsid w:val="D7DEE0BC"/>
    <w:rsid w:val="D7FDA684"/>
    <w:rsid w:val="D97E9F69"/>
    <w:rsid w:val="DADEBB3A"/>
    <w:rsid w:val="DB7F901E"/>
    <w:rsid w:val="DBFC0C8D"/>
    <w:rsid w:val="DC1FA04B"/>
    <w:rsid w:val="DC8D96D8"/>
    <w:rsid w:val="DCDF1299"/>
    <w:rsid w:val="DCF9643D"/>
    <w:rsid w:val="DDAB17BC"/>
    <w:rsid w:val="DDE55C7F"/>
    <w:rsid w:val="DDFBFA39"/>
    <w:rsid w:val="DDFF6DB6"/>
    <w:rsid w:val="DE9F71C0"/>
    <w:rsid w:val="DF676CEE"/>
    <w:rsid w:val="DFD7E1BE"/>
    <w:rsid w:val="DFFFF745"/>
    <w:rsid w:val="E0DFA613"/>
    <w:rsid w:val="E5E7393B"/>
    <w:rsid w:val="E6EFA02F"/>
    <w:rsid w:val="E77F46A2"/>
    <w:rsid w:val="E9E3F4EF"/>
    <w:rsid w:val="EAFDE4C1"/>
    <w:rsid w:val="EBFA5910"/>
    <w:rsid w:val="ED7DEF02"/>
    <w:rsid w:val="EE7EEBB7"/>
    <w:rsid w:val="EEBFD03B"/>
    <w:rsid w:val="EF8F4100"/>
    <w:rsid w:val="EFC7CDED"/>
    <w:rsid w:val="EFFBF418"/>
    <w:rsid w:val="EFFF55C4"/>
    <w:rsid w:val="EFFFA8E3"/>
    <w:rsid w:val="F3DF1A03"/>
    <w:rsid w:val="F3DFDE0A"/>
    <w:rsid w:val="F3FDD14F"/>
    <w:rsid w:val="F3FF1BDD"/>
    <w:rsid w:val="F6BF5998"/>
    <w:rsid w:val="F6EC6104"/>
    <w:rsid w:val="F75F8146"/>
    <w:rsid w:val="F763A6CE"/>
    <w:rsid w:val="F7D3E203"/>
    <w:rsid w:val="F7EEFCA3"/>
    <w:rsid w:val="F7F73D0E"/>
    <w:rsid w:val="F8E709B6"/>
    <w:rsid w:val="F9FB7305"/>
    <w:rsid w:val="FAFE45FB"/>
    <w:rsid w:val="FB7FB578"/>
    <w:rsid w:val="FBCFBF15"/>
    <w:rsid w:val="FBF4F613"/>
    <w:rsid w:val="FBFF656F"/>
    <w:rsid w:val="FC7BBB80"/>
    <w:rsid w:val="FD6FB1DE"/>
    <w:rsid w:val="FD8EC036"/>
    <w:rsid w:val="FD97B8E6"/>
    <w:rsid w:val="FDFBB8D9"/>
    <w:rsid w:val="FE5E6466"/>
    <w:rsid w:val="FEB712DE"/>
    <w:rsid w:val="FEB7347E"/>
    <w:rsid w:val="FEFB096C"/>
    <w:rsid w:val="FEFEE028"/>
    <w:rsid w:val="FF37301D"/>
    <w:rsid w:val="FF5F6B7A"/>
    <w:rsid w:val="FF673D33"/>
    <w:rsid w:val="FF76944A"/>
    <w:rsid w:val="FF7EC3AE"/>
    <w:rsid w:val="FF8D19C0"/>
    <w:rsid w:val="FFAF5B8A"/>
    <w:rsid w:val="FFB5F479"/>
    <w:rsid w:val="FFBDC651"/>
    <w:rsid w:val="FFCDEFE4"/>
    <w:rsid w:val="FFD3627C"/>
    <w:rsid w:val="FFDB1104"/>
    <w:rsid w:val="FFDEA985"/>
    <w:rsid w:val="FFECCA10"/>
    <w:rsid w:val="FFF4C862"/>
    <w:rsid w:val="FFF62506"/>
    <w:rsid w:val="FFFBBC22"/>
    <w:rsid w:val="FFFE282C"/>
    <w:rsid w:val="FFFF47D3"/>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2"/>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69"/>
    <w:qFormat/>
    <w:uiPriority w:val="0"/>
    <w:rPr>
      <w:rFonts w:ascii="仿宋_GB2312" w:eastAsia="仿宋_GB2312"/>
      <w:sz w:val="32"/>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2"/>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2"/>
    <w:qFormat/>
    <w:uiPriority w:val="0"/>
    <w:rPr>
      <w:kern w:val="2"/>
      <w:sz w:val="24"/>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2"/>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7"/>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6"/>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7"/>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修订6"/>
    <w:hidden/>
    <w:semiHidden/>
    <w:qFormat/>
    <w:uiPriority w:val="99"/>
    <w:rPr>
      <w:rFonts w:ascii="Calibri" w:hAnsi="Calibri" w:eastAsia="宋体" w:cs="Times New Roman"/>
      <w:kern w:val="2"/>
      <w:sz w:val="28"/>
      <w:lang w:val="en-US" w:eastAsia="zh-CN" w:bidi="ar-SA"/>
    </w:rPr>
  </w:style>
  <w:style w:type="paragraph" w:customStyle="1" w:styleId="273">
    <w:name w:val="修订7"/>
    <w:hidden/>
    <w:semiHidden/>
    <w:qFormat/>
    <w:uiPriority w:val="99"/>
    <w:rPr>
      <w:rFonts w:ascii="Calibri" w:hAnsi="Calibri" w:eastAsia="宋体" w:cs="Times New Roman"/>
      <w:kern w:val="2"/>
      <w:sz w:val="28"/>
      <w:lang w:val="en-US" w:eastAsia="zh-CN" w:bidi="ar-SA"/>
    </w:rPr>
  </w:style>
  <w:style w:type="paragraph" w:customStyle="1" w:styleId="274">
    <w:name w:val="修订8"/>
    <w:hidden/>
    <w:semiHidden/>
    <w:qFormat/>
    <w:uiPriority w:val="99"/>
    <w:rPr>
      <w:rFonts w:ascii="Calibri" w:hAnsi="Calibri" w:eastAsia="宋体" w:cs="Times New Roman"/>
      <w:kern w:val="2"/>
      <w:sz w:val="28"/>
      <w:lang w:val="en-US" w:eastAsia="zh-CN" w:bidi="ar-SA"/>
    </w:rPr>
  </w:style>
  <w:style w:type="paragraph" w:customStyle="1" w:styleId="275">
    <w:name w:val="修订9"/>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18592</Words>
  <Characters>19594</Characters>
  <Lines>178</Lines>
  <Paragraphs>50</Paragraphs>
  <TotalTime>8</TotalTime>
  <ScaleCrop>false</ScaleCrop>
  <LinksUpToDate>false</LinksUpToDate>
  <CharactersWithSpaces>21076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2022-11-30T00:54:00Z</dcterms:created>
  <dc:creator>罗成</dc:creator>
  <cp:lastModifiedBy>caixiaoqin</cp:lastModifiedBy>
  <cp:lastPrinted>2024-11-22T20:46:00Z</cp:lastPrinted>
  <dcterms:modified xsi:type="dcterms:W3CDTF">2024-11-22T17:12:55Z</dcterms:modified>
  <dc:title>竞争性谈判文件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B1945717EDCD47B6A3F942A1C30A5D2C</vt:lpwstr>
  </property>
</Properties>
</file>