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小标宋_GBK"/>
          <w:b w:val="0"/>
          <w:bCs/>
          <w:color w:val="191919"/>
          <w:sz w:val="44"/>
          <w:szCs w:val="44"/>
          <w:shd w:val="clear" w:color="auto" w:fill="FFFFFF"/>
        </w:rPr>
      </w:pPr>
      <w:bookmarkStart w:id="206" w:name="_GoBack"/>
      <w:bookmarkEnd w:id="206"/>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小标宋_GBK"/>
          <w:b w:val="0"/>
          <w:bCs/>
          <w:color w:val="191919"/>
          <w:sz w:val="44"/>
          <w:szCs w:val="44"/>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小标宋_GBK"/>
          <w:b w:val="0"/>
          <w:bCs/>
          <w:color w:val="191919"/>
          <w:sz w:val="44"/>
          <w:szCs w:val="44"/>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hint="eastAsia" w:ascii="Times New Roman" w:hAnsi="Times New Roman" w:eastAsia="方正小标宋_GBK" w:cs="Times New Roman"/>
          <w:b w:val="0"/>
          <w:bCs w:val="0"/>
          <w:color w:val="191919"/>
          <w:sz w:val="48"/>
          <w:szCs w:val="48"/>
          <w:shd w:val="clear" w:color="auto" w:fill="FFFFFF"/>
        </w:rPr>
      </w:pPr>
      <w:r>
        <w:rPr>
          <w:rStyle w:val="17"/>
          <w:rFonts w:hint="eastAsia" w:ascii="Times New Roman" w:hAnsi="Times New Roman" w:eastAsia="方正小标宋_GBK" w:cs="Times New Roman"/>
          <w:b w:val="0"/>
          <w:bCs w:val="0"/>
          <w:color w:val="191919"/>
          <w:sz w:val="48"/>
          <w:szCs w:val="48"/>
          <w:shd w:val="clear" w:color="auto" w:fill="FFFFFF"/>
        </w:rPr>
        <w:t>重庆市冷链物流</w:t>
      </w:r>
      <w:r>
        <w:rPr>
          <w:rStyle w:val="17"/>
          <w:rFonts w:hint="eastAsia" w:ascii="Times New Roman" w:hAnsi="Times New Roman" w:eastAsia="方正小标宋_GBK" w:cs="Times New Roman"/>
          <w:b w:val="0"/>
          <w:bCs w:val="0"/>
          <w:color w:val="191919"/>
          <w:sz w:val="48"/>
          <w:szCs w:val="48"/>
          <w:shd w:val="clear" w:color="auto" w:fill="FFFFFF"/>
          <w:lang w:val="en-US" w:eastAsia="zh-CN"/>
        </w:rPr>
        <w:t>高质量</w:t>
      </w:r>
      <w:r>
        <w:rPr>
          <w:rStyle w:val="17"/>
          <w:rFonts w:hint="eastAsia" w:ascii="Times New Roman" w:hAnsi="Times New Roman" w:eastAsia="方正小标宋_GBK" w:cs="Times New Roman"/>
          <w:b w:val="0"/>
          <w:bCs w:val="0"/>
          <w:color w:val="191919"/>
          <w:sz w:val="48"/>
          <w:szCs w:val="48"/>
          <w:shd w:val="clear" w:color="auto" w:fill="FFFFFF"/>
        </w:rPr>
        <w:t>发展</w:t>
      </w:r>
    </w:p>
    <w:p>
      <w:pPr>
        <w:pStyle w:val="13"/>
        <w:shd w:val="clear" w:color="auto" w:fill="FFFFFF"/>
        <w:adjustRightInd w:val="0"/>
        <w:snapToGrid w:val="0"/>
        <w:spacing w:before="0" w:beforeAutospacing="0" w:after="0" w:afterAutospacing="0" w:line="580" w:lineRule="exact"/>
        <w:jc w:val="center"/>
        <w:rPr>
          <w:rStyle w:val="17"/>
          <w:rFonts w:hint="eastAsia" w:ascii="Times New Roman" w:hAnsi="Times New Roman" w:eastAsia="方正小标宋_GBK" w:cs="Times New Roman"/>
          <w:b w:val="0"/>
          <w:bCs w:val="0"/>
          <w:color w:val="191919"/>
          <w:sz w:val="48"/>
          <w:szCs w:val="48"/>
          <w:shd w:val="clear" w:color="auto" w:fill="FFFFFF"/>
        </w:rPr>
      </w:pPr>
      <w:r>
        <w:rPr>
          <w:rStyle w:val="17"/>
          <w:rFonts w:hint="eastAsia" w:ascii="Times New Roman" w:hAnsi="Times New Roman" w:eastAsia="方正小标宋_GBK" w:cs="Times New Roman"/>
          <w:b w:val="0"/>
          <w:bCs w:val="0"/>
          <w:color w:val="191919"/>
          <w:sz w:val="48"/>
          <w:szCs w:val="48"/>
          <w:shd w:val="clear" w:color="auto" w:fill="FFFFFF"/>
        </w:rPr>
        <w:t>“十四五”规划</w:t>
      </w:r>
    </w:p>
    <w:p>
      <w:pPr>
        <w:pStyle w:val="13"/>
        <w:shd w:val="clear" w:color="auto" w:fill="FFFFFF"/>
        <w:adjustRightInd w:val="0"/>
        <w:snapToGrid w:val="0"/>
        <w:spacing w:before="0" w:beforeAutospacing="0" w:after="0" w:afterAutospacing="0" w:line="580" w:lineRule="exact"/>
        <w:jc w:val="center"/>
        <w:rPr>
          <w:rStyle w:val="17"/>
          <w:rFonts w:hint="eastAsia" w:ascii="方正黑体_GBK" w:hAnsi="方正黑体_GBK" w:eastAsia="方正黑体_GBK" w:cs="方正黑体_GBK"/>
          <w:b w:val="0"/>
          <w:bCs/>
          <w:color w:val="191919"/>
          <w:sz w:val="36"/>
          <w:szCs w:val="36"/>
          <w:shd w:val="clear" w:color="auto" w:fill="FFFFFF"/>
        </w:rPr>
      </w:pPr>
      <w:r>
        <w:rPr>
          <w:rStyle w:val="17"/>
          <w:rFonts w:hint="eastAsia" w:ascii="方正黑体_GBK" w:hAnsi="方正黑体_GBK" w:eastAsia="方正黑体_GBK" w:cs="方正黑体_GBK"/>
          <w:b w:val="0"/>
          <w:bCs/>
          <w:color w:val="191919"/>
          <w:sz w:val="36"/>
          <w:szCs w:val="36"/>
          <w:shd w:val="clear" w:color="auto" w:fill="FFFFFF"/>
        </w:rPr>
        <w:t>（征求意见稿）</w:t>
      </w: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ascii="Times New Roman" w:hAnsi="Times New Roman" w:eastAsia="方正仿宋_GBK"/>
          <w:b w:val="0"/>
          <w:bCs/>
          <w:color w:val="191919"/>
          <w:sz w:val="32"/>
          <w:szCs w:val="32"/>
          <w:shd w:val="clear" w:color="auto" w:fill="FFFFFF"/>
        </w:rPr>
      </w:pPr>
    </w:p>
    <w:p>
      <w:pPr>
        <w:pStyle w:val="13"/>
        <w:shd w:val="clear" w:color="auto" w:fill="FFFFFF"/>
        <w:adjustRightInd w:val="0"/>
        <w:snapToGrid w:val="0"/>
        <w:spacing w:before="0" w:beforeAutospacing="0" w:after="0" w:afterAutospacing="0" w:line="580" w:lineRule="exact"/>
        <w:jc w:val="center"/>
        <w:rPr>
          <w:rStyle w:val="17"/>
          <w:rFonts w:hint="eastAsia" w:ascii="Times New Roman" w:hAnsi="Times New Roman" w:eastAsia="方正小标宋_GBK" w:cs="方正小标宋_GBK"/>
          <w:b w:val="0"/>
          <w:bCs/>
          <w:color w:val="191919"/>
          <w:sz w:val="32"/>
          <w:szCs w:val="32"/>
          <w:shd w:val="clear" w:color="auto" w:fill="FFFFFF"/>
          <w:lang w:val="en-US" w:eastAsia="zh-CN"/>
        </w:rPr>
      </w:pPr>
      <w:r>
        <w:rPr>
          <w:rStyle w:val="17"/>
          <w:rFonts w:hint="eastAsia" w:ascii="Times New Roman" w:hAnsi="Times New Roman" w:eastAsia="方正小标宋_GBK" w:cs="方正小标宋_GBK"/>
          <w:b w:val="0"/>
          <w:bCs/>
          <w:color w:val="191919"/>
          <w:sz w:val="32"/>
          <w:szCs w:val="32"/>
          <w:shd w:val="clear" w:color="auto" w:fill="FFFFFF"/>
          <w:lang w:val="en-US" w:eastAsia="zh-CN"/>
        </w:rPr>
        <w:t>重庆市人民政府口岸和物流办公室</w:t>
      </w:r>
    </w:p>
    <w:p>
      <w:pPr>
        <w:pStyle w:val="13"/>
        <w:shd w:val="clear" w:color="auto" w:fill="FFFFFF"/>
        <w:adjustRightInd w:val="0"/>
        <w:snapToGrid w:val="0"/>
        <w:spacing w:before="0" w:beforeAutospacing="0" w:after="0" w:afterAutospacing="0" w:line="580" w:lineRule="exact"/>
        <w:jc w:val="center"/>
        <w:rPr>
          <w:rStyle w:val="17"/>
          <w:rFonts w:hint="eastAsia" w:ascii="Times New Roman" w:hAnsi="Times New Roman" w:eastAsia="方正小标宋_GBK" w:cs="方正小标宋_GBK"/>
          <w:b w:val="0"/>
          <w:bCs/>
          <w:color w:val="191919"/>
          <w:sz w:val="32"/>
          <w:szCs w:val="32"/>
          <w:shd w:val="clear" w:color="auto" w:fill="FFFFFF"/>
          <w:lang w:val="en-US" w:eastAsia="zh-CN"/>
        </w:rPr>
      </w:pPr>
      <w:r>
        <w:rPr>
          <w:rFonts w:hint="eastAsia" w:ascii="Times New Roman" w:hAnsi="Times New Roman" w:eastAsia="方正小标宋_GBK" w:cs="方正小标宋_GBK"/>
          <w:b w:val="0"/>
          <w:bCs/>
          <w:color w:val="191919"/>
          <w:sz w:val="32"/>
          <w:szCs w:val="32"/>
          <w:shd w:val="clear" w:color="auto" w:fill="FFFFFF"/>
          <w:lang w:val="en-US" w:eastAsia="zh-CN"/>
        </w:rPr>
        <w:t>二〇二二年一月</w:t>
      </w: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outlineLvl w:val="9"/>
        <w:rPr>
          <w:rFonts w:hint="eastAsia" w:ascii="Times New Roman" w:hAnsi="Times New Roman" w:eastAsia="方正黑体_GBK"/>
          <w:color w:val="000000"/>
          <w:sz w:val="32"/>
          <w:szCs w:val="32"/>
          <w:lang w:val="en-US" w:eastAsia="zh-CN"/>
        </w:rPr>
        <w:sectPr>
          <w:footerReference r:id="rId4" w:type="default"/>
          <w:pgSz w:w="11906" w:h="16838"/>
          <w:pgMar w:top="2098" w:right="1474" w:bottom="1984" w:left="1587" w:header="851" w:footer="992" w:gutter="0"/>
          <w:pgNumType w:fmt="upperRoman" w:start="1"/>
          <w:cols w:space="720" w:num="1"/>
          <w:docGrid w:type="lines" w:linePitch="312" w:charSpace="0"/>
        </w:sectPr>
      </w:pPr>
      <w:bookmarkStart w:id="0" w:name="_Toc7421"/>
      <w:bookmarkStart w:id="1" w:name="_Toc66101414"/>
      <w:bookmarkStart w:id="2" w:name="_Toc1476"/>
      <w:bookmarkStart w:id="3" w:name="_Toc28752"/>
      <w:bookmarkStart w:id="4" w:name="_Toc66101603"/>
      <w:bookmarkStart w:id="5" w:name="_Toc23358"/>
      <w:bookmarkStart w:id="6" w:name="_Toc13854"/>
      <w:bookmarkStart w:id="7" w:name="_Toc28571"/>
      <w:bookmarkStart w:id="8" w:name="_Toc66100771"/>
    </w:p>
    <w:p>
      <w:pPr>
        <w:spacing w:before="0" w:beforeLines="0" w:after="0" w:afterLines="0" w:line="240" w:lineRule="auto"/>
        <w:ind w:left="0" w:leftChars="0" w:right="0" w:rightChars="0" w:firstLine="0" w:firstLineChars="0"/>
        <w:jc w:val="center"/>
        <w:rPr>
          <w:rFonts w:hint="eastAsia" w:ascii="Times New Roman" w:hAnsi="Times New Roman" w:eastAsia="方正黑体_GBK" w:cs="方正黑体_GBK"/>
          <w:sz w:val="36"/>
          <w:szCs w:val="36"/>
        </w:rPr>
      </w:pPr>
      <w:r>
        <w:rPr>
          <w:rFonts w:hint="eastAsia" w:ascii="Times New Roman" w:hAnsi="Times New Roman" w:eastAsia="方正黑体_GBK" w:cs="方正黑体_GBK"/>
          <w:sz w:val="36"/>
          <w:szCs w:val="36"/>
        </w:rPr>
        <w:t>目</w:t>
      </w:r>
      <w:r>
        <w:rPr>
          <w:rFonts w:hint="eastAsia" w:ascii="Times New Roman" w:hAnsi="Times New Roman" w:eastAsia="方正黑体_GBK" w:cs="方正黑体_GBK"/>
          <w:sz w:val="36"/>
          <w:szCs w:val="36"/>
          <w:lang w:val="en-US" w:eastAsia="zh-CN"/>
        </w:rPr>
        <w:t xml:space="preserve">  </w:t>
      </w:r>
      <w:r>
        <w:rPr>
          <w:rFonts w:hint="eastAsia" w:ascii="Times New Roman" w:hAnsi="Times New Roman" w:eastAsia="方正黑体_GBK" w:cs="方正黑体_GBK"/>
          <w:sz w:val="36"/>
          <w:szCs w:val="36"/>
        </w:rPr>
        <w:t>录</w:t>
      </w:r>
    </w:p>
    <w:p>
      <w:pPr>
        <w:pStyle w:val="10"/>
        <w:tabs>
          <w:tab w:val="right" w:leader="dot" w:pos="8845"/>
        </w:tabs>
      </w:pPr>
      <w:r>
        <w:rPr>
          <w:rFonts w:hint="eastAsia" w:ascii="Times New Roman" w:hAnsi="Times New Roman" w:eastAsia="方正仿宋_GBK" w:cs="方正仿宋_GBK"/>
          <w:color w:val="191919"/>
          <w:sz w:val="32"/>
          <w:szCs w:val="32"/>
          <w:shd w:val="clear" w:color="auto" w:fill="FFFFFF"/>
          <w:lang w:val="en-US" w:eastAsia="zh-CN"/>
        </w:rPr>
        <w:fldChar w:fldCharType="begin"/>
      </w:r>
      <w:r>
        <w:rPr>
          <w:rFonts w:hint="eastAsia" w:ascii="Times New Roman" w:hAnsi="Times New Roman" w:eastAsia="方正仿宋_GBK" w:cs="方正仿宋_GBK"/>
          <w:color w:val="191919"/>
          <w:sz w:val="32"/>
          <w:szCs w:val="32"/>
          <w:shd w:val="clear" w:color="auto" w:fill="FFFFFF"/>
          <w:lang w:val="en-US" w:eastAsia="zh-CN"/>
        </w:rPr>
        <w:instrText xml:space="preserve">TOC \o "1-2" \h \u </w:instrText>
      </w:r>
      <w:r>
        <w:rPr>
          <w:rFonts w:hint="eastAsia" w:ascii="Times New Roman" w:hAnsi="Times New Roman" w:eastAsia="方正仿宋_GBK" w:cs="方正仿宋_GBK"/>
          <w:color w:val="191919"/>
          <w:sz w:val="32"/>
          <w:szCs w:val="32"/>
          <w:shd w:val="clear" w:color="auto" w:fill="FFFFFF"/>
          <w:lang w:val="en-US" w:eastAsia="zh-CN"/>
        </w:rPr>
        <w:fldChar w:fldCharType="separate"/>
      </w: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_Toc4887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szCs w:val="32"/>
          <w:lang w:val="en-US" w:eastAsia="zh-CN"/>
        </w:rPr>
        <w:t>第一章  发展基础和面临形势</w:t>
      </w:r>
      <w:r>
        <w:tab/>
      </w:r>
      <w:r>
        <w:fldChar w:fldCharType="begin"/>
      </w:r>
      <w:r>
        <w:instrText xml:space="preserve"> PAGEREF _Toc4887 \h </w:instrText>
      </w:r>
      <w:r>
        <w:fldChar w:fldCharType="separate"/>
      </w:r>
      <w:r>
        <w:t>- 1 -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_Toc25499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发展基础</w:t>
      </w:r>
      <w:r>
        <w:tab/>
      </w:r>
      <w:r>
        <w:fldChar w:fldCharType="begin"/>
      </w:r>
      <w:r>
        <w:instrText xml:space="preserve"> PAGEREF _Toc25499 \h </w:instrText>
      </w:r>
      <w:r>
        <w:fldChar w:fldCharType="separate"/>
      </w:r>
      <w:r>
        <w:t>- 2 -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_Toc14852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面临形势</w:t>
      </w:r>
      <w:r>
        <w:tab/>
      </w:r>
      <w:r>
        <w:fldChar w:fldCharType="begin"/>
      </w:r>
      <w:r>
        <w:instrText xml:space="preserve"> PAGEREF _Toc14852 \h </w:instrText>
      </w:r>
      <w:r>
        <w:fldChar w:fldCharType="separate"/>
      </w:r>
      <w:r>
        <w:t>- 5 -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_Toc5982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第二章  总体要求</w:t>
      </w:r>
      <w:r>
        <w:tab/>
      </w:r>
      <w:r>
        <w:fldChar w:fldCharType="begin"/>
      </w:r>
      <w:r>
        <w:instrText xml:space="preserve"> PAGEREF _Toc5982 \h </w:instrText>
      </w:r>
      <w:r>
        <w:fldChar w:fldCharType="separate"/>
      </w:r>
      <w:r>
        <w:t>- 7 -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_Toc29759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 xml:space="preserve">第一节  </w:t>
      </w:r>
      <w:r>
        <w:rPr>
          <w:rFonts w:hint="eastAsia" w:ascii="Times New Roman" w:hAnsi="Times New Roman" w:eastAsia="方正楷体_GBK" w:cs="Times New Roman"/>
          <w:bCs/>
          <w:spacing w:val="-6"/>
          <w:lang w:eastAsia="zh-CN"/>
        </w:rPr>
        <w:t>指导思想</w:t>
      </w:r>
      <w:r>
        <w:tab/>
      </w:r>
      <w:r>
        <w:fldChar w:fldCharType="begin"/>
      </w:r>
      <w:r>
        <w:instrText xml:space="preserve"> PAGEREF _Toc29759 \h </w:instrText>
      </w:r>
      <w:r>
        <w:fldChar w:fldCharType="separate"/>
      </w:r>
      <w:r>
        <w:t>- 7 -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_Toc31424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 xml:space="preserve">第二节  </w:t>
      </w:r>
      <w:r>
        <w:rPr>
          <w:rFonts w:hint="eastAsia" w:ascii="Times New Roman" w:hAnsi="Times New Roman" w:eastAsia="方正楷体_GBK" w:cs="Times New Roman"/>
          <w:bCs/>
          <w:spacing w:val="-6"/>
          <w:lang w:eastAsia="zh-CN"/>
        </w:rPr>
        <w:t>基本原则</w:t>
      </w:r>
      <w:r>
        <w:tab/>
      </w:r>
      <w:r>
        <w:fldChar w:fldCharType="begin"/>
      </w:r>
      <w:r>
        <w:instrText xml:space="preserve"> PAGEREF _Toc31424 \h </w:instrText>
      </w:r>
      <w:r>
        <w:fldChar w:fldCharType="separate"/>
      </w:r>
      <w:r>
        <w:t>- 8 -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_Toc23550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发展目标</w:t>
      </w:r>
      <w:r>
        <w:tab/>
      </w:r>
      <w:r>
        <w:fldChar w:fldCharType="begin"/>
      </w:r>
      <w:r>
        <w:instrText xml:space="preserve"> PAGEREF _Toc23550 \h </w:instrText>
      </w:r>
      <w:r>
        <w:fldChar w:fldCharType="separate"/>
      </w:r>
      <w:r>
        <w:t>- 9 -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_Toc13683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第三章  构建</w:t>
      </w:r>
      <w:r>
        <w:rPr>
          <w:rFonts w:hint="eastAsia" w:ascii="Times New Roman" w:eastAsia="方正黑体_GBK" w:cs="Times New Roman"/>
          <w:szCs w:val="32"/>
          <w:lang w:val="en-US" w:eastAsia="zh-CN"/>
        </w:rPr>
        <w:t>一区两廊三节点</w:t>
      </w:r>
      <w:r>
        <w:rPr>
          <w:rFonts w:hint="eastAsia" w:ascii="Times New Roman" w:hAnsi="Times New Roman" w:eastAsia="方正黑体_GBK" w:cs="Times New Roman"/>
          <w:szCs w:val="32"/>
          <w:lang w:val="en-US" w:eastAsia="zh-CN"/>
        </w:rPr>
        <w:t>冷链物流新格局</w:t>
      </w:r>
      <w:r>
        <w:tab/>
      </w:r>
      <w:r>
        <w:fldChar w:fldCharType="begin"/>
      </w:r>
      <w:r>
        <w:instrText xml:space="preserve"> PAGEREF _Toc13683 \h </w:instrText>
      </w:r>
      <w:r>
        <w:fldChar w:fldCharType="separate"/>
      </w:r>
      <w:r>
        <w:t>- 11 -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_Toc24374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建设主城都市区冷链物流核心区</w:t>
      </w:r>
      <w:r>
        <w:tab/>
      </w:r>
      <w:r>
        <w:fldChar w:fldCharType="begin"/>
      </w:r>
      <w:r>
        <w:instrText xml:space="preserve"> PAGEREF _Toc24374 \h </w:instrText>
      </w:r>
      <w:r>
        <w:fldChar w:fldCharType="separate"/>
      </w:r>
      <w:r>
        <w:t>- 12 -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_Toc30330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 xml:space="preserve">第二节  </w:t>
      </w:r>
      <w:r>
        <w:rPr>
          <w:rFonts w:hint="eastAsia" w:eastAsia="方正楷体_GBK" w:cs="Times New Roman"/>
          <w:bCs/>
          <w:spacing w:val="-6"/>
          <w:lang w:val="en-US" w:eastAsia="zh-CN"/>
        </w:rPr>
        <w:t>建设</w:t>
      </w:r>
      <w:r>
        <w:rPr>
          <w:rFonts w:hint="eastAsia" w:ascii="Times New Roman" w:hAnsi="Times New Roman" w:eastAsia="方正楷体_GBK" w:cs="Times New Roman"/>
          <w:bCs/>
          <w:spacing w:val="-6"/>
          <w:lang w:val="en-US" w:eastAsia="zh-CN"/>
        </w:rPr>
        <w:t>渝东北冷链物流发展走廊</w:t>
      </w:r>
      <w:r>
        <w:tab/>
      </w:r>
      <w:r>
        <w:fldChar w:fldCharType="begin"/>
      </w:r>
      <w:r>
        <w:instrText xml:space="preserve"> PAGEREF _Toc30330 \h </w:instrText>
      </w:r>
      <w:r>
        <w:fldChar w:fldCharType="separate"/>
      </w:r>
      <w:r>
        <w:t>- 16 -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_Toc3637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 xml:space="preserve">第三节  </w:t>
      </w:r>
      <w:r>
        <w:rPr>
          <w:rFonts w:hint="eastAsia" w:eastAsia="方正楷体_GBK" w:cs="Times New Roman"/>
          <w:bCs/>
          <w:spacing w:val="-6"/>
          <w:lang w:val="en-US" w:eastAsia="zh-CN"/>
        </w:rPr>
        <w:t>建设</w:t>
      </w:r>
      <w:r>
        <w:rPr>
          <w:rFonts w:hint="eastAsia" w:ascii="Times New Roman" w:hAnsi="Times New Roman" w:eastAsia="方正楷体_GBK" w:cs="Times New Roman"/>
          <w:bCs/>
          <w:spacing w:val="-6"/>
          <w:lang w:val="en-US" w:eastAsia="zh-CN"/>
        </w:rPr>
        <w:t>渝东南冷链物流发展走廊</w:t>
      </w:r>
      <w:r>
        <w:tab/>
      </w:r>
      <w:r>
        <w:fldChar w:fldCharType="begin"/>
      </w:r>
      <w:r>
        <w:instrText xml:space="preserve"> PAGEREF _Toc3637 \h </w:instrText>
      </w:r>
      <w:r>
        <w:fldChar w:fldCharType="separate"/>
      </w:r>
      <w:r>
        <w:t>- 18 -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_Toc7386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w:t>
      </w:r>
      <w:r>
        <w:rPr>
          <w:rFonts w:hint="eastAsia" w:eastAsia="方正楷体_GBK" w:cs="Times New Roman"/>
          <w:bCs/>
          <w:spacing w:val="-6"/>
          <w:lang w:val="en-US" w:eastAsia="zh-CN"/>
        </w:rPr>
        <w:t>四</w:t>
      </w:r>
      <w:r>
        <w:rPr>
          <w:rFonts w:hint="eastAsia" w:ascii="Times New Roman" w:hAnsi="Times New Roman" w:eastAsia="方正楷体_GBK" w:cs="Times New Roman"/>
          <w:bCs/>
          <w:spacing w:val="-6"/>
          <w:lang w:val="en-US" w:eastAsia="zh-CN"/>
        </w:rPr>
        <w:t xml:space="preserve">节  </w:t>
      </w:r>
      <w:r>
        <w:rPr>
          <w:rFonts w:hint="eastAsia" w:eastAsia="方正楷体_GBK" w:cs="Times New Roman"/>
          <w:bCs/>
          <w:spacing w:val="-6"/>
          <w:lang w:val="en-US" w:eastAsia="zh-CN"/>
        </w:rPr>
        <w:t>构建</w:t>
      </w:r>
      <w:r>
        <w:rPr>
          <w:rFonts w:hint="eastAsia" w:ascii="Times New Roman" w:hAnsi="Times New Roman" w:eastAsia="方正楷体_GBK" w:cs="Times New Roman"/>
          <w:bCs/>
          <w:spacing w:val="-6"/>
          <w:lang w:val="en-US" w:eastAsia="zh-CN"/>
        </w:rPr>
        <w:t>三级冷链物流网络</w:t>
      </w:r>
      <w:r>
        <w:rPr>
          <w:rFonts w:hint="eastAsia" w:eastAsia="方正楷体_GBK" w:cs="Times New Roman"/>
          <w:bCs/>
          <w:spacing w:val="-6"/>
          <w:lang w:val="en-US" w:eastAsia="zh-CN"/>
        </w:rPr>
        <w:t>节点</w:t>
      </w:r>
      <w:r>
        <w:tab/>
      </w:r>
      <w:r>
        <w:fldChar w:fldCharType="begin"/>
      </w:r>
      <w:r>
        <w:instrText xml:space="preserve"> PAGEREF _Toc7386 \h </w:instrText>
      </w:r>
      <w:r>
        <w:fldChar w:fldCharType="separate"/>
      </w:r>
      <w:r>
        <w:t>- 19 -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_Toc25627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第四章  搭建四式四向冷链双循环通道</w:t>
      </w:r>
      <w:r>
        <w:tab/>
      </w:r>
      <w:r>
        <w:fldChar w:fldCharType="begin"/>
      </w:r>
      <w:r>
        <w:instrText xml:space="preserve"> PAGEREF _Toc25627 \h </w:instrText>
      </w:r>
      <w:r>
        <w:fldChar w:fldCharType="separate"/>
      </w:r>
      <w:r>
        <w:t>- 21 -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_Toc5819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构建七条冷链物流骨干通道</w:t>
      </w:r>
      <w:r>
        <w:tab/>
      </w:r>
      <w:r>
        <w:fldChar w:fldCharType="begin"/>
      </w:r>
      <w:r>
        <w:instrText xml:space="preserve"> PAGEREF _Toc5819 \h </w:instrText>
      </w:r>
      <w:r>
        <w:fldChar w:fldCharType="separate"/>
      </w:r>
      <w:r>
        <w:t>- 21 -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_Toc32744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壮大国际冷链双向流通规模</w:t>
      </w:r>
      <w:r>
        <w:tab/>
      </w:r>
      <w:r>
        <w:fldChar w:fldCharType="begin"/>
      </w:r>
      <w:r>
        <w:instrText xml:space="preserve"> PAGEREF _Toc32744 \h </w:instrText>
      </w:r>
      <w:r>
        <w:fldChar w:fldCharType="separate"/>
      </w:r>
      <w:r>
        <w:t>- 23 -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_Toc12969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推动城乡冷链网络双向融合</w:t>
      </w:r>
      <w:r>
        <w:tab/>
      </w:r>
      <w:r>
        <w:fldChar w:fldCharType="begin"/>
      </w:r>
      <w:r>
        <w:instrText xml:space="preserve"> PAGEREF _Toc12969 \h </w:instrText>
      </w:r>
      <w:r>
        <w:fldChar w:fldCharType="separate"/>
      </w:r>
      <w:r>
        <w:t>- 25 -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_Toc15168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第四节  大力发展冷链多式联运</w:t>
      </w:r>
      <w:r>
        <w:tab/>
      </w:r>
      <w:r>
        <w:fldChar w:fldCharType="begin"/>
      </w:r>
      <w:r>
        <w:instrText xml:space="preserve"> PAGEREF _Toc15168 \h </w:instrText>
      </w:r>
      <w:r>
        <w:fldChar w:fldCharType="separate"/>
      </w:r>
      <w:r>
        <w:t>- 26 -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_Toc15323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w:t>
      </w:r>
      <w:r>
        <w:rPr>
          <w:rFonts w:hint="eastAsia" w:ascii="Times New Roman" w:eastAsia="方正黑体_GBK" w:cs="Times New Roman"/>
          <w:szCs w:val="32"/>
          <w:lang w:val="en-US" w:eastAsia="zh-CN"/>
        </w:rPr>
        <w:t>五</w:t>
      </w:r>
      <w:r>
        <w:rPr>
          <w:rFonts w:hint="eastAsia" w:ascii="Times New Roman" w:hAnsi="Times New Roman" w:eastAsia="方正黑体_GBK" w:cs="Times New Roman"/>
          <w:szCs w:val="32"/>
          <w:lang w:val="en-US" w:eastAsia="zh-CN"/>
        </w:rPr>
        <w:t xml:space="preserve">章  </w:t>
      </w:r>
      <w:r>
        <w:rPr>
          <w:rFonts w:hint="eastAsia" w:ascii="Times New Roman" w:eastAsia="方正黑体_GBK" w:cs="Times New Roman"/>
          <w:szCs w:val="32"/>
          <w:lang w:val="en-US" w:eastAsia="zh-CN"/>
        </w:rPr>
        <w:t>完善销地</w:t>
      </w:r>
      <w:r>
        <w:rPr>
          <w:rFonts w:hint="eastAsia" w:ascii="Times New Roman" w:hAnsi="Times New Roman" w:eastAsia="方正黑体_GBK" w:cs="Times New Roman"/>
          <w:szCs w:val="32"/>
          <w:lang w:val="en-US" w:eastAsia="zh-CN"/>
        </w:rPr>
        <w:t>冷链物流</w:t>
      </w:r>
      <w:r>
        <w:rPr>
          <w:rFonts w:hint="eastAsia" w:ascii="Times New Roman" w:eastAsia="方正黑体_GBK" w:cs="Times New Roman"/>
          <w:szCs w:val="32"/>
          <w:lang w:val="en-US" w:eastAsia="zh-CN"/>
        </w:rPr>
        <w:t>设施</w:t>
      </w:r>
      <w:r>
        <w:rPr>
          <w:rFonts w:hint="eastAsia" w:ascii="Times New Roman" w:hAnsi="Times New Roman" w:eastAsia="方正黑体_GBK" w:cs="Times New Roman"/>
          <w:szCs w:val="32"/>
          <w:lang w:val="en-US" w:eastAsia="zh-CN"/>
        </w:rPr>
        <w:t>网络</w:t>
      </w:r>
      <w:r>
        <w:tab/>
      </w:r>
      <w:r>
        <w:fldChar w:fldCharType="begin"/>
      </w:r>
      <w:r>
        <w:instrText xml:space="preserve"> PAGEREF _Toc15323 \h </w:instrText>
      </w:r>
      <w:r>
        <w:fldChar w:fldCharType="separate"/>
      </w:r>
      <w:r>
        <w:t>- 27 -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_Toc13336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创建</w:t>
      </w:r>
      <w:r>
        <w:rPr>
          <w:rFonts w:hint="eastAsia" w:eastAsia="方正楷体_GBK" w:cs="Times New Roman"/>
          <w:bCs/>
          <w:spacing w:val="-6"/>
          <w:lang w:val="en-US" w:eastAsia="zh-CN"/>
        </w:rPr>
        <w:t>国家</w:t>
      </w:r>
      <w:r>
        <w:rPr>
          <w:rFonts w:hint="eastAsia" w:ascii="Times New Roman" w:hAnsi="Times New Roman" w:eastAsia="方正楷体_GBK" w:cs="Times New Roman"/>
          <w:bCs/>
          <w:spacing w:val="-6"/>
          <w:lang w:val="en-US" w:eastAsia="zh-CN"/>
        </w:rPr>
        <w:t>骨干冷链物流基地</w:t>
      </w:r>
      <w:r>
        <w:tab/>
      </w:r>
      <w:r>
        <w:fldChar w:fldCharType="begin"/>
      </w:r>
      <w:r>
        <w:instrText xml:space="preserve"> PAGEREF _Toc13336 \h </w:instrText>
      </w:r>
      <w:r>
        <w:fldChar w:fldCharType="separate"/>
      </w:r>
      <w:r>
        <w:t>- 27 -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_Toc16806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推动销地集配中心高质量发展</w:t>
      </w:r>
      <w:r>
        <w:tab/>
      </w:r>
      <w:r>
        <w:fldChar w:fldCharType="begin"/>
      </w:r>
      <w:r>
        <w:instrText xml:space="preserve"> PAGEREF _Toc16806 \h </w:instrText>
      </w:r>
      <w:r>
        <w:fldChar w:fldCharType="separate"/>
      </w:r>
      <w:r>
        <w:t>- 27 -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_Toc18654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加快建设冷链物流终端设施</w:t>
      </w:r>
      <w:r>
        <w:tab/>
      </w:r>
      <w:r>
        <w:fldChar w:fldCharType="begin"/>
      </w:r>
      <w:r>
        <w:instrText xml:space="preserve"> PAGEREF _Toc18654 \h </w:instrText>
      </w:r>
      <w:r>
        <w:fldChar w:fldCharType="separate"/>
      </w:r>
      <w:r>
        <w:t>- 28 -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_Toc11138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第六章  提升冷链物流全品类服务</w:t>
      </w:r>
      <w:r>
        <w:tab/>
      </w:r>
      <w:r>
        <w:fldChar w:fldCharType="begin"/>
      </w:r>
      <w:r>
        <w:instrText xml:space="preserve"> PAGEREF _Toc11138 \h </w:instrText>
      </w:r>
      <w:r>
        <w:fldChar w:fldCharType="separate"/>
      </w:r>
      <w:r>
        <w:t>- 30 -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_Toc17121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健全肉类冷链物流体系</w:t>
      </w:r>
      <w:r>
        <w:tab/>
      </w:r>
      <w:r>
        <w:fldChar w:fldCharType="begin"/>
      </w:r>
      <w:r>
        <w:instrText xml:space="preserve"> PAGEREF _Toc17121 \h </w:instrText>
      </w:r>
      <w:r>
        <w:fldChar w:fldCharType="separate"/>
      </w:r>
      <w:r>
        <w:t>- 30 -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_Toc1617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健全果蔬冷链物流体系</w:t>
      </w:r>
      <w:r>
        <w:tab/>
      </w:r>
      <w:r>
        <w:fldChar w:fldCharType="begin"/>
      </w:r>
      <w:r>
        <w:instrText xml:space="preserve"> PAGEREF _Toc1617 \h </w:instrText>
      </w:r>
      <w:r>
        <w:fldChar w:fldCharType="separate"/>
      </w:r>
      <w:r>
        <w:t>- 31 -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_Toc2311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健全水产品冷链物流体系</w:t>
      </w:r>
      <w:r>
        <w:tab/>
      </w:r>
      <w:r>
        <w:fldChar w:fldCharType="begin"/>
      </w:r>
      <w:r>
        <w:instrText xml:space="preserve"> PAGEREF _Toc2311 \h </w:instrText>
      </w:r>
      <w:r>
        <w:fldChar w:fldCharType="separate"/>
      </w:r>
      <w:r>
        <w:t>- 33 -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_Toc7367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第四节  健全乳品冷链物流体系</w:t>
      </w:r>
      <w:r>
        <w:tab/>
      </w:r>
      <w:r>
        <w:fldChar w:fldCharType="begin"/>
      </w:r>
      <w:r>
        <w:instrText xml:space="preserve"> PAGEREF _Toc7367 \h </w:instrText>
      </w:r>
      <w:r>
        <w:fldChar w:fldCharType="separate"/>
      </w:r>
      <w:r>
        <w:t>- 33 -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_Toc17675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第五节  健全速冻食品冷链物流体系</w:t>
      </w:r>
      <w:r>
        <w:tab/>
      </w:r>
      <w:r>
        <w:fldChar w:fldCharType="begin"/>
      </w:r>
      <w:r>
        <w:instrText xml:space="preserve"> PAGEREF _Toc17675 \h </w:instrText>
      </w:r>
      <w:r>
        <w:fldChar w:fldCharType="separate"/>
      </w:r>
      <w:r>
        <w:t>- 34 -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_Toc15396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w:t>
      </w:r>
      <w:r>
        <w:rPr>
          <w:rFonts w:hint="eastAsia" w:eastAsia="方正楷体_GBK" w:cs="Times New Roman"/>
          <w:bCs/>
          <w:spacing w:val="-6"/>
          <w:lang w:val="en-US" w:eastAsia="zh-CN"/>
        </w:rPr>
        <w:t>六</w:t>
      </w:r>
      <w:r>
        <w:rPr>
          <w:rFonts w:hint="eastAsia" w:ascii="Times New Roman" w:hAnsi="Times New Roman" w:eastAsia="方正楷体_GBK" w:cs="Times New Roman"/>
          <w:bCs/>
          <w:spacing w:val="-6"/>
          <w:lang w:val="en-US" w:eastAsia="zh-CN"/>
        </w:rPr>
        <w:t xml:space="preserve">节  </w:t>
      </w:r>
      <w:r>
        <w:rPr>
          <w:rFonts w:hint="eastAsia" w:eastAsia="方正楷体_GBK" w:cs="Times New Roman"/>
          <w:bCs/>
          <w:spacing w:val="-6"/>
          <w:lang w:val="en-US" w:eastAsia="zh-CN"/>
        </w:rPr>
        <w:t>健全</w:t>
      </w:r>
      <w:r>
        <w:rPr>
          <w:rFonts w:hint="eastAsia" w:ascii="Times New Roman" w:hAnsi="Times New Roman" w:eastAsia="方正楷体_GBK" w:cs="Times New Roman"/>
          <w:bCs/>
          <w:spacing w:val="-6"/>
          <w:lang w:val="en-US" w:eastAsia="zh-CN"/>
        </w:rPr>
        <w:t>医药</w:t>
      </w:r>
      <w:r>
        <w:rPr>
          <w:rFonts w:hint="eastAsia" w:eastAsia="方正楷体_GBK" w:cs="Times New Roman"/>
          <w:bCs/>
          <w:spacing w:val="-6"/>
          <w:lang w:val="en-US" w:eastAsia="zh-CN"/>
        </w:rPr>
        <w:t>品</w:t>
      </w:r>
      <w:r>
        <w:rPr>
          <w:rFonts w:hint="eastAsia" w:ascii="Times New Roman" w:hAnsi="Times New Roman" w:eastAsia="方正楷体_GBK" w:cs="Times New Roman"/>
          <w:bCs/>
          <w:spacing w:val="-6"/>
          <w:lang w:val="en-US" w:eastAsia="zh-CN"/>
        </w:rPr>
        <w:t>冷链</w:t>
      </w:r>
      <w:r>
        <w:rPr>
          <w:rFonts w:hint="eastAsia" w:eastAsia="方正楷体_GBK" w:cs="Times New Roman"/>
          <w:bCs/>
          <w:spacing w:val="-6"/>
          <w:lang w:val="en-US" w:eastAsia="zh-CN"/>
        </w:rPr>
        <w:t>物流体系</w:t>
      </w:r>
      <w:r>
        <w:tab/>
      </w:r>
      <w:r>
        <w:fldChar w:fldCharType="begin"/>
      </w:r>
      <w:r>
        <w:instrText xml:space="preserve"> PAGEREF _Toc15396 \h </w:instrText>
      </w:r>
      <w:r>
        <w:fldChar w:fldCharType="separate"/>
      </w:r>
      <w:r>
        <w:t>- 34 -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_Toc30685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w:t>
      </w:r>
      <w:r>
        <w:rPr>
          <w:rFonts w:hint="eastAsia" w:ascii="Times New Roman" w:eastAsia="方正黑体_GBK" w:cs="Times New Roman"/>
          <w:szCs w:val="32"/>
          <w:lang w:val="en-US" w:eastAsia="zh-CN"/>
        </w:rPr>
        <w:t>七</w:t>
      </w:r>
      <w:r>
        <w:rPr>
          <w:rFonts w:hint="eastAsia" w:ascii="Times New Roman" w:hAnsi="Times New Roman" w:eastAsia="方正黑体_GBK" w:cs="Times New Roman"/>
          <w:szCs w:val="32"/>
          <w:lang w:val="en-US" w:eastAsia="zh-CN"/>
        </w:rPr>
        <w:t>章  推进冷链物流全流程创新</w:t>
      </w:r>
      <w:r>
        <w:tab/>
      </w:r>
      <w:r>
        <w:fldChar w:fldCharType="begin"/>
      </w:r>
      <w:r>
        <w:instrText xml:space="preserve"> PAGEREF _Toc30685 \h </w:instrText>
      </w:r>
      <w:r>
        <w:fldChar w:fldCharType="separate"/>
      </w:r>
      <w:r>
        <w:t>- 35 -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_Toc20377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提升冷链物流信息化水平</w:t>
      </w:r>
      <w:r>
        <w:tab/>
      </w:r>
      <w:r>
        <w:fldChar w:fldCharType="begin"/>
      </w:r>
      <w:r>
        <w:instrText xml:space="preserve"> PAGEREF _Toc20377 \h </w:instrText>
      </w:r>
      <w:r>
        <w:fldChar w:fldCharType="separate"/>
      </w:r>
      <w:r>
        <w:t>- 35 -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_Toc7645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提高冷链设施智能化水平</w:t>
      </w:r>
      <w:r>
        <w:tab/>
      </w:r>
      <w:r>
        <w:fldChar w:fldCharType="begin"/>
      </w:r>
      <w:r>
        <w:instrText xml:space="preserve"> PAGEREF _Toc7645 \h </w:instrText>
      </w:r>
      <w:r>
        <w:fldChar w:fldCharType="separate"/>
      </w:r>
      <w:r>
        <w:t>- 36 -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_Toc4121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推进冷链物流模式创新</w:t>
      </w:r>
      <w:r>
        <w:tab/>
      </w:r>
      <w:r>
        <w:fldChar w:fldCharType="begin"/>
      </w:r>
      <w:r>
        <w:instrText xml:space="preserve"> PAGEREF _Toc4121 \h </w:instrText>
      </w:r>
      <w:r>
        <w:fldChar w:fldCharType="separate"/>
      </w:r>
      <w:r>
        <w:t>- 37 -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_Toc18946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第四节  加强冷链物流运输服务能力</w:t>
      </w:r>
      <w:r>
        <w:tab/>
      </w:r>
      <w:r>
        <w:fldChar w:fldCharType="begin"/>
      </w:r>
      <w:r>
        <w:instrText xml:space="preserve"> PAGEREF _Toc18946 \h </w:instrText>
      </w:r>
      <w:r>
        <w:fldChar w:fldCharType="separate"/>
      </w:r>
      <w:r>
        <w:t>- 38 -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_Toc13150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第五节  培育冷链装备制造业集群</w:t>
      </w:r>
      <w:r>
        <w:tab/>
      </w:r>
      <w:r>
        <w:fldChar w:fldCharType="begin"/>
      </w:r>
      <w:r>
        <w:instrText xml:space="preserve"> PAGEREF _Toc13150 \h </w:instrText>
      </w:r>
      <w:r>
        <w:fldChar w:fldCharType="separate"/>
      </w:r>
      <w:r>
        <w:t>- 39 -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_Toc5937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eastAsia="方正黑体_GBK" w:cs="Times New Roman"/>
          <w:szCs w:val="32"/>
          <w:lang w:val="en-US" w:eastAsia="zh-CN"/>
        </w:rPr>
        <w:t>第八章  强化冷链物流全方位支撑</w:t>
      </w:r>
      <w:r>
        <w:tab/>
      </w:r>
      <w:r>
        <w:fldChar w:fldCharType="begin"/>
      </w:r>
      <w:r>
        <w:instrText xml:space="preserve"> PAGEREF _Toc5937 \h </w:instrText>
      </w:r>
      <w:r>
        <w:fldChar w:fldCharType="separate"/>
      </w:r>
      <w:r>
        <w:t>- 40 -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_Toc7277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培育冷链物流骨干企业</w:t>
      </w:r>
      <w:r>
        <w:tab/>
      </w:r>
      <w:r>
        <w:fldChar w:fldCharType="begin"/>
      </w:r>
      <w:r>
        <w:instrText xml:space="preserve"> PAGEREF _Toc7277 \h </w:instrText>
      </w:r>
      <w:r>
        <w:fldChar w:fldCharType="separate"/>
      </w:r>
      <w:r>
        <w:t>- 40 -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_Toc2383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健全冷链物流标准体系</w:t>
      </w:r>
      <w:r>
        <w:tab/>
      </w:r>
      <w:r>
        <w:fldChar w:fldCharType="begin"/>
      </w:r>
      <w:r>
        <w:instrText xml:space="preserve"> PAGEREF _Toc2383 \h </w:instrText>
      </w:r>
      <w:r>
        <w:fldChar w:fldCharType="separate"/>
      </w:r>
      <w:r>
        <w:t>- 41 -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_Toc24795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完善冷链物流统计体系</w:t>
      </w:r>
      <w:r>
        <w:tab/>
      </w:r>
      <w:r>
        <w:fldChar w:fldCharType="begin"/>
      </w:r>
      <w:r>
        <w:instrText xml:space="preserve"> PAGEREF _Toc24795 \h </w:instrText>
      </w:r>
      <w:r>
        <w:fldChar w:fldCharType="separate"/>
      </w:r>
      <w:r>
        <w:t>- 41 -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_Toc974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第四节  强化</w:t>
      </w:r>
      <w:r>
        <w:rPr>
          <w:rFonts w:hint="eastAsia" w:eastAsia="方正楷体_GBK" w:cs="Times New Roman"/>
          <w:bCs/>
          <w:spacing w:val="-6"/>
          <w:lang w:val="en-US" w:eastAsia="zh-CN"/>
        </w:rPr>
        <w:t>冷链物流</w:t>
      </w:r>
      <w:r>
        <w:rPr>
          <w:rFonts w:hint="eastAsia" w:ascii="Times New Roman" w:hAnsi="Times New Roman" w:eastAsia="方正楷体_GBK" w:cs="Times New Roman"/>
          <w:bCs/>
          <w:spacing w:val="-6"/>
          <w:lang w:val="en-US" w:eastAsia="zh-CN"/>
        </w:rPr>
        <w:t>人才队伍建设</w:t>
      </w:r>
      <w:r>
        <w:tab/>
      </w:r>
      <w:r>
        <w:fldChar w:fldCharType="begin"/>
      </w:r>
      <w:r>
        <w:instrText xml:space="preserve"> PAGEREF _Toc974 \h </w:instrText>
      </w:r>
      <w:r>
        <w:fldChar w:fldCharType="separate"/>
      </w:r>
      <w:r>
        <w:t>- 42 -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_Toc20899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w:t>
      </w:r>
      <w:r>
        <w:rPr>
          <w:rFonts w:hint="eastAsia" w:ascii="Times New Roman" w:eastAsia="方正黑体_GBK" w:cs="Times New Roman"/>
          <w:szCs w:val="32"/>
          <w:lang w:val="en-US" w:eastAsia="zh-CN"/>
        </w:rPr>
        <w:t>九</w:t>
      </w:r>
      <w:r>
        <w:rPr>
          <w:rFonts w:hint="eastAsia" w:ascii="Times New Roman" w:hAnsi="Times New Roman" w:eastAsia="方正黑体_GBK" w:cs="Times New Roman"/>
          <w:szCs w:val="32"/>
          <w:lang w:val="en-US" w:eastAsia="zh-CN"/>
        </w:rPr>
        <w:t xml:space="preserve">章  </w:t>
      </w:r>
      <w:r>
        <w:rPr>
          <w:rFonts w:hint="eastAsia" w:ascii="Times New Roman" w:eastAsia="方正黑体_GBK" w:cs="Times New Roman"/>
          <w:szCs w:val="32"/>
          <w:lang w:val="en-US" w:eastAsia="zh-CN"/>
        </w:rPr>
        <w:t>加强</w:t>
      </w:r>
      <w:r>
        <w:rPr>
          <w:rFonts w:hint="eastAsia" w:ascii="Times New Roman" w:hAnsi="Times New Roman" w:eastAsia="方正黑体_GBK" w:cs="Times New Roman"/>
          <w:szCs w:val="32"/>
          <w:lang w:val="en-US" w:eastAsia="zh-CN"/>
        </w:rPr>
        <w:t>冷链物流全链条监管</w:t>
      </w:r>
      <w:r>
        <w:tab/>
      </w:r>
      <w:r>
        <w:fldChar w:fldCharType="begin"/>
      </w:r>
      <w:r>
        <w:instrText xml:space="preserve"> PAGEREF _Toc20899 \h </w:instrText>
      </w:r>
      <w:r>
        <w:fldChar w:fldCharType="separate"/>
      </w:r>
      <w:r>
        <w:t>- 42 -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_Toc27081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 xml:space="preserve">第一节  </w:t>
      </w:r>
      <w:r>
        <w:rPr>
          <w:rFonts w:hint="eastAsia" w:eastAsia="方正楷体_GBK" w:cs="Times New Roman"/>
          <w:bCs/>
          <w:spacing w:val="-6"/>
          <w:lang w:val="en-US" w:eastAsia="zh-CN"/>
        </w:rPr>
        <w:t>健全</w:t>
      </w:r>
      <w:r>
        <w:rPr>
          <w:rFonts w:hint="eastAsia" w:ascii="Times New Roman" w:hAnsi="Times New Roman" w:eastAsia="方正楷体_GBK" w:cs="Times New Roman"/>
          <w:bCs/>
          <w:spacing w:val="-6"/>
          <w:lang w:val="en-US" w:eastAsia="zh-CN"/>
        </w:rPr>
        <w:t>冷链物流</w:t>
      </w:r>
      <w:r>
        <w:rPr>
          <w:rFonts w:hint="eastAsia" w:eastAsia="方正楷体_GBK" w:cs="Times New Roman"/>
          <w:bCs/>
          <w:spacing w:val="-6"/>
          <w:lang w:val="en-US" w:eastAsia="zh-CN"/>
        </w:rPr>
        <w:t>监管机</w:t>
      </w:r>
      <w:r>
        <w:rPr>
          <w:rFonts w:hint="eastAsia" w:ascii="Times New Roman" w:hAnsi="Times New Roman" w:eastAsia="方正楷体_GBK" w:cs="Times New Roman"/>
          <w:bCs/>
          <w:spacing w:val="-6"/>
          <w:lang w:val="en-US" w:eastAsia="zh-CN"/>
        </w:rPr>
        <w:t>制</w:t>
      </w:r>
      <w:r>
        <w:tab/>
      </w:r>
      <w:r>
        <w:fldChar w:fldCharType="begin"/>
      </w:r>
      <w:r>
        <w:instrText xml:space="preserve"> PAGEREF _Toc27081 \h </w:instrText>
      </w:r>
      <w:r>
        <w:fldChar w:fldCharType="separate"/>
      </w:r>
      <w:r>
        <w:t>- 43 -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_Toc27476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 xml:space="preserve">第二节  </w:t>
      </w:r>
      <w:r>
        <w:rPr>
          <w:rFonts w:hint="eastAsia" w:eastAsia="方正楷体_GBK" w:cs="Times New Roman"/>
          <w:bCs/>
          <w:spacing w:val="-6"/>
          <w:lang w:val="en-US" w:eastAsia="zh-CN"/>
        </w:rPr>
        <w:t>创新行业监管手段</w:t>
      </w:r>
      <w:r>
        <w:tab/>
      </w:r>
      <w:r>
        <w:fldChar w:fldCharType="begin"/>
      </w:r>
      <w:r>
        <w:instrText xml:space="preserve"> PAGEREF _Toc27476 \h </w:instrText>
      </w:r>
      <w:r>
        <w:fldChar w:fldCharType="separate"/>
      </w:r>
      <w:r>
        <w:t>- 43 -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_Toc23537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第三节  强化检验检测检疫</w:t>
      </w:r>
      <w:r>
        <w:tab/>
      </w:r>
      <w:r>
        <w:fldChar w:fldCharType="begin"/>
      </w:r>
      <w:r>
        <w:instrText xml:space="preserve"> PAGEREF _Toc23537 \h </w:instrText>
      </w:r>
      <w:r>
        <w:fldChar w:fldCharType="separate"/>
      </w:r>
      <w:r>
        <w:t>- 45 -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_Toc28877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第十章  规划环境影响评价</w:t>
      </w:r>
      <w:r>
        <w:tab/>
      </w:r>
      <w:r>
        <w:fldChar w:fldCharType="begin"/>
      </w:r>
      <w:r>
        <w:instrText xml:space="preserve"> PAGEREF _Toc28877 \h </w:instrText>
      </w:r>
      <w:r>
        <w:fldChar w:fldCharType="separate"/>
      </w:r>
      <w:r>
        <w:t>- 45 -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_Toc27344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实施环境影响评价</w:t>
      </w:r>
      <w:r>
        <w:tab/>
      </w:r>
      <w:r>
        <w:fldChar w:fldCharType="begin"/>
      </w:r>
      <w:r>
        <w:instrText xml:space="preserve"> PAGEREF _Toc27344 \h </w:instrText>
      </w:r>
      <w:r>
        <w:fldChar w:fldCharType="separate"/>
      </w:r>
      <w:r>
        <w:t>- 46 -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_Toc19700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做好风险防范措施</w:t>
      </w:r>
      <w:r>
        <w:tab/>
      </w:r>
      <w:r>
        <w:fldChar w:fldCharType="begin"/>
      </w:r>
      <w:r>
        <w:instrText xml:space="preserve"> PAGEREF _Toc19700 \h </w:instrText>
      </w:r>
      <w:r>
        <w:fldChar w:fldCharType="separate"/>
      </w:r>
      <w:r>
        <w:t>- 47 -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_Toc2093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第</w:t>
      </w:r>
      <w:r>
        <w:rPr>
          <w:rFonts w:hint="eastAsia" w:ascii="Times New Roman" w:eastAsia="方正黑体_GBK" w:cs="Times New Roman"/>
          <w:szCs w:val="32"/>
          <w:lang w:val="en-US" w:eastAsia="zh-CN"/>
        </w:rPr>
        <w:t>十一</w:t>
      </w:r>
      <w:r>
        <w:rPr>
          <w:rFonts w:hint="eastAsia" w:ascii="Times New Roman" w:hAnsi="Times New Roman" w:eastAsia="方正黑体_GBK" w:cs="Times New Roman"/>
          <w:szCs w:val="32"/>
          <w:lang w:val="en-US" w:eastAsia="zh-CN"/>
        </w:rPr>
        <w:t>章  强化规划实施保障措施</w:t>
      </w:r>
      <w:r>
        <w:tab/>
      </w:r>
      <w:r>
        <w:fldChar w:fldCharType="begin"/>
      </w:r>
      <w:r>
        <w:instrText xml:space="preserve"> PAGEREF _Toc2093 \h </w:instrText>
      </w:r>
      <w:r>
        <w:fldChar w:fldCharType="separate"/>
      </w:r>
      <w:r>
        <w:t>- 47 -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_Toc31495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第一节  强化组织协调</w:t>
      </w:r>
      <w:r>
        <w:tab/>
      </w:r>
      <w:r>
        <w:fldChar w:fldCharType="begin"/>
      </w:r>
      <w:r>
        <w:instrText xml:space="preserve"> PAGEREF _Toc31495 \h </w:instrText>
      </w:r>
      <w:r>
        <w:fldChar w:fldCharType="separate"/>
      </w:r>
      <w:r>
        <w:t>- 48 -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_Toc6298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第二节  强化要素支撑</w:t>
      </w:r>
      <w:r>
        <w:tab/>
      </w:r>
      <w:r>
        <w:fldChar w:fldCharType="begin"/>
      </w:r>
      <w:r>
        <w:instrText xml:space="preserve"> PAGEREF _Toc6298 \h </w:instrText>
      </w:r>
      <w:r>
        <w:fldChar w:fldCharType="separate"/>
      </w:r>
      <w:r>
        <w:t>- 48 -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_Toc29295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w:t>
      </w:r>
      <w:r>
        <w:rPr>
          <w:rFonts w:hint="eastAsia" w:eastAsia="方正楷体_GBK" w:cs="Times New Roman"/>
          <w:bCs/>
          <w:spacing w:val="-6"/>
          <w:lang w:val="en-US" w:eastAsia="zh-CN"/>
        </w:rPr>
        <w:t>三</w:t>
      </w:r>
      <w:r>
        <w:rPr>
          <w:rFonts w:hint="eastAsia" w:ascii="Times New Roman" w:hAnsi="Times New Roman" w:eastAsia="方正楷体_GBK" w:cs="Times New Roman"/>
          <w:bCs/>
          <w:spacing w:val="-6"/>
          <w:lang w:val="en-US" w:eastAsia="zh-CN"/>
        </w:rPr>
        <w:t>节  发挥行业协会作用</w:t>
      </w:r>
      <w:r>
        <w:tab/>
      </w:r>
      <w:r>
        <w:fldChar w:fldCharType="begin"/>
      </w:r>
      <w:r>
        <w:instrText xml:space="preserve"> PAGEREF _Toc29295 \h </w:instrText>
      </w:r>
      <w:r>
        <w:fldChar w:fldCharType="separate"/>
      </w:r>
      <w:r>
        <w:t>- 49 -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2"/>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_Toc20085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楷体_GBK" w:cs="Times New Roman"/>
          <w:bCs/>
          <w:spacing w:val="-6"/>
          <w:lang w:val="en-US" w:eastAsia="zh-CN"/>
        </w:rPr>
        <w:t>第</w:t>
      </w:r>
      <w:r>
        <w:rPr>
          <w:rFonts w:hint="eastAsia" w:eastAsia="方正楷体_GBK" w:cs="Times New Roman"/>
          <w:bCs/>
          <w:spacing w:val="-6"/>
          <w:lang w:val="en-US" w:eastAsia="zh-CN"/>
        </w:rPr>
        <w:t>四</w:t>
      </w:r>
      <w:r>
        <w:rPr>
          <w:rFonts w:hint="eastAsia" w:ascii="Times New Roman" w:hAnsi="Times New Roman" w:eastAsia="方正楷体_GBK" w:cs="Times New Roman"/>
          <w:bCs/>
          <w:spacing w:val="-6"/>
          <w:lang w:val="en-US" w:eastAsia="zh-CN"/>
        </w:rPr>
        <w:t>节  强化宣传引导</w:t>
      </w:r>
      <w:r>
        <w:tab/>
      </w:r>
      <w:r>
        <w:fldChar w:fldCharType="begin"/>
      </w:r>
      <w:r>
        <w:instrText xml:space="preserve"> PAGEREF _Toc20085 \h </w:instrText>
      </w:r>
      <w:r>
        <w:fldChar w:fldCharType="separate"/>
      </w:r>
      <w:r>
        <w:t>- 49 -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_Toc14916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附图1：</w:t>
      </w:r>
      <w:r>
        <w:rPr>
          <w:rFonts w:hint="eastAsia" w:ascii="黑体" w:hAnsi="黑体" w:eastAsia="黑体" w:cs="黑体"/>
          <w:szCs w:val="32"/>
          <w:shd w:val="clear" w:color="auto" w:fill="FFFFFF"/>
          <w:lang w:val="en-US" w:eastAsia="zh-CN"/>
        </w:rPr>
        <w:t>重庆冷链物流网络节点布局图</w:t>
      </w:r>
      <w:r>
        <w:tab/>
      </w:r>
      <w:r>
        <w:fldChar w:fldCharType="begin"/>
      </w:r>
      <w:r>
        <w:instrText xml:space="preserve"> PAGEREF _Toc14916 \h </w:instrText>
      </w:r>
      <w:r>
        <w:fldChar w:fldCharType="separate"/>
      </w:r>
      <w:r>
        <w:t>- 51 -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_Toc480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附图2：</w:t>
      </w:r>
      <w:r>
        <w:rPr>
          <w:rFonts w:hint="eastAsia" w:ascii="黑体" w:hAnsi="黑体" w:eastAsia="黑体" w:cs="黑体"/>
          <w:szCs w:val="32"/>
          <w:shd w:val="clear" w:color="auto" w:fill="FFFFFF"/>
          <w:lang w:val="en-US" w:eastAsia="zh-CN"/>
        </w:rPr>
        <w:t>重庆畜禽区域性全链条冷链物流示范基地建设布局图</w:t>
      </w:r>
      <w:r>
        <w:tab/>
      </w:r>
      <w:r>
        <w:fldChar w:fldCharType="begin"/>
      </w:r>
      <w:r>
        <w:instrText xml:space="preserve"> PAGEREF _Toc480 \h </w:instrText>
      </w:r>
      <w:r>
        <w:fldChar w:fldCharType="separate"/>
      </w:r>
      <w:r>
        <w:t>- 52 -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_Toc10725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附图3：</w:t>
      </w:r>
      <w:r>
        <w:rPr>
          <w:rFonts w:hint="eastAsia" w:ascii="黑体" w:hAnsi="黑体" w:eastAsia="黑体" w:cs="黑体"/>
          <w:szCs w:val="32"/>
          <w:shd w:val="clear" w:color="auto" w:fill="FFFFFF"/>
          <w:lang w:val="en-US" w:eastAsia="zh-CN"/>
        </w:rPr>
        <w:t>重庆蔬菜区域性全链条冷链物流示范基地建设布局图</w:t>
      </w:r>
      <w:r>
        <w:tab/>
      </w:r>
      <w:r>
        <w:fldChar w:fldCharType="begin"/>
      </w:r>
      <w:r>
        <w:instrText xml:space="preserve"> PAGEREF _Toc10725 \h </w:instrText>
      </w:r>
      <w:r>
        <w:fldChar w:fldCharType="separate"/>
      </w:r>
      <w:r>
        <w:t>- 53 -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_Toc5496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附图4：</w:t>
      </w:r>
      <w:r>
        <w:rPr>
          <w:rFonts w:hint="eastAsia" w:ascii="黑体" w:hAnsi="黑体" w:eastAsia="黑体" w:cs="黑体"/>
          <w:szCs w:val="32"/>
          <w:shd w:val="clear" w:color="auto" w:fill="FFFFFF"/>
          <w:lang w:val="en-US" w:eastAsia="zh-CN"/>
        </w:rPr>
        <w:t>重庆水果区域性全链条冷链物流示范基地建设布局图</w:t>
      </w:r>
      <w:r>
        <w:tab/>
      </w:r>
      <w:r>
        <w:fldChar w:fldCharType="begin"/>
      </w:r>
      <w:r>
        <w:instrText xml:space="preserve"> PAGEREF _Toc5496 \h </w:instrText>
      </w:r>
      <w:r>
        <w:fldChar w:fldCharType="separate"/>
      </w:r>
      <w:r>
        <w:t>- 54 -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0"/>
        <w:tabs>
          <w:tab w:val="right" w:leader="dot" w:pos="8845"/>
        </w:tabs>
      </w:pPr>
      <w:r>
        <w:rPr>
          <w:rFonts w:hint="eastAsia" w:ascii="Times New Roman" w:hAnsi="Times New Roman" w:eastAsia="方正仿宋_GBK" w:cs="方正仿宋_GBK"/>
          <w:color w:val="191919"/>
          <w:szCs w:val="32"/>
          <w:shd w:val="clear" w:color="auto" w:fill="FFFFFF"/>
          <w:lang w:val="en-US" w:eastAsia="zh-CN"/>
        </w:rPr>
        <w:fldChar w:fldCharType="begin"/>
      </w:r>
      <w:r>
        <w:rPr>
          <w:rFonts w:hint="eastAsia" w:ascii="Times New Roman" w:hAnsi="Times New Roman" w:eastAsia="方正仿宋_GBK" w:cs="方正仿宋_GBK"/>
          <w:szCs w:val="32"/>
          <w:shd w:val="clear" w:color="auto" w:fill="FFFFFF"/>
          <w:lang w:val="en-US" w:eastAsia="zh-CN"/>
        </w:rPr>
        <w:instrText xml:space="preserve"> HYPERLINK \l _Toc18253 </w:instrText>
      </w:r>
      <w:r>
        <w:rPr>
          <w:rFonts w:hint="eastAsia" w:ascii="Times New Roman" w:hAnsi="Times New Roman" w:eastAsia="方正仿宋_GBK" w:cs="方正仿宋_GBK"/>
          <w:szCs w:val="32"/>
          <w:shd w:val="clear" w:color="auto" w:fill="FFFFFF"/>
          <w:lang w:val="en-US" w:eastAsia="zh-CN"/>
        </w:rPr>
        <w:fldChar w:fldCharType="separate"/>
      </w:r>
      <w:r>
        <w:rPr>
          <w:rFonts w:hint="eastAsia" w:ascii="Times New Roman" w:hAnsi="Times New Roman" w:eastAsia="方正黑体_GBK" w:cs="Times New Roman"/>
          <w:szCs w:val="32"/>
          <w:lang w:val="en-US" w:eastAsia="zh-CN"/>
        </w:rPr>
        <w:t>附表1：重庆市“十四五”期间重点冷链物流项目表</w:t>
      </w:r>
      <w:r>
        <w:tab/>
      </w:r>
      <w:r>
        <w:fldChar w:fldCharType="begin"/>
      </w:r>
      <w:r>
        <w:instrText xml:space="preserve"> PAGEREF _Toc18253 \h </w:instrText>
      </w:r>
      <w:r>
        <w:fldChar w:fldCharType="separate"/>
      </w:r>
      <w:r>
        <w:t>- 55 -</w:t>
      </w:r>
      <w:r>
        <w:fldChar w:fldCharType="end"/>
      </w:r>
      <w:r>
        <w:rPr>
          <w:rFonts w:hint="eastAsia" w:ascii="Times New Roman" w:hAnsi="Times New Roman" w:eastAsia="方正仿宋_GBK" w:cs="方正仿宋_GBK"/>
          <w:color w:val="191919"/>
          <w:szCs w:val="32"/>
          <w:shd w:val="clear" w:color="auto" w:fill="FFFFFF"/>
          <w:lang w:val="en-US" w:eastAsia="zh-CN"/>
        </w:rPr>
        <w:fldChar w:fldCharType="end"/>
      </w:r>
    </w:p>
    <w:p>
      <w:pPr>
        <w:pStyle w:val="13"/>
        <w:shd w:val="clear" w:color="auto" w:fill="FFFFFF"/>
        <w:adjustRightInd w:val="0"/>
        <w:snapToGrid w:val="0"/>
        <w:spacing w:before="0" w:beforeAutospacing="0" w:after="0" w:afterAutospacing="0" w:line="580" w:lineRule="exact"/>
        <w:ind w:firstLine="480" w:firstLineChars="200"/>
        <w:rPr>
          <w:rFonts w:hint="eastAsia" w:ascii="Times New Roman" w:hAnsi="Times New Roman" w:eastAsia="方正仿宋_GBK"/>
          <w:b/>
          <w:color w:val="191919"/>
          <w:szCs w:val="32"/>
          <w:shd w:val="clear" w:color="auto" w:fill="FFFFFF"/>
          <w:lang w:val="en-US" w:eastAsia="zh-CN"/>
        </w:rPr>
        <w:sectPr>
          <w:footerReference r:id="rId5" w:type="default"/>
          <w:pgSz w:w="11906" w:h="16838"/>
          <w:pgMar w:top="2098" w:right="1474" w:bottom="1984" w:left="1587" w:header="851" w:footer="992" w:gutter="0"/>
          <w:pgNumType w:fmt="upperRoman" w:start="1"/>
          <w:cols w:space="720" w:num="1"/>
          <w:docGrid w:type="lines" w:linePitch="312" w:charSpace="0"/>
        </w:sectPr>
      </w:pPr>
      <w:r>
        <w:rPr>
          <w:rFonts w:hint="eastAsia" w:ascii="Times New Roman" w:hAnsi="Times New Roman" w:eastAsia="方正仿宋_GBK" w:cs="方正仿宋_GBK"/>
          <w:color w:val="191919"/>
          <w:szCs w:val="32"/>
          <w:shd w:val="clear" w:color="auto" w:fill="FFFFFF"/>
          <w:lang w:val="en-US" w:eastAsia="zh-CN"/>
        </w:rPr>
        <w:fldChar w:fldCharType="end"/>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仿宋_GBK"/>
          <w:color w:val="191919"/>
          <w:sz w:val="32"/>
          <w:szCs w:val="32"/>
          <w:shd w:val="clear" w:color="auto" w:fill="FFFFFF"/>
          <w:lang w:val="en-US" w:eastAsia="zh-CN"/>
        </w:rPr>
        <w:t>冷链物流是利用温控、保鲜等技术工艺和冷库、冷藏车、冷藏箱等设施设备，确保冷链产品在初加工、储存、运输、流通加工、销售、配送等全过程始终处于规定温度环境下的专业物流。推动冷链物流高质量发展，是减少农产品产后损失和食品流通浪费，扩大高品质市场供给，更好满足人民日益增长美好生活需要的重要手段；是支撑农业规模化产业化发展，促进农业转型和农民增收，助力乡村振兴的重要基础；是满足城乡居民个性化、品质化、差异化消费需求，推动消费升级和培育新增长点，深入实施扩大内需战略和促进形成强大国内市场的重要途径；是健全“从农田到餐桌、从枝头到舌尖”的生鲜农产品质量安全体系，提高医药产品物流全过程品质管控能力，支撑实施食品安全战略和建设健康中国的重要保障。根据《国务院办公厅关于印发“十四五”冷链物流发展规划的通知》《重庆市人民政府关于印发重庆市国民经济和社会发展第十四个五年规划和</w:t>
      </w:r>
      <w:r>
        <w:rPr>
          <w:rFonts w:hint="default" w:ascii="Times New Roman" w:hAnsi="Times New Roman" w:eastAsia="方正仿宋_GBK"/>
          <w:color w:val="191919"/>
          <w:sz w:val="32"/>
          <w:szCs w:val="32"/>
          <w:shd w:val="clear" w:color="auto" w:fill="FFFFFF"/>
          <w:lang w:val="en-US" w:eastAsia="zh-CN"/>
        </w:rPr>
        <w:t>二〇三五年远景目标</w:t>
      </w:r>
      <w:r>
        <w:rPr>
          <w:rFonts w:hint="eastAsia" w:ascii="Times New Roman" w:hAnsi="Times New Roman" w:eastAsia="方正仿宋_GBK"/>
          <w:color w:val="191919"/>
          <w:sz w:val="32"/>
          <w:szCs w:val="32"/>
          <w:shd w:val="clear" w:color="auto" w:fill="FFFFFF"/>
          <w:lang w:val="en-US" w:eastAsia="zh-CN"/>
        </w:rPr>
        <w:t>纲要》等，制定本规划，规划期为2021-2025年。</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olor w:val="191919"/>
          <w:sz w:val="32"/>
          <w:szCs w:val="32"/>
          <w:shd w:val="clear" w:color="auto" w:fill="FFFFFF"/>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ascii="Times New Roman" w:hAnsi="Times New Roman" w:eastAsia="方正黑体_GBK"/>
          <w:color w:val="000000"/>
          <w:sz w:val="32"/>
          <w:szCs w:val="32"/>
        </w:rPr>
      </w:pPr>
      <w:bookmarkStart w:id="9" w:name="_Toc4887"/>
      <w:r>
        <w:rPr>
          <w:rFonts w:hint="eastAsia" w:ascii="Times New Roman" w:hAnsi="Times New Roman" w:eastAsia="方正黑体_GBK"/>
          <w:color w:val="000000"/>
          <w:sz w:val="32"/>
          <w:szCs w:val="32"/>
          <w:lang w:val="en-US" w:eastAsia="zh-CN"/>
        </w:rPr>
        <w:t>第一章  发展</w:t>
      </w:r>
      <w:r>
        <w:rPr>
          <w:rFonts w:hint="eastAsia" w:ascii="Times New Roman" w:hAnsi="Times New Roman" w:eastAsia="方正黑体_GBK" w:cs="Times New Roman"/>
          <w:color w:val="000000"/>
          <w:sz w:val="32"/>
          <w:szCs w:val="32"/>
          <w:lang w:val="en-US" w:eastAsia="zh-CN"/>
        </w:rPr>
        <w:t>基础</w:t>
      </w:r>
      <w:r>
        <w:rPr>
          <w:rFonts w:hint="eastAsia" w:ascii="Times New Roman" w:hAnsi="Times New Roman" w:eastAsia="方正黑体_GBK"/>
          <w:color w:val="000000"/>
          <w:sz w:val="32"/>
          <w:szCs w:val="32"/>
          <w:lang w:val="en-US" w:eastAsia="zh-CN"/>
        </w:rPr>
        <w:t>和面临形势</w:t>
      </w:r>
      <w:bookmarkEnd w:id="0"/>
      <w:bookmarkEnd w:id="1"/>
      <w:bookmarkEnd w:id="2"/>
      <w:bookmarkEnd w:id="3"/>
      <w:bookmarkEnd w:id="4"/>
      <w:bookmarkEnd w:id="5"/>
      <w:bookmarkEnd w:id="6"/>
      <w:bookmarkEnd w:id="7"/>
      <w:bookmarkEnd w:id="8"/>
      <w:bookmarkEnd w:id="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bookmarkStart w:id="10" w:name="_Toc13838"/>
      <w:bookmarkStart w:id="11" w:name="_Toc29663"/>
      <w:bookmarkStart w:id="12" w:name="_Toc66101415"/>
      <w:bookmarkStart w:id="13" w:name="_Toc32095"/>
      <w:bookmarkStart w:id="14" w:name="_Toc11663"/>
      <w:bookmarkStart w:id="15" w:name="_Toc31175"/>
      <w:bookmarkStart w:id="16" w:name="_Toc66101604"/>
      <w:bookmarkStart w:id="17" w:name="_Toc9405"/>
      <w:bookmarkStart w:id="18" w:name="_Toc66100772"/>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十四五”时期是全面建成小康社会、实现第一个百年奋斗目标之后，乘势而上开启全面建设社会主义现代化国家新征程、向第二个百年奋斗目标进军的第一个五年，要准确把握新发展阶段对冷链物流工作的新要求，奋力谱写全市冷链物流高质量发展新篇章，支撑实施食品安全战略和建设健康重庆。</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ascii="Times New Roman" w:hAnsi="Times New Roman" w:eastAsia="方正楷体_GBK" w:cs="Times New Roman"/>
          <w:b w:val="0"/>
          <w:bCs/>
          <w:color w:val="000000"/>
          <w:spacing w:val="-6"/>
        </w:rPr>
      </w:pPr>
      <w:bookmarkStart w:id="19" w:name="_Toc25499"/>
      <w:r>
        <w:rPr>
          <w:rFonts w:hint="eastAsia" w:ascii="Times New Roman" w:hAnsi="Times New Roman" w:eastAsia="方正楷体_GBK" w:cs="Times New Roman"/>
          <w:b w:val="0"/>
          <w:bCs/>
          <w:color w:val="000000"/>
          <w:spacing w:val="-6"/>
          <w:lang w:val="en-US" w:eastAsia="zh-CN"/>
        </w:rPr>
        <w:t>第一节  发展</w:t>
      </w:r>
      <w:bookmarkEnd w:id="10"/>
      <w:bookmarkEnd w:id="11"/>
      <w:bookmarkEnd w:id="12"/>
      <w:bookmarkEnd w:id="13"/>
      <w:bookmarkEnd w:id="14"/>
      <w:bookmarkEnd w:id="15"/>
      <w:bookmarkEnd w:id="16"/>
      <w:bookmarkEnd w:id="17"/>
      <w:bookmarkEnd w:id="18"/>
      <w:r>
        <w:rPr>
          <w:rFonts w:hint="eastAsia" w:ascii="Times New Roman" w:hAnsi="Times New Roman" w:eastAsia="方正楷体_GBK" w:cs="Times New Roman"/>
          <w:b w:val="0"/>
          <w:bCs/>
          <w:color w:val="000000"/>
          <w:spacing w:val="-6"/>
          <w:lang w:val="en-US" w:eastAsia="zh-CN"/>
        </w:rPr>
        <w:t>基础</w:t>
      </w:r>
      <w:bookmarkEnd w:id="1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bookmarkStart w:id="20" w:name="_Toc66101417"/>
      <w:bookmarkStart w:id="21" w:name="_Toc66100774"/>
      <w:bookmarkStart w:id="22" w:name="_Toc11208"/>
      <w:bookmarkStart w:id="23" w:name="_Toc3903"/>
      <w:bookmarkStart w:id="24" w:name="_Toc28474"/>
      <w:bookmarkStart w:id="25" w:name="_Toc25974"/>
      <w:bookmarkStart w:id="26" w:name="_Toc25146"/>
      <w:bookmarkStart w:id="27" w:name="_Toc9775"/>
      <w:bookmarkStart w:id="28" w:name="_Toc66101606"/>
      <w:r>
        <w:rPr>
          <w:rFonts w:hint="eastAsia" w:ascii="Times New Roman" w:hAnsi="Times New Roman" w:eastAsia="方正仿宋_GBK" w:cs="Times New Roman"/>
          <w:color w:val="191919"/>
          <w:sz w:val="32"/>
          <w:szCs w:val="32"/>
          <w:shd w:val="clear" w:color="auto" w:fill="FFFFFF"/>
          <w:lang w:val="en-US" w:eastAsia="zh-CN"/>
        </w:rPr>
        <w:t>“十三五”以来，我市肉类、果蔬、水产品、乳品、速冻食品以及疫苗、生物制剂、药品等冷链产品市场需求快速增长，冷链物流市场规模不断扩大、基础设施网络持续完善、业态模式不断创新、产业地位不断提高，已成为稳增长、促消费、惠民生的重要新兴力量。</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冷链物流市场规模不断扩大。</w:t>
      </w:r>
      <w:r>
        <w:rPr>
          <w:rFonts w:hint="eastAsia" w:ascii="Times New Roman" w:hAnsi="Times New Roman" w:eastAsia="方正仿宋_GBK"/>
          <w:color w:val="191919"/>
          <w:sz w:val="32"/>
          <w:szCs w:val="32"/>
          <w:shd w:val="clear" w:color="auto" w:fill="FFFFFF"/>
          <w:lang w:val="en-US" w:eastAsia="zh-CN"/>
        </w:rPr>
        <w:t>“十三五”期间，全市农业基础进一步巩固，2020年肉类、果蔬、水产品、牛奶总量达到2794万吨，近年5年年均增长3.6%。居民消费水平不断提高，生鲜产品、医药品等需求持续增长，在生产和消费两端的共同推动下，冷链物流发展不断加快，冷链市场交易额达864亿元，较2015年增加193亿元，年均增长5.2%。冷链流通率、冷链流通环节腐损率分别为46%、18%，较2015年分别提高19个百分点、降低5个百分点。“东西南北空”国际物流大通道、口岸、指定监管场地等开放平台建设加快推进，国际冷链物流规模快速增长，进口冷链产品规模达100万吨。</w:t>
      </w:r>
    </w:p>
    <w:bookmarkEnd w:id="20"/>
    <w:bookmarkEnd w:id="21"/>
    <w:bookmarkEnd w:id="22"/>
    <w:bookmarkEnd w:id="23"/>
    <w:bookmarkEnd w:id="24"/>
    <w:bookmarkEnd w:id="25"/>
    <w:bookmarkEnd w:id="26"/>
    <w:bookmarkEnd w:id="27"/>
    <w:bookmarkEnd w:id="28"/>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bookmarkStart w:id="29" w:name="_Toc8377"/>
      <w:bookmarkStart w:id="30" w:name="_Toc23273"/>
      <w:bookmarkStart w:id="31" w:name="_Toc386"/>
      <w:bookmarkStart w:id="32" w:name="_Toc32613"/>
      <w:r>
        <w:rPr>
          <w:rFonts w:hint="eastAsia" w:ascii="Times New Roman" w:hAnsi="Times New Roman" w:eastAsia="方正黑体_GBK" w:cs="方正黑体_GBK"/>
          <w:color w:val="191919"/>
          <w:sz w:val="32"/>
          <w:szCs w:val="32"/>
          <w:shd w:val="clear" w:color="auto" w:fill="FFFFFF"/>
          <w:lang w:val="en-US" w:eastAsia="zh-CN"/>
        </w:rPr>
        <w:t>冷链物流基础设施</w:t>
      </w:r>
      <w:bookmarkEnd w:id="29"/>
      <w:bookmarkEnd w:id="30"/>
      <w:bookmarkEnd w:id="31"/>
      <w:bookmarkEnd w:id="32"/>
      <w:r>
        <w:rPr>
          <w:rFonts w:hint="eastAsia" w:ascii="Times New Roman" w:hAnsi="Times New Roman" w:eastAsia="方正黑体_GBK" w:cs="方正黑体_GBK"/>
          <w:color w:val="191919"/>
          <w:sz w:val="32"/>
          <w:szCs w:val="32"/>
          <w:shd w:val="clear" w:color="auto" w:fill="FFFFFF"/>
          <w:lang w:val="en-US" w:eastAsia="zh-CN"/>
        </w:rPr>
        <w:t>日趋完善。</w:t>
      </w:r>
      <w:bookmarkStart w:id="33" w:name="_Toc14810"/>
      <w:bookmarkStart w:id="34" w:name="_Toc14368"/>
      <w:bookmarkStart w:id="35" w:name="_Toc16864"/>
      <w:bookmarkStart w:id="36" w:name="_Toc25828"/>
      <w:r>
        <w:rPr>
          <w:rFonts w:hint="eastAsia" w:ascii="Times New Roman" w:hAnsi="Times New Roman" w:eastAsia="方正仿宋_GBK" w:cs="Times New Roman"/>
          <w:color w:val="191919"/>
          <w:sz w:val="32"/>
          <w:szCs w:val="32"/>
          <w:shd w:val="clear" w:color="auto" w:fill="FFFFFF"/>
          <w:lang w:val="en-US" w:eastAsia="zh-CN"/>
        </w:rPr>
        <w:t>城乡冷链物</w:t>
      </w:r>
      <w:r>
        <w:rPr>
          <w:rFonts w:hint="eastAsia" w:ascii="Times New Roman" w:hAnsi="Times New Roman" w:eastAsia="方正仿宋_GBK"/>
          <w:color w:val="191919"/>
          <w:sz w:val="32"/>
          <w:szCs w:val="32"/>
          <w:shd w:val="clear" w:color="auto" w:fill="FFFFFF"/>
          <w:lang w:val="en-US" w:eastAsia="zh-CN"/>
        </w:rPr>
        <w:t>流基础设施建设加速推进，全市冷库容量190万吨以上</w:t>
      </w:r>
      <w:r>
        <w:rPr>
          <w:rStyle w:val="25"/>
          <w:rFonts w:hint="eastAsia" w:ascii="Times New Roman" w:hAnsi="Times New Roman" w:eastAsia="方正仿宋_GBK"/>
          <w:color w:val="191919"/>
          <w:sz w:val="32"/>
          <w:szCs w:val="32"/>
          <w:shd w:val="clear" w:color="auto" w:fill="FFFFFF"/>
          <w:lang w:val="en-US" w:eastAsia="zh-CN"/>
        </w:rPr>
        <w:footnoteReference w:id="0"/>
      </w:r>
      <w:r>
        <w:rPr>
          <w:rFonts w:hint="eastAsia" w:ascii="Times New Roman" w:hAnsi="Times New Roman" w:eastAsia="方正仿宋_GBK"/>
          <w:color w:val="191919"/>
          <w:sz w:val="32"/>
          <w:szCs w:val="32"/>
          <w:shd w:val="clear" w:color="auto" w:fill="FFFFFF"/>
          <w:lang w:val="en-US" w:eastAsia="zh-CN"/>
        </w:rPr>
        <w:t>，较2015年增加71万吨，年均增长9.7%，基本形成以“冷链物流+交易市场”为主，冷链加工、运输、配送为支撑的现代冷链物流体系。中心城区集聚大量冷链物流设施资源，冷库容量达99万吨，占全市52%左右。冷链运输车约2699辆，比2015年增长130%。</w:t>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rPr>
          <w:rFonts w:hint="default" w:ascii="Times New Roman" w:hAnsi="Times New Roman" w:eastAsia="方正仿宋_GBK"/>
          <w:color w:val="191919"/>
          <w:sz w:val="32"/>
          <w:szCs w:val="32"/>
          <w:shd w:val="clear" w:color="auto" w:fill="FFFFFF"/>
          <w:lang w:val="en-US" w:eastAsia="zh-CN"/>
        </w:rPr>
      </w:pPr>
      <w:r>
        <w:rPr>
          <w:rFonts w:hint="eastAsia" w:ascii="Times New Roman" w:hAnsi="Times New Roman" w:eastAsia="方正仿宋_GBK"/>
          <w:color w:val="191919"/>
          <w:sz w:val="32"/>
          <w:szCs w:val="32"/>
          <w:shd w:val="clear" w:color="auto" w:fill="FFFFFF"/>
          <w:lang w:val="en-US" w:eastAsia="zh-CN"/>
        </w:rPr>
        <w:drawing>
          <wp:inline distT="0" distB="0" distL="114300" distR="114300">
            <wp:extent cx="5457190" cy="2894965"/>
            <wp:effectExtent l="0" t="0" r="10160" b="635"/>
            <wp:docPr id="1" name="图片 5" descr="1630488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30488882(1)"/>
                    <pic:cNvPicPr>
                      <a:picLocks noChangeAspect="1"/>
                    </pic:cNvPicPr>
                  </pic:nvPicPr>
                  <pic:blipFill>
                    <a:blip r:embed="rId9"/>
                    <a:stretch>
                      <a:fillRect/>
                    </a:stretch>
                  </pic:blipFill>
                  <pic:spPr>
                    <a:xfrm>
                      <a:off x="0" y="0"/>
                      <a:ext cx="5457190" cy="2894965"/>
                    </a:xfrm>
                    <a:prstGeom prst="rect">
                      <a:avLst/>
                    </a:prstGeom>
                    <a:noFill/>
                    <a:ln>
                      <a:noFill/>
                    </a:ln>
                  </pic:spPr>
                </pic:pic>
              </a:graphicData>
            </a:graphic>
          </wp:inline>
        </w:drawing>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80" w:lineRule="exact"/>
        <w:ind w:firstLine="0" w:firstLineChars="0"/>
        <w:jc w:val="center"/>
        <w:textAlignment w:val="auto"/>
        <w:rPr>
          <w:rFonts w:hint="default" w:ascii="方正黑体_GBK" w:hAnsi="方正黑体_GBK" w:eastAsia="方正黑体_GBK" w:cs="方正黑体_GBK"/>
          <w:color w:val="191919"/>
          <w:sz w:val="32"/>
          <w:szCs w:val="32"/>
          <w:shd w:val="clear" w:color="auto" w:fill="FFFFFF"/>
          <w:lang w:val="en-US" w:eastAsia="zh-CN"/>
        </w:rPr>
      </w:pPr>
      <w:r>
        <w:rPr>
          <w:rFonts w:hint="eastAsia" w:ascii="方正黑体_GBK" w:hAnsi="方正黑体_GBK" w:eastAsia="方正黑体_GBK" w:cs="方正黑体_GBK"/>
          <w:color w:val="191919"/>
          <w:sz w:val="32"/>
          <w:szCs w:val="32"/>
          <w:shd w:val="clear" w:color="auto" w:fill="FFFFFF"/>
          <w:lang w:val="en-US" w:eastAsia="zh-CN"/>
        </w:rPr>
        <w:t>图1-1 “十三五”期间全市冷链设施发展图</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现代冷链服务主体日益壮大。</w:t>
      </w:r>
      <w:r>
        <w:rPr>
          <w:rFonts w:hint="eastAsia" w:ascii="Times New Roman" w:hAnsi="Times New Roman" w:eastAsia="方正仿宋_GBK"/>
          <w:color w:val="191919"/>
          <w:sz w:val="32"/>
          <w:szCs w:val="32"/>
          <w:shd w:val="clear" w:color="auto" w:fill="FFFFFF"/>
          <w:lang w:val="en-US" w:eastAsia="zh-CN"/>
        </w:rPr>
        <w:t>“十三五”期间，全市冷链物流企业发展迅速，培育了一批具有核心竞争力、综合服务能力强的冷链物流企业，初步形成以冷链运输、仓储和批零配送为主要业务的第三方冷链物流体系。2020年，全市具有冷链物流业务规模以上的物流企业达到409家，重庆明品福集团、重庆万吨冷储公司、重庆医药集团、重庆友生活等一批大型冷链物流企业快速成长，新世纪、永辉超市、顺丰冷运、盒马鲜生、京东物流等连锁商业企业不断完善生鲜冷链配送体系，市场竞争能力不断提升。</w:t>
      </w:r>
    </w:p>
    <w:bookmarkEnd w:id="33"/>
    <w:bookmarkEnd w:id="34"/>
    <w:bookmarkEnd w:id="35"/>
    <w:bookmarkEnd w:id="36"/>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bookmarkStart w:id="37" w:name="_Toc17386"/>
      <w:bookmarkStart w:id="38" w:name="_Toc11789"/>
      <w:bookmarkStart w:id="39" w:name="_Toc16996"/>
      <w:bookmarkStart w:id="40" w:name="_Toc26616"/>
      <w:r>
        <w:rPr>
          <w:rFonts w:hint="eastAsia" w:ascii="Times New Roman" w:hAnsi="Times New Roman" w:eastAsia="方正黑体_GBK" w:cs="方正黑体_GBK"/>
          <w:color w:val="191919"/>
          <w:sz w:val="32"/>
          <w:szCs w:val="32"/>
          <w:shd w:val="clear" w:color="auto" w:fill="FFFFFF"/>
          <w:lang w:val="en-US" w:eastAsia="zh-CN"/>
        </w:rPr>
        <w:t>冷链物流新业态新模式涌现。</w:t>
      </w:r>
      <w:r>
        <w:rPr>
          <w:rFonts w:hint="eastAsia" w:ascii="Times New Roman" w:hAnsi="Times New Roman" w:eastAsia="方正仿宋_GBK" w:cs="Times New Roman"/>
          <w:color w:val="191919"/>
          <w:sz w:val="32"/>
          <w:szCs w:val="32"/>
          <w:shd w:val="clear" w:color="auto" w:fill="FFFFFF"/>
          <w:lang w:val="en-US" w:eastAsia="zh-CN"/>
        </w:rPr>
        <w:t>随着电子商务、农村经济的蓬勃发展，城乡一体化的推进，尤其新冠肺炎疫情常态化，在生鲜电商、新零售、餐饮等新业态新模式推动下，冷链物流呈现多种形式的发展模式，催生“生鲜电商+冷链宅配”、“中央厨房+食材冷链配送”等新型业态，涌现出以批发市场为主导的市场型冷链物流模式，以加工龙头企业为主导的直销型冷链物流模式，以及以第三方冷链物流模式等，形成多种模式相辅相成、优势互补、共同发展的格局，推动了消费持续恢复。</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冷链物流营商环境</w:t>
      </w:r>
      <w:bookmarkEnd w:id="37"/>
      <w:bookmarkEnd w:id="38"/>
      <w:bookmarkEnd w:id="39"/>
      <w:bookmarkEnd w:id="40"/>
      <w:r>
        <w:rPr>
          <w:rFonts w:hint="eastAsia" w:ascii="Times New Roman" w:hAnsi="Times New Roman" w:eastAsia="方正黑体_GBK" w:cs="方正黑体_GBK"/>
          <w:color w:val="191919"/>
          <w:sz w:val="32"/>
          <w:szCs w:val="32"/>
          <w:shd w:val="clear" w:color="auto" w:fill="FFFFFF"/>
          <w:lang w:val="en-US" w:eastAsia="zh-CN"/>
        </w:rPr>
        <w:t>持续改善。</w:t>
      </w:r>
      <w:r>
        <w:rPr>
          <w:rFonts w:hint="eastAsia" w:ascii="Times New Roman" w:hAnsi="Times New Roman" w:eastAsia="方正仿宋_GBK"/>
          <w:color w:val="191919"/>
          <w:sz w:val="32"/>
          <w:szCs w:val="32"/>
          <w:shd w:val="clear" w:color="auto" w:fill="FFFFFF"/>
          <w:lang w:val="en-US" w:eastAsia="zh-CN"/>
        </w:rPr>
        <w:t>“十三五”期间，相继出台《重庆市人民政府关于进一步规范活禽交易推行集中屠宰加强冷链供应工作的指导意见》(渝府发〔2020〕7号)《重庆市人民政府办公厅关于印发重庆市城乡冷链物流体系建设方案(2020—2025年)的通知》(渝府办发〔2020〕75号)《重庆市人民政府口岸和物流办公室关于印发重庆市冷链物流发展政策操作办法(暂行)的通知》（渝口岸物流发〔2021〕9号）等相关政策，加强了对冷链物流发展的规划引导，加大了对冷链物流发展的投入，开展了全程冷链物流可追溯试点，强化了冷链物流监督管理，为全市冷链物流快速发展创造良好的政策环境。</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仿宋_GBK"/>
          <w:color w:val="191919"/>
          <w:sz w:val="32"/>
          <w:szCs w:val="32"/>
          <w:shd w:val="clear" w:color="auto" w:fill="FFFFFF"/>
          <w:lang w:val="en-US" w:eastAsia="zh-CN"/>
        </w:rPr>
        <w:t>重庆冷链物流总体发展态势良好，但规模化、系统化的冷链物流服务体系尚未形成，突出表现在以下三个方面：一是缺少统筹规划，区域结构失衡。规划引领不足，既有的冷链物流设施网络“城区强、农村弱”“销地库强、终端和产地冷链设施弱”“低温库强、高温库弱”，低水平服务供给过剩，超低温、变温、冷鲜库等中高端供给不足，对新发展格局下的消费结构升级支撑引领能力不够。二是基础设施不强，难成冷链闭环。产销两端冷处理设施少，冷链运输环节冷藏车数量少，新能源冷藏车发展相对滞后；冷链物流监管制度不全、有效监管不足，全链条监管体系有待完善。三是服务能力不足，冷链覆盖度低，冷链物流标准体系有待完善，冷链设施信息化、智能化、标准化水平不高，各环节信息资源有效衔接不足，跨运输方式、跨作业环节衔接转换效率较低，冷链物流的服务质量和效率低。</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41" w:name="_Toc538"/>
      <w:bookmarkStart w:id="42" w:name="_Toc14852"/>
      <w:bookmarkStart w:id="43" w:name="_Toc9872"/>
      <w:bookmarkStart w:id="44" w:name="_Toc24506"/>
      <w:bookmarkStart w:id="45" w:name="_Toc28540"/>
      <w:r>
        <w:rPr>
          <w:rFonts w:hint="eastAsia" w:ascii="Times New Roman" w:hAnsi="Times New Roman" w:eastAsia="方正楷体_GBK" w:cs="Times New Roman"/>
          <w:b w:val="0"/>
          <w:bCs/>
          <w:color w:val="000000"/>
          <w:spacing w:val="-6"/>
          <w:lang w:val="en-US" w:eastAsia="zh-CN"/>
        </w:rPr>
        <w:t>第二节  面临形势</w:t>
      </w:r>
      <w:bookmarkEnd w:id="41"/>
      <w:bookmarkEnd w:id="42"/>
      <w:bookmarkEnd w:id="43"/>
      <w:bookmarkEnd w:id="44"/>
      <w:bookmarkEnd w:id="45"/>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bookmarkStart w:id="46" w:name="_Toc17834"/>
      <w:bookmarkStart w:id="47" w:name="_Toc443"/>
      <w:bookmarkStart w:id="48" w:name="_Toc4902"/>
      <w:bookmarkStart w:id="49" w:name="_Toc2366"/>
      <w:r>
        <w:rPr>
          <w:rFonts w:hint="eastAsia" w:ascii="Times New Roman" w:hAnsi="Times New Roman" w:eastAsia="方正仿宋_GBK" w:cs="Times New Roman"/>
          <w:color w:val="191919"/>
          <w:sz w:val="32"/>
          <w:szCs w:val="32"/>
          <w:shd w:val="clear" w:color="auto" w:fill="FFFFFF"/>
          <w:lang w:val="en-US" w:eastAsia="zh-CN"/>
        </w:rPr>
        <w:t>当前，我国社会主要矛盾已经转化为人民日益增长的美好生活需要和不平衡不充分的发展之间的矛盾。“十四五”时期，是抢抓国家重大战略机遇、全面融入成渝地区双城经济圈建设成势见效的关键时期，我市加快发展冷链物流面临众多历史性机遇与挑战。</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从全球来看，区域全面经济伙伴关系协定（RCEP）的生效实施，将推动成员国之间的农产品贸易自由化，提升国际冷链产品流通便利化，拓展国际冷链物流市场新空间；共建“一带一路”的深入推进，将深化与相关国家贸易往来，扩大食品进出口规模，促进国际冷链物流标准相互衔接；新一轮科技革命和产业变革，大数据、物联网、第五代移动通信（5G）、云计算等新技术快速推广，有效赋能冷链物流各领域、各环节，加快冷链物流设施装备数字化转型和智慧化升级步伐，有效促进冷链物流业态模式创新和行业治理能力现代化。</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从全国来看，我国冷链物流进入新的发展阶段，以习近平同志为核心的党中央高度重视城乡冷链物流设施建设，国家部委相继出台系列冷链物流相关政策，为冷链物流高质量发展营造良好环境；城乡居民消费结构不断升级，对高品质、精细化、个性化的冷链服务需求日益增长，超大市场潜力将加速释放，</w:t>
      </w:r>
      <w:r>
        <w:rPr>
          <w:rFonts w:hint="default" w:ascii="Times New Roman" w:hAnsi="Times New Roman" w:eastAsia="方正仿宋_GBK" w:cs="Times New Roman"/>
          <w:color w:val="191919"/>
          <w:sz w:val="32"/>
          <w:szCs w:val="32"/>
          <w:shd w:val="clear" w:color="auto" w:fill="FFFFFF"/>
          <w:lang w:val="en-US" w:eastAsia="zh-CN"/>
        </w:rPr>
        <w:t>为</w:t>
      </w:r>
      <w:r>
        <w:rPr>
          <w:rFonts w:hint="eastAsia" w:ascii="Times New Roman" w:hAnsi="Times New Roman" w:eastAsia="方正仿宋_GBK" w:cs="Times New Roman"/>
          <w:color w:val="191919"/>
          <w:sz w:val="32"/>
          <w:szCs w:val="32"/>
          <w:shd w:val="clear" w:color="auto" w:fill="FFFFFF"/>
          <w:lang w:val="en-US" w:eastAsia="zh-CN"/>
        </w:rPr>
        <w:t>全市</w:t>
      </w:r>
      <w:r>
        <w:rPr>
          <w:rFonts w:hint="default" w:ascii="Times New Roman" w:hAnsi="Times New Roman" w:eastAsia="方正仿宋_GBK" w:cs="Times New Roman"/>
          <w:color w:val="191919"/>
          <w:sz w:val="32"/>
          <w:szCs w:val="32"/>
          <w:shd w:val="clear" w:color="auto" w:fill="FFFFFF"/>
          <w:lang w:val="en-US" w:eastAsia="zh-CN"/>
        </w:rPr>
        <w:t>冷链物流发展</w:t>
      </w:r>
      <w:r>
        <w:rPr>
          <w:rFonts w:hint="eastAsia" w:ascii="Times New Roman" w:hAnsi="Times New Roman" w:eastAsia="方正仿宋_GBK" w:cs="Times New Roman"/>
          <w:color w:val="191919"/>
          <w:sz w:val="32"/>
          <w:szCs w:val="32"/>
          <w:shd w:val="clear" w:color="auto" w:fill="FFFFFF"/>
          <w:lang w:val="en-US" w:eastAsia="zh-CN"/>
        </w:rPr>
        <w:t>创造广阔市场空间；新冠肺炎疫情防控常态化，要求提高冷链物流专业服务和应急处置能力，规范市场运行秩序，完善全程追溯体系，为冷链物流发展提出新要求；</w:t>
      </w:r>
      <w:r>
        <w:rPr>
          <w:rFonts w:hint="default" w:ascii="Times New Roman" w:hAnsi="Times New Roman" w:eastAsia="方正仿宋_GBK" w:cs="Times New Roman"/>
          <w:color w:val="191919"/>
          <w:sz w:val="32"/>
          <w:szCs w:val="32"/>
          <w:shd w:val="clear" w:color="auto" w:fill="FFFFFF"/>
          <w:lang w:val="en-US" w:eastAsia="zh-CN"/>
        </w:rPr>
        <w:t>碳达峰碳中和对冷链物流低碳化发展提出新任务，</w:t>
      </w:r>
      <w:r>
        <w:rPr>
          <w:rFonts w:hint="eastAsia" w:ascii="Times New Roman" w:hAnsi="Times New Roman" w:eastAsia="方正仿宋_GBK" w:cs="Times New Roman"/>
          <w:color w:val="191919"/>
          <w:sz w:val="32"/>
          <w:szCs w:val="32"/>
          <w:shd w:val="clear" w:color="auto" w:fill="FFFFFF"/>
          <w:lang w:val="en-US" w:eastAsia="zh-CN"/>
        </w:rPr>
        <w:t>加快减排降耗和低碳转型步伐，促进</w:t>
      </w:r>
      <w:r>
        <w:rPr>
          <w:rFonts w:hint="default" w:ascii="Times New Roman" w:hAnsi="Times New Roman" w:eastAsia="方正仿宋_GBK" w:cs="Times New Roman"/>
          <w:color w:val="191919"/>
          <w:sz w:val="32"/>
          <w:szCs w:val="32"/>
          <w:shd w:val="clear" w:color="auto" w:fill="FFFFFF"/>
          <w:lang w:val="en-US" w:eastAsia="zh-CN"/>
        </w:rPr>
        <w:t>冷链物流运输结构调整，实现健康可持续发展。</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从全市看，我市冷链物流进入新的发展战略期，是西部大开发的重要战略支点，处在“一带一路”和长江经济带的联结点上，既处在国家布局“四横四纵”冷链物流骨干通道中的“一横一纵”交叉节点，也是国家布局的5个大型主销区之一，承担着国家冷链流通新的战略支点使命；全域开放通道网络体系不断完善，国家物流枢纽建设加速推进，基本实现东南西北“四向”联通、铁公水空“四式”联运，形成人流、物流、资金流、信息流“四流”聚散的枢纽口岸，为我市冷链物流提高供给水平、加快规模扩大奠定坚实基础。成渝地区双城经济圈建设、“一区两群”协调发展加快推进，有利于在西部形成高质量发展的重要增长极，增强人口和经济承载力，为冷链物流发展开拓新空间。</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bookmarkEnd w:id="46"/>
    <w:bookmarkEnd w:id="47"/>
    <w:bookmarkEnd w:id="48"/>
    <w:bookmarkEnd w:id="49"/>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50" w:name="_Toc19089"/>
      <w:bookmarkStart w:id="51" w:name="_Toc5961"/>
      <w:bookmarkStart w:id="52" w:name="_Toc10513"/>
      <w:bookmarkStart w:id="53" w:name="_Toc26806"/>
      <w:bookmarkStart w:id="54" w:name="_Toc27641"/>
      <w:bookmarkStart w:id="55" w:name="_Toc66100809"/>
      <w:bookmarkStart w:id="56" w:name="_Toc4493"/>
      <w:bookmarkStart w:id="57" w:name="_Toc66101452"/>
      <w:bookmarkStart w:id="58" w:name="_Toc66101641"/>
      <w:bookmarkStart w:id="59" w:name="_Toc5982"/>
      <w:r>
        <w:rPr>
          <w:rFonts w:hint="eastAsia" w:ascii="Times New Roman" w:hAnsi="Times New Roman" w:eastAsia="方正黑体_GBK" w:cs="Times New Roman"/>
          <w:color w:val="000000"/>
          <w:sz w:val="32"/>
          <w:szCs w:val="32"/>
          <w:lang w:val="en-US" w:eastAsia="zh-CN"/>
        </w:rPr>
        <w:t>第二章  总体</w:t>
      </w:r>
      <w:bookmarkEnd w:id="50"/>
      <w:bookmarkEnd w:id="51"/>
      <w:bookmarkEnd w:id="52"/>
      <w:bookmarkEnd w:id="53"/>
      <w:bookmarkEnd w:id="54"/>
      <w:bookmarkEnd w:id="55"/>
      <w:bookmarkEnd w:id="56"/>
      <w:bookmarkEnd w:id="57"/>
      <w:bookmarkEnd w:id="58"/>
      <w:r>
        <w:rPr>
          <w:rFonts w:hint="eastAsia" w:ascii="Times New Roman" w:hAnsi="Times New Roman" w:eastAsia="方正黑体_GBK" w:cs="Times New Roman"/>
          <w:color w:val="000000"/>
          <w:sz w:val="32"/>
          <w:szCs w:val="32"/>
          <w:lang w:val="en-US" w:eastAsia="zh-CN"/>
        </w:rPr>
        <w:t>要求</w:t>
      </w:r>
      <w:bookmarkEnd w:id="59"/>
    </w:p>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60" w:name="_Toc31335"/>
      <w:bookmarkStart w:id="61" w:name="_Toc29759"/>
      <w:bookmarkStart w:id="62" w:name="_Toc66101647"/>
      <w:bookmarkStart w:id="63" w:name="_Toc66100815"/>
      <w:bookmarkStart w:id="64" w:name="_Toc733"/>
      <w:bookmarkStart w:id="65" w:name="_Toc16379"/>
      <w:bookmarkStart w:id="66" w:name="_Toc3403"/>
      <w:bookmarkStart w:id="67" w:name="_Toc4793"/>
      <w:bookmarkStart w:id="68" w:name="_Toc66101458"/>
      <w:bookmarkStart w:id="69" w:name="_Toc20895"/>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eastAsia="zh-CN"/>
        </w:rPr>
      </w:pPr>
      <w:r>
        <w:rPr>
          <w:rFonts w:hint="eastAsia" w:ascii="Times New Roman" w:hAnsi="Times New Roman" w:eastAsia="方正楷体_GBK" w:cs="Times New Roman"/>
          <w:b w:val="0"/>
          <w:bCs/>
          <w:color w:val="000000"/>
          <w:spacing w:val="-6"/>
          <w:lang w:val="en-US" w:eastAsia="zh-CN"/>
        </w:rPr>
        <w:t xml:space="preserve">第一节  </w:t>
      </w:r>
      <w:r>
        <w:rPr>
          <w:rFonts w:hint="eastAsia" w:ascii="Times New Roman" w:hAnsi="Times New Roman" w:eastAsia="方正楷体_GBK" w:cs="Times New Roman"/>
          <w:b w:val="0"/>
          <w:bCs/>
          <w:color w:val="000000"/>
          <w:spacing w:val="-6"/>
          <w:lang w:eastAsia="zh-CN"/>
        </w:rPr>
        <w:t>指导思想</w:t>
      </w:r>
      <w:bookmarkEnd w:id="60"/>
      <w:bookmarkEnd w:id="61"/>
      <w:bookmarkEnd w:id="62"/>
      <w:bookmarkEnd w:id="63"/>
      <w:bookmarkEnd w:id="64"/>
      <w:bookmarkEnd w:id="65"/>
      <w:bookmarkEnd w:id="66"/>
      <w:bookmarkEnd w:id="67"/>
      <w:bookmarkEnd w:id="68"/>
      <w:bookmarkEnd w:id="6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仿宋_GBK"/>
          <w:color w:val="191919"/>
          <w:sz w:val="32"/>
          <w:szCs w:val="32"/>
          <w:shd w:val="clear" w:color="auto" w:fill="FFFFFF"/>
        </w:rPr>
        <w:t>以习近平新时代中国特色社会主义思想为指导，深入贯彻党的十九大和十九届二中、三中、四中、五中</w:t>
      </w:r>
      <w:r>
        <w:rPr>
          <w:rFonts w:hint="eastAsia" w:ascii="Times New Roman" w:hAnsi="Times New Roman" w:eastAsia="方正仿宋_GBK"/>
          <w:color w:val="191919"/>
          <w:sz w:val="32"/>
          <w:szCs w:val="32"/>
          <w:shd w:val="clear" w:color="auto" w:fill="FFFFFF"/>
          <w:lang w:eastAsia="zh-CN"/>
        </w:rPr>
        <w:t>、</w:t>
      </w:r>
      <w:r>
        <w:rPr>
          <w:rFonts w:hint="eastAsia" w:ascii="Times New Roman" w:hAnsi="Times New Roman" w:eastAsia="方正仿宋_GBK"/>
          <w:color w:val="191919"/>
          <w:sz w:val="32"/>
          <w:szCs w:val="32"/>
          <w:shd w:val="clear" w:color="auto" w:fill="FFFFFF"/>
          <w:lang w:val="en-US" w:eastAsia="zh-CN"/>
        </w:rPr>
        <w:t>六中</w:t>
      </w:r>
      <w:r>
        <w:rPr>
          <w:rFonts w:hint="eastAsia" w:ascii="Times New Roman" w:hAnsi="Times New Roman" w:eastAsia="方正仿宋_GBK"/>
          <w:color w:val="191919"/>
          <w:sz w:val="32"/>
          <w:szCs w:val="32"/>
          <w:shd w:val="clear" w:color="auto" w:fill="FFFFFF"/>
        </w:rPr>
        <w:t>全会精神，全面落实习近平总书记对重庆提出的营造良好政治生态，坚持“两点”定位、“两地”“两高”目标，发挥“三个作用”和推动成渝地区双城经济圈建设等重要指示要求，立足新发展阶段，完整、准确、全面贯彻新发展理念，积极融入服务新发展格局，以推动</w:t>
      </w:r>
      <w:r>
        <w:rPr>
          <w:rFonts w:hint="eastAsia" w:ascii="Times New Roman" w:hAnsi="Times New Roman" w:eastAsia="方正仿宋_GBK"/>
          <w:color w:val="191919"/>
          <w:sz w:val="32"/>
          <w:szCs w:val="32"/>
          <w:shd w:val="clear" w:color="auto" w:fill="FFFFFF"/>
          <w:lang w:val="en-US" w:eastAsia="zh-CN"/>
        </w:rPr>
        <w:t>冷链物流</w:t>
      </w:r>
      <w:r>
        <w:rPr>
          <w:rFonts w:hint="eastAsia" w:ascii="Times New Roman" w:hAnsi="Times New Roman" w:eastAsia="方正仿宋_GBK"/>
          <w:color w:val="191919"/>
          <w:sz w:val="32"/>
          <w:szCs w:val="32"/>
          <w:shd w:val="clear" w:color="auto" w:fill="FFFFFF"/>
        </w:rPr>
        <w:t>高质量发展为主题，以深化</w:t>
      </w:r>
      <w:r>
        <w:rPr>
          <w:rFonts w:hint="eastAsia" w:ascii="Times New Roman" w:hAnsi="Times New Roman" w:eastAsia="方正仿宋_GBK"/>
          <w:color w:val="191919"/>
          <w:sz w:val="32"/>
          <w:szCs w:val="32"/>
          <w:shd w:val="clear" w:color="auto" w:fill="FFFFFF"/>
          <w:lang w:val="en-US" w:eastAsia="zh-CN"/>
        </w:rPr>
        <w:t>冷链物流</w:t>
      </w:r>
      <w:r>
        <w:rPr>
          <w:rFonts w:hint="eastAsia" w:ascii="Times New Roman" w:hAnsi="Times New Roman" w:eastAsia="方正仿宋_GBK"/>
          <w:color w:val="191919"/>
          <w:sz w:val="32"/>
          <w:szCs w:val="32"/>
          <w:shd w:val="clear" w:color="auto" w:fill="FFFFFF"/>
        </w:rPr>
        <w:t>供给侧结构性改革为主线，以改革创新为根本动力，以满足人民日益增长的美好生活需要为根本目的，</w:t>
      </w:r>
      <w:r>
        <w:rPr>
          <w:rFonts w:hint="eastAsia" w:ascii="Times New Roman" w:hAnsi="Times New Roman" w:eastAsia="方正仿宋_GBK"/>
          <w:color w:val="191919"/>
          <w:sz w:val="32"/>
          <w:szCs w:val="32"/>
          <w:shd w:val="clear" w:color="auto" w:fill="FFFFFF"/>
          <w:lang w:val="en-US" w:eastAsia="zh-CN"/>
        </w:rPr>
        <w:t>统筹发展和安全，补齐城乡冷链物流设施短板，畅通通道运行网络，健全监管保障机制，加快建立现代冷链物流体系，推动高质量发展，创造高品质生活。</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eastAsia="zh-CN"/>
        </w:rPr>
      </w:pPr>
      <w:bookmarkStart w:id="70" w:name="_Toc66101459"/>
      <w:bookmarkStart w:id="71" w:name="_Toc31424"/>
      <w:bookmarkStart w:id="72" w:name="_Toc18659"/>
      <w:bookmarkStart w:id="73" w:name="_Toc66100816"/>
      <w:bookmarkStart w:id="74" w:name="_Toc2232"/>
      <w:bookmarkStart w:id="75" w:name="_Toc2944"/>
      <w:bookmarkStart w:id="76" w:name="_Toc66101648"/>
      <w:bookmarkStart w:id="77" w:name="_Toc6072"/>
      <w:bookmarkStart w:id="78" w:name="_Toc14148"/>
      <w:bookmarkStart w:id="79" w:name="_Toc9483"/>
      <w:r>
        <w:rPr>
          <w:rFonts w:hint="eastAsia" w:ascii="Times New Roman" w:hAnsi="Times New Roman" w:eastAsia="方正楷体_GBK" w:cs="Times New Roman"/>
          <w:b w:val="0"/>
          <w:bCs/>
          <w:color w:val="000000"/>
          <w:spacing w:val="-6"/>
          <w:lang w:val="en-US" w:eastAsia="zh-CN"/>
        </w:rPr>
        <w:t>第二节  基本</w:t>
      </w:r>
      <w:r>
        <w:rPr>
          <w:rFonts w:hint="eastAsia" w:ascii="Times New Roman" w:hAnsi="Times New Roman" w:eastAsia="方正楷体_GBK" w:cs="Times New Roman"/>
          <w:b w:val="0"/>
          <w:bCs/>
          <w:color w:val="000000"/>
          <w:spacing w:val="-6"/>
          <w:lang w:eastAsia="zh-CN"/>
        </w:rPr>
        <w:t>原则</w:t>
      </w:r>
      <w:bookmarkEnd w:id="70"/>
      <w:bookmarkEnd w:id="71"/>
      <w:bookmarkEnd w:id="72"/>
      <w:bookmarkEnd w:id="73"/>
      <w:bookmarkEnd w:id="74"/>
      <w:bookmarkEnd w:id="75"/>
      <w:bookmarkEnd w:id="76"/>
      <w:bookmarkEnd w:id="77"/>
      <w:bookmarkEnd w:id="78"/>
      <w:bookmarkEnd w:id="7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市场主导，政府引导。</w:t>
      </w:r>
      <w:r>
        <w:rPr>
          <w:rFonts w:hint="eastAsia" w:ascii="Times New Roman" w:hAnsi="Times New Roman" w:eastAsia="方正仿宋_GBK"/>
          <w:color w:val="191919"/>
          <w:sz w:val="32"/>
          <w:szCs w:val="32"/>
          <w:shd w:val="clear" w:color="auto" w:fill="FFFFFF"/>
          <w:lang w:val="en-US" w:eastAsia="zh-CN"/>
        </w:rPr>
        <w:t>充分发挥市场在资源配置中的决定性作用，激发市场主体创新发展活力，提高冷链物流要素配置效率效益。更好发挥政府作用，到位不缺位，有为不越位，在规范行业运行秩序、营造良好营商环境等方面重点发力。引导资金、人才、技术等要素更多向冷链物流基础薄弱环节配置，集中力量补短板、强弱项，夯实行业发展基础。</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需求导向，合理布局。</w:t>
      </w:r>
      <w:r>
        <w:rPr>
          <w:rFonts w:hint="eastAsia" w:ascii="Times New Roman" w:hAnsi="Times New Roman" w:eastAsia="方正仿宋_GBK"/>
          <w:color w:val="191919"/>
          <w:sz w:val="32"/>
          <w:szCs w:val="32"/>
          <w:shd w:val="clear" w:color="auto" w:fill="FFFFFF"/>
          <w:lang w:val="en-US" w:eastAsia="zh-CN"/>
        </w:rPr>
        <w:t>把握冷链物流发展的趋势特征，突出问题导向，明确发展思路、主要任务。综合考虑冷链食品药品生产布局，人口分布状况，立足市场需求及其变化趋势，优化空间布局和冷链基础设施配套，满足不同类型人民群众生产生活需求。</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黑体_GBK" w:cs="方正黑体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统筹推进，分类指导。</w:t>
      </w:r>
      <w:r>
        <w:rPr>
          <w:rFonts w:hint="eastAsia" w:ascii="Times New Roman" w:hAnsi="Times New Roman" w:eastAsia="方正仿宋_GBK" w:cs="Times New Roman"/>
          <w:color w:val="191919"/>
          <w:sz w:val="32"/>
          <w:szCs w:val="32"/>
          <w:shd w:val="clear" w:color="auto" w:fill="FFFFFF"/>
          <w:lang w:val="en-US" w:eastAsia="zh-CN"/>
        </w:rPr>
        <w:t>坚持系统观念，加强前瞻性思考、全局性谋划、战略性布局、整体性推进，统筹冷链物流运行、服务、监管、支撑体系建设，优化冷链物流设施布局与运行网络结构。针对产运销各主要环节、冷链产品重点品类冷链物流运作特点，因势利导，精准施策，系统推动不同地区、不同品类冷链物流高质量发展。</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创新引领，提质增效。</w:t>
      </w:r>
      <w:r>
        <w:rPr>
          <w:rFonts w:hint="eastAsia" w:ascii="Times New Roman" w:hAnsi="Times New Roman" w:eastAsia="方正仿宋_GBK" w:cs="Times New Roman"/>
          <w:color w:val="191919"/>
          <w:sz w:val="32"/>
          <w:szCs w:val="32"/>
          <w:shd w:val="clear" w:color="auto" w:fill="FFFFFF"/>
          <w:lang w:val="en-US" w:eastAsia="zh-CN"/>
        </w:rPr>
        <w:t>坚持创新发展，注重科技赋能，促进各类创新要素向企业集聚，着力推动冷链物流系统优化与集成创新，激发内生发展动力。推进冷链物流技术工艺、业态模式、经营管理、监管方式创新，提高服务品质和价值创造能力，提升行业运行效率和发展效能。</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绿色智慧，安全可靠。</w:t>
      </w:r>
      <w:r>
        <w:rPr>
          <w:rFonts w:hint="eastAsia" w:ascii="Times New Roman" w:hAnsi="Times New Roman" w:eastAsia="方正仿宋_GBK" w:cs="Times New Roman"/>
          <w:color w:val="191919"/>
          <w:sz w:val="32"/>
          <w:szCs w:val="32"/>
          <w:shd w:val="clear" w:color="auto" w:fill="FFFFFF"/>
          <w:lang w:val="en-US" w:eastAsia="zh-CN"/>
        </w:rPr>
        <w:t>顺应绿色生产生活方式发展趋势和推进碳达峰、碳中和需要，把绿色发展理念贯穿到冷链物流全链条、各领域，以数字化转型整体驱动冷链物流运行管理和治理方式变革，提升行业绿色智慧发展水平。坚守安全底线，压实各方责任，强化行业监管，加强冷链风险预警防控机制和应急处置能力建设，提高冷链产品安全保障水平。</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80" w:name="_Toc23550"/>
      <w:bookmarkStart w:id="81" w:name="_Toc3751"/>
      <w:bookmarkStart w:id="82" w:name="_Toc3107"/>
      <w:bookmarkStart w:id="83" w:name="_Toc66100817"/>
      <w:bookmarkStart w:id="84" w:name="_Toc66101649"/>
      <w:bookmarkStart w:id="85" w:name="_Toc24905"/>
      <w:bookmarkStart w:id="86" w:name="_Toc25478"/>
      <w:bookmarkStart w:id="87" w:name="_Toc550"/>
      <w:bookmarkStart w:id="88" w:name="_Toc16232"/>
      <w:bookmarkStart w:id="89" w:name="_Toc66101460"/>
      <w:r>
        <w:rPr>
          <w:rFonts w:hint="eastAsia" w:ascii="Times New Roman" w:hAnsi="Times New Roman" w:eastAsia="方正楷体_GBK" w:cs="Times New Roman"/>
          <w:b w:val="0"/>
          <w:bCs/>
          <w:color w:val="000000"/>
          <w:spacing w:val="-6"/>
          <w:lang w:val="en-US" w:eastAsia="zh-CN"/>
        </w:rPr>
        <w:t>第三节  发展目标</w:t>
      </w:r>
      <w:bookmarkEnd w:id="80"/>
      <w:bookmarkEnd w:id="81"/>
      <w:bookmarkEnd w:id="82"/>
      <w:bookmarkEnd w:id="83"/>
      <w:bookmarkEnd w:id="84"/>
      <w:bookmarkEnd w:id="85"/>
      <w:bookmarkEnd w:id="86"/>
      <w:bookmarkEnd w:id="87"/>
      <w:bookmarkEnd w:id="88"/>
      <w:bookmarkEnd w:id="8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val="en-US" w:eastAsia="zh-CN"/>
        </w:rPr>
      </w:pPr>
      <w:r>
        <w:rPr>
          <w:rFonts w:hint="eastAsia" w:ascii="Times New Roman" w:hAnsi="Times New Roman" w:eastAsia="方正仿宋_GBK"/>
          <w:color w:val="191919"/>
          <w:sz w:val="32"/>
          <w:szCs w:val="32"/>
          <w:shd w:val="clear" w:color="auto" w:fill="FFFFFF"/>
        </w:rPr>
        <w:t>到2025年，</w:t>
      </w:r>
      <w:r>
        <w:rPr>
          <w:rFonts w:hint="eastAsia" w:ascii="Times New Roman" w:hAnsi="Times New Roman" w:eastAsia="方正仿宋_GBK"/>
          <w:color w:val="191919"/>
          <w:sz w:val="32"/>
          <w:szCs w:val="32"/>
          <w:shd w:val="clear" w:color="auto" w:fill="FFFFFF"/>
          <w:lang w:val="en-US" w:eastAsia="zh-CN"/>
        </w:rPr>
        <w:t>基本建成布局合理、畅通高效、安全绿色、智慧便捷、保障有力的现代冷链物流体系，有力支撑内陆国际物流枢纽和口岸高地建设，对国民经济和社会发展的支撑保障作用显著增强。</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lang w:eastAsia="zh-CN"/>
        </w:rPr>
      </w:pPr>
      <w:r>
        <w:rPr>
          <w:rFonts w:hint="eastAsia" w:ascii="Times New Roman" w:hAnsi="Times New Roman" w:eastAsia="方正黑体_GBK" w:cs="方正黑体_GBK"/>
          <w:color w:val="191919"/>
          <w:sz w:val="32"/>
          <w:szCs w:val="32"/>
          <w:shd w:val="clear" w:color="auto" w:fill="FFFFFF"/>
          <w:lang w:val="en-US" w:eastAsia="zh-CN"/>
        </w:rPr>
        <w:t>保障能力显著增强。</w:t>
      </w:r>
      <w:r>
        <w:rPr>
          <w:rFonts w:hint="eastAsia" w:ascii="Times New Roman" w:hAnsi="Times New Roman" w:eastAsia="方正仿宋_GBK"/>
          <w:color w:val="191919"/>
          <w:sz w:val="32"/>
          <w:szCs w:val="32"/>
          <w:shd w:val="clear" w:color="auto" w:fill="FFFFFF"/>
        </w:rPr>
        <w:t>全市冷库库容规模达</w:t>
      </w:r>
      <w:r>
        <w:rPr>
          <w:rFonts w:hint="eastAsia" w:ascii="Times New Roman" w:hAnsi="Times New Roman" w:eastAsia="方正仿宋_GBK"/>
          <w:color w:val="191919"/>
          <w:sz w:val="32"/>
          <w:szCs w:val="32"/>
          <w:shd w:val="clear" w:color="auto" w:fill="FFFFFF"/>
          <w:lang w:val="en-US" w:eastAsia="zh-CN"/>
        </w:rPr>
        <w:t>280</w:t>
      </w:r>
      <w:r>
        <w:rPr>
          <w:rFonts w:hint="eastAsia" w:ascii="Times New Roman" w:hAnsi="Times New Roman" w:eastAsia="方正仿宋_GBK"/>
          <w:color w:val="191919"/>
          <w:sz w:val="32"/>
          <w:szCs w:val="32"/>
          <w:shd w:val="clear" w:color="auto" w:fill="FFFFFF"/>
        </w:rPr>
        <w:t>万吨</w:t>
      </w:r>
      <w:r>
        <w:rPr>
          <w:rFonts w:hint="eastAsia" w:ascii="Times New Roman" w:hAnsi="Times New Roman" w:eastAsia="方正仿宋_GBK"/>
          <w:color w:val="191919"/>
          <w:sz w:val="32"/>
          <w:szCs w:val="32"/>
          <w:shd w:val="clear" w:color="auto" w:fill="FFFFFF"/>
          <w:lang w:val="en-US" w:eastAsia="zh-CN"/>
        </w:rPr>
        <w:t>以上</w:t>
      </w:r>
      <w:r>
        <w:rPr>
          <w:rFonts w:hint="eastAsia" w:ascii="Times New Roman" w:hAnsi="Times New Roman" w:eastAsia="方正仿宋_GBK"/>
          <w:color w:val="191919"/>
          <w:sz w:val="32"/>
          <w:szCs w:val="32"/>
          <w:shd w:val="clear" w:color="auto" w:fill="FFFFFF"/>
        </w:rPr>
        <w:t>，冷藏车保有量力争达5000辆</w:t>
      </w:r>
      <w:r>
        <w:rPr>
          <w:rFonts w:hint="eastAsia" w:ascii="Times New Roman" w:hAnsi="Times New Roman" w:eastAsia="方正仿宋_GBK"/>
          <w:color w:val="191919"/>
          <w:sz w:val="32"/>
          <w:szCs w:val="32"/>
          <w:shd w:val="clear" w:color="auto" w:fill="FFFFFF"/>
          <w:lang w:val="en-US" w:eastAsia="zh-CN"/>
        </w:rPr>
        <w:t>以上</w:t>
      </w:r>
      <w:r>
        <w:rPr>
          <w:rFonts w:hint="eastAsia" w:ascii="Times New Roman" w:hAnsi="Times New Roman" w:eastAsia="方正仿宋_GBK"/>
          <w:color w:val="191919"/>
          <w:sz w:val="32"/>
          <w:szCs w:val="32"/>
          <w:shd w:val="clear" w:color="auto" w:fill="FFFFFF"/>
        </w:rPr>
        <w:t>，</w:t>
      </w:r>
      <w:r>
        <w:rPr>
          <w:rFonts w:hint="eastAsia" w:ascii="Times New Roman" w:hAnsi="Times New Roman" w:eastAsia="方正仿宋_GBK"/>
          <w:color w:val="191919"/>
          <w:sz w:val="32"/>
          <w:szCs w:val="32"/>
          <w:shd w:val="clear" w:color="auto" w:fill="FFFFFF"/>
          <w:lang w:val="en-US" w:eastAsia="zh-CN"/>
        </w:rPr>
        <w:t>肉类、果蔬等适冷产地商品</w:t>
      </w:r>
      <w:r>
        <w:rPr>
          <w:rFonts w:hint="eastAsia" w:ascii="Times New Roman" w:hAnsi="Times New Roman" w:eastAsia="方正仿宋_GBK"/>
          <w:color w:val="191919"/>
          <w:sz w:val="32"/>
          <w:szCs w:val="32"/>
          <w:shd w:val="clear" w:color="auto" w:fill="FFFFFF"/>
        </w:rPr>
        <w:t>冷链</w:t>
      </w:r>
      <w:r>
        <w:rPr>
          <w:rFonts w:hint="eastAsia" w:ascii="Times New Roman" w:hAnsi="Times New Roman" w:eastAsia="方正仿宋_GBK"/>
          <w:color w:val="191919"/>
          <w:sz w:val="32"/>
          <w:szCs w:val="32"/>
          <w:shd w:val="clear" w:color="auto" w:fill="FFFFFF"/>
          <w:lang w:val="en-US" w:eastAsia="zh-CN"/>
        </w:rPr>
        <w:t>运输率分别达到85</w:t>
      </w:r>
      <w:r>
        <w:rPr>
          <w:rFonts w:hint="eastAsia" w:ascii="Times New Roman" w:hAnsi="Times New Roman" w:eastAsia="方正仿宋_GBK"/>
          <w:color w:val="191919"/>
          <w:sz w:val="32"/>
          <w:szCs w:val="32"/>
          <w:shd w:val="clear" w:color="auto" w:fill="FFFFFF"/>
        </w:rPr>
        <w:t>%</w:t>
      </w:r>
      <w:r>
        <w:rPr>
          <w:rFonts w:hint="eastAsia" w:ascii="Times New Roman" w:hAnsi="Times New Roman" w:eastAsia="方正仿宋_GBK"/>
          <w:color w:val="191919"/>
          <w:sz w:val="32"/>
          <w:szCs w:val="32"/>
          <w:shd w:val="clear" w:color="auto" w:fill="FFFFFF"/>
          <w:lang w:eastAsia="zh-CN"/>
        </w:rPr>
        <w:t>、</w:t>
      </w:r>
      <w:r>
        <w:rPr>
          <w:rFonts w:hint="eastAsia" w:ascii="Times New Roman" w:hAnsi="Times New Roman" w:eastAsia="方正仿宋_GBK"/>
          <w:color w:val="191919"/>
          <w:sz w:val="32"/>
          <w:szCs w:val="32"/>
          <w:shd w:val="clear" w:color="auto" w:fill="FFFFFF"/>
          <w:lang w:val="en-US" w:eastAsia="zh-CN"/>
        </w:rPr>
        <w:t>30%，农产品产后损失和食品流通浪费显著减少，</w:t>
      </w:r>
      <w:r>
        <w:rPr>
          <w:rFonts w:hint="eastAsia" w:ascii="Times New Roman" w:hAnsi="Times New Roman" w:eastAsia="方正仿宋_GBK"/>
          <w:color w:val="191919"/>
          <w:sz w:val="32"/>
          <w:szCs w:val="32"/>
          <w:shd w:val="clear" w:color="auto" w:fill="FFFFFF"/>
        </w:rPr>
        <w:t>基本实现人均日消费1千克冷链产品标准</w:t>
      </w:r>
      <w:r>
        <w:rPr>
          <w:rFonts w:hint="eastAsia" w:ascii="Times New Roman" w:hAnsi="Times New Roman" w:eastAsia="方正仿宋_GBK"/>
          <w:color w:val="191919"/>
          <w:sz w:val="32"/>
          <w:szCs w:val="32"/>
          <w:shd w:val="clear" w:color="auto" w:fill="FFFFFF"/>
          <w:lang w:eastAsia="zh-CN"/>
        </w:rPr>
        <w:t>。</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olor w:val="191919"/>
          <w:sz w:val="32"/>
          <w:szCs w:val="32"/>
          <w:shd w:val="clear" w:color="auto" w:fill="FFFFFF"/>
        </w:rPr>
      </w:pPr>
      <w:r>
        <w:rPr>
          <w:rFonts w:hint="eastAsia" w:ascii="Times New Roman" w:hAnsi="Times New Roman" w:eastAsia="方正黑体_GBK" w:cs="方正黑体_GBK"/>
          <w:color w:val="191919"/>
          <w:sz w:val="32"/>
          <w:szCs w:val="32"/>
          <w:shd w:val="clear" w:color="auto" w:fill="FFFFFF"/>
          <w:lang w:val="en-US" w:eastAsia="zh-CN"/>
        </w:rPr>
        <w:t>设施网络实现全覆盖。</w:t>
      </w:r>
      <w:r>
        <w:rPr>
          <w:rFonts w:hint="eastAsia" w:ascii="Times New Roman" w:hAnsi="Times New Roman" w:eastAsia="方正仿宋_GBK" w:cs="Times New Roman"/>
          <w:color w:val="191919"/>
          <w:sz w:val="32"/>
          <w:szCs w:val="32"/>
          <w:shd w:val="clear" w:color="auto" w:fill="FFFFFF"/>
          <w:lang w:val="en-US" w:eastAsia="zh-CN"/>
        </w:rPr>
        <w:t>建成5个一级冷链物流节点、20个以上二级冷链节点、N个三级冷链</w:t>
      </w:r>
      <w:r>
        <w:rPr>
          <w:rFonts w:hint="eastAsia" w:ascii="Times New Roman" w:hAnsi="Times New Roman" w:eastAsia="方正仿宋_GBK"/>
          <w:color w:val="191919"/>
          <w:sz w:val="32"/>
          <w:szCs w:val="32"/>
          <w:shd w:val="clear" w:color="auto" w:fill="FFFFFF"/>
          <w:lang w:val="en-US" w:eastAsia="zh-CN"/>
        </w:rPr>
        <w:t>物流节点</w:t>
      </w:r>
      <w:r>
        <w:rPr>
          <w:rFonts w:hint="eastAsia" w:ascii="Times New Roman" w:hAnsi="Times New Roman" w:eastAsia="方正仿宋_GBK"/>
          <w:color w:val="191919"/>
          <w:sz w:val="32"/>
          <w:szCs w:val="32"/>
          <w:shd w:val="clear" w:color="auto" w:fill="FFFFFF"/>
        </w:rPr>
        <w:t>，</w:t>
      </w:r>
      <w:r>
        <w:rPr>
          <w:rFonts w:hint="eastAsia" w:ascii="Times New Roman" w:hAnsi="Times New Roman" w:eastAsia="方正仿宋_GBK" w:cs="Times New Roman"/>
          <w:color w:val="191919"/>
          <w:sz w:val="32"/>
          <w:szCs w:val="32"/>
          <w:shd w:val="clear" w:color="auto" w:fill="FFFFFF"/>
          <w:lang w:val="en-US" w:eastAsia="zh-CN"/>
        </w:rPr>
        <w:t>初步形成衔接产地销地、覆盖城乡、联通国内外的冷链物流网络，</w:t>
      </w:r>
      <w:r>
        <w:rPr>
          <w:rFonts w:hint="eastAsia" w:ascii="Times New Roman" w:hAnsi="Times New Roman" w:eastAsia="方正仿宋_GBK"/>
          <w:color w:val="191919"/>
          <w:sz w:val="32"/>
          <w:szCs w:val="32"/>
          <w:shd w:val="clear" w:color="auto" w:fill="FFFFFF"/>
          <w:lang w:val="en-US" w:eastAsia="zh-CN"/>
        </w:rPr>
        <w:t>基本</w:t>
      </w:r>
      <w:r>
        <w:rPr>
          <w:rFonts w:hint="eastAsia" w:ascii="Times New Roman" w:hAnsi="Times New Roman" w:eastAsia="方正仿宋_GBK"/>
          <w:color w:val="191919"/>
          <w:sz w:val="32"/>
          <w:szCs w:val="32"/>
          <w:shd w:val="clear" w:color="auto" w:fill="FFFFFF"/>
        </w:rPr>
        <w:t>满足城市居民2公里以内、农村居民5公里以内采购冷鲜食品商品需求</w:t>
      </w:r>
      <w:r>
        <w:rPr>
          <w:rFonts w:hint="eastAsia" w:ascii="Times New Roman" w:hAnsi="Times New Roman" w:eastAsia="方正仿宋_GBK"/>
          <w:color w:val="191919"/>
          <w:sz w:val="32"/>
          <w:szCs w:val="32"/>
          <w:shd w:val="clear" w:color="auto" w:fill="FFFFFF"/>
          <w:lang w:eastAsia="zh-CN"/>
        </w:rPr>
        <w:t>。</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发展质量显著提高。</w:t>
      </w:r>
      <w:r>
        <w:rPr>
          <w:rFonts w:hint="eastAsia" w:ascii="Times New Roman" w:hAnsi="Times New Roman" w:eastAsia="方正仿宋_GBK" w:cs="Times New Roman"/>
          <w:color w:val="191919"/>
          <w:sz w:val="32"/>
          <w:szCs w:val="32"/>
          <w:shd w:val="clear" w:color="auto" w:fill="FFFFFF"/>
          <w:lang w:val="en-US" w:eastAsia="zh-CN"/>
        </w:rPr>
        <w:t>冷链设施区域布局更加优化、结构发展更加合理、功能类型更加完善。冷链物流规模化组织效率大幅提升，成本水平显著降低。精细化、多元化、品质化冷链物流服务能力显著增强，形成2-3家具有较强竞争力的大型冷链龙头企业。冷链物流标准化、智慧化、绿色化水平明显提高。</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rPr>
      </w:pPr>
      <w:r>
        <w:rPr>
          <w:rFonts w:hint="eastAsia" w:ascii="Times New Roman" w:hAnsi="Times New Roman" w:eastAsia="方正黑体_GBK" w:cs="方正黑体_GBK"/>
          <w:color w:val="191919"/>
          <w:sz w:val="32"/>
          <w:szCs w:val="32"/>
          <w:shd w:val="clear" w:color="auto" w:fill="FFFFFF"/>
          <w:lang w:val="en-US" w:eastAsia="zh-CN"/>
        </w:rPr>
        <w:t>监管体系更加完备。</w:t>
      </w:r>
      <w:r>
        <w:rPr>
          <w:rFonts w:hint="eastAsia" w:ascii="Times New Roman" w:hAnsi="Times New Roman" w:eastAsia="方正仿宋_GBK" w:cs="Times New Roman"/>
          <w:color w:val="191919"/>
          <w:sz w:val="32"/>
          <w:szCs w:val="32"/>
          <w:shd w:val="clear" w:color="auto" w:fill="FFFFFF"/>
          <w:lang w:val="en-US" w:eastAsia="zh-CN"/>
        </w:rPr>
        <w:t>基本建立“政府监管、企业自管、行业自律、社会监督”的监管机制，</w:t>
      </w:r>
      <w:r>
        <w:rPr>
          <w:rFonts w:hint="eastAsia" w:ascii="Times New Roman" w:hAnsi="Times New Roman" w:eastAsia="方正仿宋_GBK" w:cs="Times New Roman"/>
          <w:color w:val="191919"/>
          <w:sz w:val="32"/>
          <w:szCs w:val="32"/>
          <w:shd w:val="clear" w:color="auto" w:fill="FFFFFF"/>
        </w:rPr>
        <w:t>肉类、果蔬、粮油、红酒、海鲜、药品疫苗等商品冷链物流</w:t>
      </w:r>
      <w:r>
        <w:rPr>
          <w:rFonts w:hint="eastAsia" w:ascii="Times New Roman" w:hAnsi="Times New Roman" w:eastAsia="方正仿宋_GBK" w:cs="Times New Roman"/>
          <w:color w:val="191919"/>
          <w:sz w:val="32"/>
          <w:szCs w:val="32"/>
          <w:shd w:val="clear" w:color="auto" w:fill="FFFFFF"/>
          <w:lang w:val="en-US" w:eastAsia="zh-CN"/>
        </w:rPr>
        <w:t>基本</w:t>
      </w:r>
      <w:r>
        <w:rPr>
          <w:rFonts w:hint="eastAsia" w:ascii="Times New Roman" w:hAnsi="Times New Roman" w:eastAsia="方正仿宋_GBK" w:cs="Times New Roman"/>
          <w:color w:val="191919"/>
          <w:sz w:val="32"/>
          <w:szCs w:val="32"/>
          <w:shd w:val="clear" w:color="auto" w:fill="FFFFFF"/>
        </w:rPr>
        <w:t>实现“全覆盖”，政府对冷链物流的行业管理“全链条”，企业生产、存储、运输、销售全程“无断链”，市民扫码了解冷链“全环节”，形成全方位、立体化、精准高效的冷链物流监管体系。</w:t>
      </w:r>
    </w:p>
    <w:p>
      <w:pPr>
        <w:pStyle w:val="13"/>
        <w:shd w:val="clear" w:color="auto" w:fill="FFFFFF"/>
        <w:adjustRightInd w:val="0"/>
        <w:snapToGrid w:val="0"/>
        <w:spacing w:before="0" w:beforeAutospacing="0" w:after="0" w:afterAutospacing="0" w:line="580" w:lineRule="exact"/>
        <w:ind w:firstLine="640" w:firstLineChars="200"/>
        <w:jc w:val="center"/>
        <w:rPr>
          <w:rFonts w:hint="default" w:ascii="Times New Roman" w:hAnsi="Times New Roman" w:eastAsia="方正仿宋_GBK"/>
          <w:color w:val="191919"/>
          <w:sz w:val="32"/>
          <w:szCs w:val="32"/>
          <w:shd w:val="clear" w:color="auto" w:fill="FFFFFF"/>
          <w:lang w:val="en-US" w:eastAsia="zh-CN"/>
        </w:rPr>
      </w:pPr>
      <w:r>
        <w:rPr>
          <w:rFonts w:hint="eastAsia" w:ascii="方正黑体_GBK" w:hAnsi="方正黑体_GBK" w:eastAsia="方正黑体_GBK" w:cs="方正黑体_GBK"/>
          <w:color w:val="191919"/>
          <w:sz w:val="32"/>
          <w:szCs w:val="32"/>
          <w:shd w:val="clear" w:color="auto" w:fill="FFFFFF"/>
          <w:lang w:val="en-US" w:eastAsia="zh-CN"/>
        </w:rPr>
        <w:t>表2-1  “十四五”冷链物流发展主要指标</w:t>
      </w:r>
    </w:p>
    <w:tbl>
      <w:tblPr>
        <w:tblStyle w:val="14"/>
        <w:tblW w:w="4997" w:type="pct"/>
        <w:tblInd w:w="0" w:type="dxa"/>
        <w:tblLayout w:type="autofit"/>
        <w:tblCellMar>
          <w:top w:w="0" w:type="dxa"/>
          <w:left w:w="108" w:type="dxa"/>
          <w:bottom w:w="0" w:type="dxa"/>
          <w:right w:w="108" w:type="dxa"/>
        </w:tblCellMar>
      </w:tblPr>
      <w:tblGrid>
        <w:gridCol w:w="905"/>
        <w:gridCol w:w="5119"/>
        <w:gridCol w:w="1515"/>
        <w:gridCol w:w="1517"/>
      </w:tblGrid>
      <w:tr>
        <w:trPr>
          <w:trHeight w:val="227" w:hRule="atLeast"/>
          <w:tblHeader/>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30"/>
                <w:szCs w:val="30"/>
                <w:u w:val="none"/>
              </w:rPr>
            </w:pPr>
            <w:r>
              <w:rPr>
                <w:rFonts w:hint="eastAsia" w:ascii="方正仿宋_GBK" w:hAnsi="方正仿宋_GBK" w:eastAsia="方正仿宋_GBK" w:cs="方正仿宋_GBK"/>
                <w:b/>
                <w:bCs/>
                <w:i w:val="0"/>
                <w:iCs w:val="0"/>
                <w:color w:val="000000"/>
                <w:kern w:val="0"/>
                <w:sz w:val="30"/>
                <w:szCs w:val="30"/>
                <w:u w:val="none"/>
                <w:lang w:val="en-US" w:eastAsia="zh-CN" w:bidi="ar"/>
              </w:rPr>
              <w:t>序号</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30"/>
                <w:szCs w:val="30"/>
                <w:u w:val="none"/>
              </w:rPr>
            </w:pPr>
            <w:r>
              <w:rPr>
                <w:rFonts w:hint="eastAsia" w:ascii="方正仿宋_GBK" w:hAnsi="方正仿宋_GBK" w:eastAsia="方正仿宋_GBK" w:cs="方正仿宋_GBK"/>
                <w:b/>
                <w:bCs/>
                <w:i w:val="0"/>
                <w:iCs w:val="0"/>
                <w:color w:val="000000"/>
                <w:kern w:val="0"/>
                <w:sz w:val="30"/>
                <w:szCs w:val="30"/>
                <w:u w:val="none"/>
                <w:lang w:val="en-US" w:eastAsia="zh-CN" w:bidi="ar"/>
              </w:rPr>
              <w:t>指标名称</w:t>
            </w:r>
          </w:p>
        </w:tc>
        <w:tc>
          <w:tcPr>
            <w:tcW w:w="8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30"/>
                <w:szCs w:val="30"/>
                <w:u w:val="none"/>
              </w:rPr>
            </w:pPr>
            <w:r>
              <w:rPr>
                <w:rFonts w:hint="eastAsia" w:ascii="方正仿宋_GBK" w:hAnsi="方正仿宋_GBK" w:eastAsia="方正仿宋_GBK" w:cs="方正仿宋_GBK"/>
                <w:b/>
                <w:bCs/>
                <w:i w:val="0"/>
                <w:iCs w:val="0"/>
                <w:color w:val="000000"/>
                <w:kern w:val="0"/>
                <w:sz w:val="30"/>
                <w:szCs w:val="30"/>
                <w:u w:val="none"/>
                <w:lang w:val="en-US" w:eastAsia="zh-CN" w:bidi="ar"/>
              </w:rPr>
              <w:t>2020年</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30"/>
                <w:szCs w:val="30"/>
                <w:u w:val="none"/>
              </w:rPr>
            </w:pPr>
            <w:r>
              <w:rPr>
                <w:rFonts w:hint="eastAsia" w:ascii="方正仿宋_GBK" w:hAnsi="方正仿宋_GBK" w:eastAsia="方正仿宋_GBK" w:cs="方正仿宋_GBK"/>
                <w:b/>
                <w:bCs/>
                <w:i w:val="0"/>
                <w:iCs w:val="0"/>
                <w:color w:val="000000"/>
                <w:kern w:val="0"/>
                <w:sz w:val="30"/>
                <w:szCs w:val="30"/>
                <w:u w:val="none"/>
                <w:lang w:val="en-US" w:eastAsia="zh-CN" w:bidi="ar"/>
              </w:rPr>
              <w:t>2025年</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1</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冷库容量（万吨）</w:t>
            </w:r>
          </w:p>
        </w:tc>
        <w:tc>
          <w:tcPr>
            <w:tcW w:w="8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191</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default" w:ascii="方正仿宋_GBK" w:hAnsi="方正仿宋_GBK" w:eastAsia="方正仿宋_GBK" w:cs="方正仿宋_GBK"/>
                <w:i w:val="0"/>
                <w:iCs w:val="0"/>
                <w:color w:val="000000"/>
                <w:kern w:val="0"/>
                <w:sz w:val="30"/>
                <w:szCs w:val="30"/>
                <w:u w:val="none"/>
                <w:lang w:val="en-US" w:eastAsia="zh-CN" w:bidi="ar"/>
              </w:rPr>
              <w:t>≥</w:t>
            </w:r>
            <w:r>
              <w:rPr>
                <w:rFonts w:hint="eastAsia" w:ascii="方正仿宋_GBK" w:hAnsi="方正仿宋_GBK" w:eastAsia="方正仿宋_GBK" w:cs="方正仿宋_GBK"/>
                <w:i w:val="0"/>
                <w:iCs w:val="0"/>
                <w:color w:val="000000"/>
                <w:kern w:val="0"/>
                <w:sz w:val="30"/>
                <w:szCs w:val="30"/>
                <w:u w:val="none"/>
                <w:lang w:val="en-US" w:eastAsia="zh-CN" w:bidi="ar"/>
              </w:rPr>
              <w:t>280</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2</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冷藏运输车辆总量（辆）</w:t>
            </w:r>
          </w:p>
        </w:tc>
        <w:tc>
          <w:tcPr>
            <w:tcW w:w="8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2699</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5000</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3</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肉类产地冷链运输率（%）</w:t>
            </w:r>
          </w:p>
        </w:tc>
        <w:tc>
          <w:tcPr>
            <w:tcW w:w="83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30"/>
                <w:szCs w:val="30"/>
                <w:u w:val="none"/>
                <w:lang w:val="en-US"/>
              </w:rPr>
            </w:pPr>
            <w:r>
              <w:rPr>
                <w:rFonts w:hint="default" w:ascii="方正仿宋_GBK" w:hAnsi="方正仿宋_GBK" w:eastAsia="方正仿宋_GBK" w:cs="方正仿宋_GBK"/>
                <w:i w:val="0"/>
                <w:iCs w:val="0"/>
                <w:color w:val="000000"/>
                <w:kern w:val="0"/>
                <w:sz w:val="30"/>
                <w:szCs w:val="30"/>
                <w:u w:val="none"/>
                <w:lang w:val="en-US" w:eastAsia="zh-CN" w:bidi="ar"/>
              </w:rPr>
              <w:t>≥</w:t>
            </w:r>
            <w:r>
              <w:rPr>
                <w:rFonts w:hint="eastAsia" w:ascii="方正仿宋_GBK" w:hAnsi="方正仿宋_GBK" w:eastAsia="方正仿宋_GBK" w:cs="方正仿宋_GBK"/>
                <w:i w:val="0"/>
                <w:iCs w:val="0"/>
                <w:color w:val="000000"/>
                <w:kern w:val="0"/>
                <w:sz w:val="30"/>
                <w:szCs w:val="30"/>
                <w:u w:val="none"/>
                <w:lang w:val="en-US" w:eastAsia="zh-CN" w:bidi="ar"/>
              </w:rPr>
              <w:t>85</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4</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果蔬适冷产地商品冷链运输率（%）</w:t>
            </w:r>
          </w:p>
        </w:tc>
        <w:tc>
          <w:tcPr>
            <w:tcW w:w="83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default" w:ascii="方正仿宋_GBK" w:hAnsi="方正仿宋_GBK" w:eastAsia="方正仿宋_GBK" w:cs="方正仿宋_GBK"/>
                <w:i w:val="0"/>
                <w:iCs w:val="0"/>
                <w:color w:val="000000"/>
                <w:kern w:val="0"/>
                <w:sz w:val="30"/>
                <w:szCs w:val="30"/>
                <w:u w:val="none"/>
                <w:lang w:val="en-US" w:eastAsia="zh-CN" w:bidi="ar"/>
              </w:rPr>
              <w:t>≥</w:t>
            </w:r>
            <w:r>
              <w:rPr>
                <w:rFonts w:hint="eastAsia" w:ascii="方正仿宋_GBK" w:hAnsi="方正仿宋_GBK" w:eastAsia="方正仿宋_GBK" w:cs="方正仿宋_GBK"/>
                <w:i w:val="0"/>
                <w:iCs w:val="0"/>
                <w:color w:val="000000"/>
                <w:kern w:val="0"/>
                <w:sz w:val="30"/>
                <w:szCs w:val="30"/>
                <w:u w:val="none"/>
                <w:lang w:val="en-US" w:eastAsia="zh-CN" w:bidi="ar"/>
              </w:rPr>
              <w:t>40</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5</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流通环节腐损率（%）</w:t>
            </w:r>
          </w:p>
        </w:tc>
        <w:tc>
          <w:tcPr>
            <w:tcW w:w="83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18</w:t>
            </w:r>
          </w:p>
        </w:tc>
        <w:tc>
          <w:tcPr>
            <w:tcW w:w="837"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≤14</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30"/>
                <w:szCs w:val="30"/>
                <w:u w:val="none"/>
                <w:lang w:val="en-US" w:eastAsia="zh-CN"/>
              </w:rPr>
            </w:pPr>
            <w:r>
              <w:rPr>
                <w:rFonts w:hint="eastAsia" w:ascii="方正仿宋_GBK" w:hAnsi="方正仿宋_GBK" w:eastAsia="方正仿宋_GBK" w:cs="方正仿宋_GBK"/>
                <w:i w:val="0"/>
                <w:iCs w:val="0"/>
                <w:color w:val="000000"/>
                <w:sz w:val="30"/>
                <w:szCs w:val="30"/>
                <w:u w:val="none"/>
                <w:lang w:val="en-US" w:eastAsia="zh-CN"/>
              </w:rPr>
              <w:t>6</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建成一节冷链物流节点（个）</w:t>
            </w:r>
          </w:p>
        </w:tc>
        <w:tc>
          <w:tcPr>
            <w:tcW w:w="83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w:t>
            </w:r>
          </w:p>
        </w:tc>
        <w:tc>
          <w:tcPr>
            <w:tcW w:w="837"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30"/>
                <w:szCs w:val="30"/>
                <w:u w:val="none"/>
              </w:rPr>
            </w:pPr>
            <w:r>
              <w:rPr>
                <w:rFonts w:hint="eastAsia" w:ascii="方正仿宋_GBK" w:hAnsi="方正仿宋_GBK" w:eastAsia="方正仿宋_GBK" w:cs="方正仿宋_GBK"/>
                <w:i w:val="0"/>
                <w:iCs w:val="0"/>
                <w:color w:val="000000"/>
                <w:kern w:val="0"/>
                <w:sz w:val="30"/>
                <w:szCs w:val="30"/>
                <w:u w:val="none"/>
                <w:lang w:val="en-US" w:eastAsia="zh-CN" w:bidi="ar"/>
              </w:rPr>
              <w:t>5</w:t>
            </w:r>
          </w:p>
        </w:tc>
      </w:tr>
      <w:tr>
        <w:trPr>
          <w:trHeight w:val="227"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30"/>
                <w:szCs w:val="30"/>
                <w:u w:val="none"/>
                <w:lang w:val="en-US" w:eastAsia="zh-CN" w:bidi="ar"/>
              </w:rPr>
            </w:pPr>
            <w:r>
              <w:rPr>
                <w:rFonts w:hint="eastAsia" w:ascii="方正仿宋_GBK" w:hAnsi="方正仿宋_GBK" w:eastAsia="方正仿宋_GBK" w:cs="方正仿宋_GBK"/>
                <w:i w:val="0"/>
                <w:iCs w:val="0"/>
                <w:color w:val="000000"/>
                <w:kern w:val="0"/>
                <w:sz w:val="30"/>
                <w:szCs w:val="30"/>
                <w:u w:val="none"/>
                <w:lang w:val="en-US" w:eastAsia="zh-CN" w:bidi="ar"/>
              </w:rPr>
              <w:t>7</w:t>
            </w:r>
          </w:p>
        </w:tc>
        <w:tc>
          <w:tcPr>
            <w:tcW w:w="28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方正仿宋_GBK" w:hAnsi="方正仿宋_GBK" w:eastAsia="方正仿宋_GBK" w:cs="方正仿宋_GBK"/>
                <w:i w:val="0"/>
                <w:iCs w:val="0"/>
                <w:color w:val="000000"/>
                <w:kern w:val="0"/>
                <w:sz w:val="30"/>
                <w:szCs w:val="30"/>
                <w:u w:val="none"/>
                <w:lang w:val="en-US" w:eastAsia="zh-CN" w:bidi="ar"/>
              </w:rPr>
            </w:pPr>
            <w:r>
              <w:rPr>
                <w:rFonts w:hint="eastAsia" w:ascii="方正仿宋_GBK" w:hAnsi="方正仿宋_GBK" w:eastAsia="方正仿宋_GBK" w:cs="方正仿宋_GBK"/>
                <w:i w:val="0"/>
                <w:iCs w:val="0"/>
                <w:color w:val="000000"/>
                <w:kern w:val="0"/>
                <w:sz w:val="30"/>
                <w:szCs w:val="30"/>
                <w:u w:val="none"/>
                <w:lang w:val="en-US" w:eastAsia="zh-CN" w:bidi="ar"/>
              </w:rPr>
              <w:t>进出口冷链物流规模（万吨）</w:t>
            </w:r>
          </w:p>
        </w:tc>
        <w:tc>
          <w:tcPr>
            <w:tcW w:w="83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方正仿宋_GBK" w:hAnsi="方正仿宋_GBK" w:eastAsia="方正仿宋_GBK" w:cs="方正仿宋_GBK"/>
                <w:i w:val="0"/>
                <w:iCs w:val="0"/>
                <w:color w:val="000000"/>
                <w:kern w:val="0"/>
                <w:sz w:val="30"/>
                <w:szCs w:val="30"/>
                <w:u w:val="none"/>
                <w:lang w:val="en-US" w:eastAsia="zh-CN" w:bidi="ar"/>
              </w:rPr>
            </w:pPr>
            <w:r>
              <w:rPr>
                <w:rFonts w:hint="eastAsia" w:ascii="方正仿宋_GBK" w:hAnsi="方正仿宋_GBK" w:eastAsia="方正仿宋_GBK" w:cs="方正仿宋_GBK"/>
                <w:i w:val="0"/>
                <w:iCs w:val="0"/>
                <w:color w:val="000000"/>
                <w:kern w:val="0"/>
                <w:sz w:val="30"/>
                <w:szCs w:val="30"/>
                <w:u w:val="none"/>
                <w:lang w:val="en-US" w:eastAsia="zh-CN" w:bidi="ar"/>
              </w:rPr>
              <w:t>96</w:t>
            </w:r>
          </w:p>
        </w:tc>
        <w:tc>
          <w:tcPr>
            <w:tcW w:w="837"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方正仿宋_GBK" w:hAnsi="方正仿宋_GBK" w:eastAsia="方正仿宋_GBK" w:cs="方正仿宋_GBK"/>
                <w:i w:val="0"/>
                <w:iCs w:val="0"/>
                <w:color w:val="000000"/>
                <w:kern w:val="0"/>
                <w:sz w:val="30"/>
                <w:szCs w:val="30"/>
                <w:u w:val="none"/>
                <w:lang w:val="en-US" w:eastAsia="zh-CN" w:bidi="ar"/>
              </w:rPr>
            </w:pPr>
            <w:r>
              <w:rPr>
                <w:rFonts w:hint="default" w:ascii="方正仿宋_GBK" w:hAnsi="方正仿宋_GBK" w:eastAsia="方正仿宋_GBK" w:cs="方正仿宋_GBK"/>
                <w:i w:val="0"/>
                <w:iCs w:val="0"/>
                <w:color w:val="000000"/>
                <w:kern w:val="0"/>
                <w:sz w:val="30"/>
                <w:szCs w:val="30"/>
                <w:u w:val="none"/>
                <w:lang w:val="en-US" w:eastAsia="zh-CN" w:bidi="ar"/>
              </w:rPr>
              <w:t>≥</w:t>
            </w:r>
            <w:r>
              <w:rPr>
                <w:rFonts w:hint="eastAsia" w:ascii="方正仿宋_GBK" w:hAnsi="方正仿宋_GBK" w:eastAsia="方正仿宋_GBK" w:cs="方正仿宋_GBK"/>
                <w:i w:val="0"/>
                <w:iCs w:val="0"/>
                <w:color w:val="000000"/>
                <w:kern w:val="0"/>
                <w:sz w:val="30"/>
                <w:szCs w:val="30"/>
                <w:u w:val="none"/>
                <w:lang w:val="en-US" w:eastAsia="zh-CN" w:bidi="ar"/>
              </w:rPr>
              <w:t>120</w:t>
            </w:r>
          </w:p>
        </w:tc>
      </w:tr>
    </w:tbl>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rPr>
      </w:pPr>
      <w:bookmarkStart w:id="90" w:name="_Toc66100818"/>
      <w:bookmarkStart w:id="91" w:name="_Toc13059"/>
      <w:bookmarkStart w:id="92" w:name="_Toc66101461"/>
      <w:bookmarkStart w:id="93" w:name="_Toc8764"/>
      <w:bookmarkStart w:id="94" w:name="_Toc23388"/>
      <w:bookmarkStart w:id="95" w:name="_Toc12915"/>
      <w:bookmarkStart w:id="96" w:name="_Toc66101650"/>
      <w:bookmarkStart w:id="97" w:name="_Toc29011"/>
      <w:bookmarkStart w:id="98" w:name="_Toc9919"/>
      <w:r>
        <w:rPr>
          <w:rFonts w:hint="eastAsia" w:ascii="Times New Roman" w:hAnsi="Times New Roman" w:eastAsia="方正仿宋_GBK" w:cs="Times New Roman"/>
          <w:color w:val="191919"/>
          <w:sz w:val="32"/>
          <w:szCs w:val="32"/>
          <w:shd w:val="clear" w:color="auto" w:fill="FFFFFF"/>
        </w:rPr>
        <w:t>展望2035年，全面建成现代冷链物流体系，设施网络、技术装备、服务质量达到世界先进水平，行业监管和治理能力基本实现现代化，有力支撑现代化经济体系建设，有效满足人民日益增长的美好生活需要。</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黑体_GBK" w:cs="Times New Roman"/>
          <w:color w:val="000000"/>
          <w:sz w:val="32"/>
          <w:szCs w:val="32"/>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99" w:name="_Toc13683"/>
      <w:r>
        <w:rPr>
          <w:rFonts w:hint="eastAsia" w:ascii="Times New Roman" w:hAnsi="Times New Roman" w:eastAsia="方正黑体_GBK" w:cs="Times New Roman"/>
          <w:color w:val="000000"/>
          <w:sz w:val="32"/>
          <w:szCs w:val="32"/>
          <w:lang w:val="en-US" w:eastAsia="zh-CN"/>
        </w:rPr>
        <w:t>第三章  构建</w:t>
      </w:r>
      <w:r>
        <w:rPr>
          <w:rFonts w:hint="eastAsia" w:ascii="Times New Roman" w:eastAsia="方正黑体_GBK" w:cs="Times New Roman"/>
          <w:color w:val="000000"/>
          <w:sz w:val="32"/>
          <w:szCs w:val="32"/>
          <w:lang w:val="en-US" w:eastAsia="zh-CN"/>
        </w:rPr>
        <w:t>一区两廊三节点</w:t>
      </w:r>
      <w:r>
        <w:rPr>
          <w:rFonts w:hint="eastAsia" w:ascii="Times New Roman" w:hAnsi="Times New Roman" w:eastAsia="方正黑体_GBK" w:cs="Times New Roman"/>
          <w:color w:val="000000"/>
          <w:sz w:val="32"/>
          <w:szCs w:val="32"/>
          <w:lang w:val="en-US" w:eastAsia="zh-CN"/>
        </w:rPr>
        <w:t>冷链物流新格局</w:t>
      </w:r>
      <w:bookmarkEnd w:id="99"/>
    </w:p>
    <w:p>
      <w:pPr>
        <w:pStyle w:val="13"/>
        <w:shd w:val="clear" w:color="auto" w:fill="FFFFFF"/>
        <w:adjustRightInd w:val="0"/>
        <w:snapToGrid w:val="0"/>
        <w:spacing w:before="0" w:beforeAutospacing="0" w:after="0" w:afterAutospacing="0" w:line="580" w:lineRule="exact"/>
        <w:ind w:firstLine="640" w:firstLineChars="200"/>
        <w:rPr>
          <w:rFonts w:ascii="宋体" w:hAnsi="宋体" w:eastAsia="宋体" w:cs="宋体"/>
          <w:kern w:val="0"/>
          <w:sz w:val="24"/>
          <w:szCs w:val="24"/>
          <w:lang w:val="en-US" w:eastAsia="zh-CN" w:bidi="ar"/>
        </w:rPr>
      </w:pPr>
      <w:r>
        <w:rPr>
          <w:rFonts w:hint="eastAsia" w:ascii="Times New Roman" w:hAnsi="Times New Roman" w:eastAsia="方正仿宋_GBK"/>
          <w:color w:val="191919"/>
          <w:sz w:val="32"/>
          <w:szCs w:val="32"/>
          <w:shd w:val="clear" w:color="auto" w:fill="FFFFFF"/>
          <w:lang w:val="en-US" w:eastAsia="zh-CN"/>
        </w:rPr>
        <w:t>积极主动服务国家战略，全面融入共建“一带一路”、长江经济带发展、西部陆海新通道建设和西部大开发战略，充分发挥成渝地区双城经济圈核心增长极优势，</w:t>
      </w:r>
      <w:r>
        <w:rPr>
          <w:rFonts w:hint="eastAsia" w:ascii="Times New Roman" w:hAnsi="Times New Roman" w:eastAsia="方正仿宋_GBK" w:cs="Times New Roman"/>
          <w:color w:val="191919"/>
          <w:sz w:val="32"/>
          <w:szCs w:val="32"/>
          <w:shd w:val="clear" w:color="auto" w:fill="FFFFFF"/>
          <w:lang w:val="en-US" w:eastAsia="zh-CN"/>
        </w:rPr>
        <w:t>立足重庆“大山大江”的地理环境、“西密东疏”的人口分布特征，构建以主城都市区为核心区，渝东北、渝东南两大冷链物流发展走廊为支撑，三级冷链物流节点为支点，形成布局合理、结构完善、功能互补、链条完善的“一区、两走廊、三级节点”现代冷链物流发展新格局。</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283835" cy="4058920"/>
            <wp:effectExtent l="0" t="0" r="12065" b="17780"/>
            <wp:docPr id="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56"/>
                    <pic:cNvPicPr>
                      <a:picLocks noChangeAspect="1"/>
                    </pic:cNvPicPr>
                  </pic:nvPicPr>
                  <pic:blipFill>
                    <a:blip r:embed="rId10"/>
                    <a:stretch>
                      <a:fillRect/>
                    </a:stretch>
                  </pic:blipFill>
                  <pic:spPr>
                    <a:xfrm>
                      <a:off x="0" y="0"/>
                      <a:ext cx="5283835" cy="4058920"/>
                    </a:xfrm>
                    <a:prstGeom prst="rect">
                      <a:avLst/>
                    </a:prstGeom>
                    <a:noFill/>
                    <a:ln>
                      <a:noFill/>
                    </a:ln>
                  </pic:spPr>
                </pic:pic>
              </a:graphicData>
            </a:graphic>
          </wp:inline>
        </w:drawing>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rPr>
          <w:rFonts w:hint="eastAsia" w:ascii="黑体" w:hAnsi="黑体" w:eastAsia="黑体" w:cs="黑体"/>
          <w:color w:val="191919"/>
          <w:sz w:val="32"/>
          <w:szCs w:val="32"/>
          <w:shd w:val="clear" w:color="auto" w:fill="FFFFFF"/>
          <w:lang w:val="en-US" w:eastAsia="zh-CN"/>
        </w:rPr>
      </w:pPr>
      <w:r>
        <w:rPr>
          <w:rFonts w:hint="eastAsia" w:ascii="黑体" w:hAnsi="黑体" w:eastAsia="黑体" w:cs="黑体"/>
          <w:color w:val="191919"/>
          <w:sz w:val="32"/>
          <w:szCs w:val="32"/>
          <w:shd w:val="clear" w:color="auto" w:fill="FFFFFF"/>
          <w:lang w:val="en-US" w:eastAsia="zh-CN"/>
        </w:rPr>
        <w:t>图3-1  重庆冷链物流空间布局图</w:t>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rPr>
          <w:rFonts w:hint="eastAsia" w:ascii="黑体" w:hAnsi="黑体" w:eastAsia="黑体" w:cs="黑体"/>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00" w:name="_Toc24374"/>
      <w:r>
        <w:rPr>
          <w:rFonts w:hint="eastAsia" w:ascii="Times New Roman" w:hAnsi="Times New Roman" w:eastAsia="方正楷体_GBK" w:cs="Times New Roman"/>
          <w:b w:val="0"/>
          <w:bCs/>
          <w:color w:val="000000"/>
          <w:spacing w:val="-6"/>
          <w:lang w:val="en-US" w:eastAsia="zh-CN"/>
        </w:rPr>
        <w:t>第一节  建设主城都市区冷链物流核心区</w:t>
      </w:r>
      <w:bookmarkEnd w:id="100"/>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依托国家物流枢纽、骨干冷链物流基地、大型农产品批发市场与连锁超市、大型食品与医药品企业生产基地等，以中心城区消费能级提升为引领，以主城新区食品医药品生产消费为支撑，完善多功能、标准化、国际化、绿色化的冷链物流设施，提升铁公水空冷链物流一体化运输服务能力，畅通中心城区与主城新区冷链产品便捷高效双向流动。强化全市应急冷链物资储备保障功能和冷链产品价格宏观调控功能，打造内陆国际冷链物流分拨中心，突出冷链物流高质量发展重要增长极和成渝地区双城经济圈核心引擎定位。到2025年主城都市区冷库容量达235万吨以上，基本实现“1小时冷链产品配送圈”。</w:t>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80" w:lineRule="exact"/>
        <w:ind w:firstLine="0" w:firstLineChars="0"/>
        <w:jc w:val="center"/>
        <w:textAlignment w:val="auto"/>
        <w:rPr>
          <w:rFonts w:hint="default" w:ascii="Times New Roman" w:hAnsi="Times New Roman" w:eastAsia="方正黑体_GBK" w:cs="方正黑体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表3-1  主城都市区冷链物流核心区空间布局表</w:t>
      </w:r>
    </w:p>
    <w:tbl>
      <w:tblPr>
        <w:tblStyle w:val="14"/>
        <w:tblW w:w="4997" w:type="pct"/>
        <w:tblInd w:w="0" w:type="dxa"/>
        <w:tblLayout w:type="fixed"/>
        <w:tblCellMar>
          <w:top w:w="0" w:type="dxa"/>
          <w:left w:w="108" w:type="dxa"/>
          <w:bottom w:w="0" w:type="dxa"/>
          <w:right w:w="108" w:type="dxa"/>
        </w:tblCellMar>
      </w:tblPr>
      <w:tblGrid>
        <w:gridCol w:w="734"/>
        <w:gridCol w:w="825"/>
        <w:gridCol w:w="7497"/>
      </w:tblGrid>
      <w:tr>
        <w:trPr>
          <w:trHeight w:val="330" w:hRule="atLeast"/>
          <w:tblHeader/>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序号</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区县</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功能定位</w:t>
            </w:r>
          </w:p>
        </w:tc>
      </w:tr>
      <w:tr>
        <w:trPr>
          <w:trHeight w:val="33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kern w:val="0"/>
                <w:sz w:val="24"/>
                <w:szCs w:val="24"/>
                <w:u w:val="none"/>
                <w:lang w:val="en-US" w:eastAsia="zh-CN" w:bidi="ar"/>
              </w:rPr>
            </w:pPr>
            <w:r>
              <w:rPr>
                <w:rFonts w:hint="eastAsia" w:ascii="Times New Roman" w:hAnsi="Times New Roman" w:eastAsia="方正黑体_GBK" w:cs="方正黑体_GBK"/>
                <w:i w:val="0"/>
                <w:iCs w:val="0"/>
                <w:color w:val="000000"/>
                <w:kern w:val="0"/>
                <w:sz w:val="24"/>
                <w:szCs w:val="24"/>
                <w:u w:val="none"/>
                <w:lang w:val="en-US" w:eastAsia="zh-CN" w:bidi="ar"/>
              </w:rPr>
              <w:t>一</w:t>
            </w:r>
          </w:p>
        </w:tc>
        <w:tc>
          <w:tcPr>
            <w:tcW w:w="459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kern w:val="0"/>
                <w:sz w:val="24"/>
                <w:szCs w:val="24"/>
                <w:u w:val="none"/>
                <w:lang w:val="en-US" w:eastAsia="zh-CN" w:bidi="ar"/>
              </w:rPr>
            </w:pPr>
            <w:r>
              <w:rPr>
                <w:rFonts w:hint="eastAsia" w:ascii="Times New Roman" w:hAnsi="Times New Roman" w:eastAsia="方正黑体_GBK" w:cs="方正黑体_GBK"/>
                <w:i w:val="0"/>
                <w:iCs w:val="0"/>
                <w:color w:val="000000"/>
                <w:kern w:val="0"/>
                <w:sz w:val="24"/>
                <w:szCs w:val="24"/>
                <w:u w:val="none"/>
                <w:lang w:val="en-US" w:eastAsia="zh-CN" w:bidi="ar"/>
              </w:rPr>
              <w:t>中心城区</w:t>
            </w:r>
          </w:p>
        </w:tc>
      </w:tr>
      <w:tr>
        <w:trPr>
          <w:trHeight w:val="357"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九龙坡（高新区</w:t>
            </w:r>
            <w:r>
              <w:rPr>
                <w:rFonts w:hint="eastAsia" w:eastAsia="方正仿宋_GBK" w:cs="方正仿宋_GBK"/>
                <w:i w:val="0"/>
                <w:iCs w:val="0"/>
                <w:color w:val="000000"/>
                <w:kern w:val="0"/>
                <w:sz w:val="24"/>
                <w:szCs w:val="24"/>
                <w:u w:val="none"/>
                <w:lang w:val="en-US" w:eastAsia="zh-CN" w:bidi="ar"/>
              </w:rPr>
              <w:t>）</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中国西部农产品冷链物流中心，加快提升冷链物流信息化、智能化、智慧化水平，配套完善多功能、标准化、国际化、绿色化冷链物流设施，推动冷链物流提质增效，增强全市应急冷链物资储备保障功能和冷链产品价格宏观调控功能，打造具有全国竞争力的国际冷链商品交易市场，支撑成渝地区双城经济圈建设，到2025年冷库容量达50万吨级。</w:t>
            </w:r>
          </w:p>
        </w:tc>
      </w:tr>
      <w:tr>
        <w:trPr>
          <w:trHeight w:val="86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2</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大渡口</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现有冷链物流集群基础，按照两江四岸钓鱼嘴音乐半岛城市功能总体定位，推动实施冷库改造升级，创新发展冷链物流新业态新模式，全面提升冷链物流服务能力和形象，努力打造满足以城区消费需求为主的区域性冷链物流集散中心，到2025年冷库容量达24万吨。</w:t>
            </w:r>
          </w:p>
        </w:tc>
      </w:tr>
      <w:tr>
        <w:trPr>
          <w:trHeight w:val="112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3</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渝北（两江新区）</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重庆江北国际机场、果园港，发挥空港型、港口型国家物流枢纽的资源集聚和区域辐射作用，大力发展航运冷链运输、航运冷链中转服务，培育壮大高端精品冷链食品、高新技术中间冷链产品、医药以及跨境电子商务冷链物流规模，打造高品质冷链产品集散分拨中心，到2025年冷库容量达15万吨。</w:t>
            </w:r>
          </w:p>
        </w:tc>
      </w:tr>
      <w:tr>
        <w:trPr>
          <w:trHeight w:val="406"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4</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沙坪坝</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国际物流城，以中欧班列、西部陆海新通道等国际物流大通道始发点和口岸为平台，发挥沙坪坝陆港型国家物流枢纽的资源集聚和区域辐射作用，高起点高标准建设保税冷链物流设施集群，大力发展国际冷链物流、高端智能冷链、应急冷链物资储运、进口医药冷链等业态，打造内陆国际冷链物流分拨中心、高品质冷链产品集中展示区，到2025年冷库容量达16万吨以上。</w:t>
            </w:r>
          </w:p>
        </w:tc>
      </w:tr>
      <w:tr>
        <w:trPr>
          <w:trHeight w:val="66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5</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江北</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现有冷链物流集群，加快推动凯尔国际冷链物流等冷链企业转型升级，引导培育发展新业态新模式，提升冷链供应链配送能力，促进冷链物流提质增效，打造区域性冷链物流配送中心，到2025年冷库容量达22万吨。</w:t>
            </w:r>
          </w:p>
        </w:tc>
      </w:tr>
      <w:tr>
        <w:trPr>
          <w:trHeight w:val="353"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6</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巴南</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国际生物医药城及西部陆海新通道、保税物流中心，推动重庆公路物流基地建设商贸服务型国家物流枢纽，鼓励开行跨境冷链班车，培育发展跨境电商和冷链物流，健全药品冷链配送体系，打造东盟农产品冷链物流分拨中心、全国性医药产品冷链配送基地。到2025年冷库容量达18万吨。</w:t>
            </w:r>
          </w:p>
        </w:tc>
      </w:tr>
      <w:tr>
        <w:trPr>
          <w:trHeight w:val="66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7</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北碚</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东阳陆港物流园、龙凤桥物流集散中心、静观农贸物流中心等物流园区（中心），加快完善城乡冷链物流配送体系，支持建设产地冷贮库和冷链运输设施，提升城市生鲜冷链食品服务能力，到2025年冷库容量达1.5万吨。</w:t>
            </w:r>
          </w:p>
        </w:tc>
      </w:tr>
      <w:tr>
        <w:trPr>
          <w:trHeight w:val="46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eastAsia="方正仿宋_GBK" w:cs="方正仿宋_GBK"/>
                <w:i w:val="0"/>
                <w:iCs w:val="0"/>
                <w:color w:val="000000"/>
                <w:kern w:val="0"/>
                <w:sz w:val="24"/>
                <w:szCs w:val="24"/>
                <w:u w:val="none"/>
                <w:lang w:val="en-US" w:eastAsia="zh-CN" w:bidi="ar"/>
              </w:rPr>
              <w:t>8</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南岸</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依托渝南冻品市场，引导培育转型升级，打造特色专业冷链产品交易基地，到2025年冷库容量达1.8万吨。</w:t>
            </w:r>
          </w:p>
        </w:tc>
      </w:tr>
      <w:tr>
        <w:trPr>
          <w:trHeight w:val="38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eastAsia="方正仿宋_GBK" w:cs="方正仿宋_GBK"/>
                <w:i w:val="0"/>
                <w:iCs w:val="0"/>
                <w:color w:val="000000"/>
                <w:kern w:val="0"/>
                <w:sz w:val="24"/>
                <w:szCs w:val="24"/>
                <w:u w:val="none"/>
                <w:lang w:val="en-US" w:eastAsia="zh-CN" w:bidi="ar"/>
              </w:rPr>
              <w:t>9</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渝中</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default"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城市居民消费升级需求，引导连锁超市、商品市场等完善冷链物流设施，加快布局冷链物流终端设施，投放一批智能自提柜。发挥金融总部集聚区优势，培育发展冷链物流结算中心，支持内陆国际金融中心建设。</w:t>
            </w:r>
          </w:p>
        </w:tc>
      </w:tr>
      <w:tr>
        <w:trPr>
          <w:trHeight w:val="375"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kern w:val="0"/>
                <w:sz w:val="24"/>
                <w:szCs w:val="24"/>
                <w:u w:val="none"/>
                <w:lang w:val="en-US" w:eastAsia="zh-CN" w:bidi="ar"/>
              </w:rPr>
            </w:pPr>
            <w:r>
              <w:rPr>
                <w:rFonts w:hint="eastAsia" w:ascii="Times New Roman" w:hAnsi="Times New Roman" w:eastAsia="方正黑体_GBK" w:cs="方正黑体_GBK"/>
                <w:i w:val="0"/>
                <w:iCs w:val="0"/>
                <w:color w:val="000000"/>
                <w:kern w:val="0"/>
                <w:sz w:val="24"/>
                <w:szCs w:val="24"/>
                <w:u w:val="none"/>
                <w:lang w:val="en-US" w:eastAsia="zh-CN" w:bidi="ar"/>
              </w:rPr>
              <w:t>二</w:t>
            </w:r>
          </w:p>
        </w:tc>
        <w:tc>
          <w:tcPr>
            <w:tcW w:w="459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kern w:val="0"/>
                <w:sz w:val="24"/>
                <w:szCs w:val="24"/>
                <w:u w:val="none"/>
                <w:lang w:val="en-US" w:eastAsia="zh-CN" w:bidi="ar"/>
              </w:rPr>
            </w:pPr>
            <w:r>
              <w:rPr>
                <w:rFonts w:hint="eastAsia" w:ascii="Times New Roman" w:hAnsi="Times New Roman" w:eastAsia="方正黑体_GBK" w:cs="方正黑体_GBK"/>
                <w:i w:val="0"/>
                <w:iCs w:val="0"/>
                <w:color w:val="000000"/>
                <w:kern w:val="0"/>
                <w:sz w:val="24"/>
                <w:szCs w:val="24"/>
                <w:u w:val="none"/>
                <w:lang w:val="en-US" w:eastAsia="zh-CN" w:bidi="ar"/>
              </w:rPr>
              <w:t>主城新区</w:t>
            </w:r>
          </w:p>
        </w:tc>
      </w:tr>
      <w:tr>
        <w:trPr>
          <w:trHeight w:val="691"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涪陵</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百亿级榨菜产业集群、医药产业集群，加快完善农产品仓储保鲜冷链物流设施，高标准建设医药、综合保税等冷链仓储设施，大力发展国际冷链物流、医药冷链物流等业态，全面提升专业化冷链仓储、运输水平，率先开展全程可追溯冷链物流示范区建设，打造区域性榨菜冷链物流基地、全国性医药冷链物流配送中心，到2025年冷库容量达9万吨。</w:t>
            </w:r>
          </w:p>
        </w:tc>
      </w:tr>
      <w:tr>
        <w:trPr>
          <w:trHeight w:val="124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2</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长寿</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千亿级化工产业集群、特色农产品生产种植基地，提升化工冷链仓储和运输专业化水平，推动重庆东部国际农产品交易中心完善冷链仓储设施，提升城市生鲜冷链食品服务能力，支撑中心城区冷链产品服务需求，推动长寿冷链物流全面融入中心城区，打造绿色化工冷链发展示范区、区域性农产品冷链物流集散分拨中心。到2025年冷库容量达7万吨以上。</w:t>
            </w:r>
          </w:p>
        </w:tc>
      </w:tr>
      <w:tr>
        <w:trPr>
          <w:trHeight w:val="706"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3</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江津</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西部陆海新通道、中欧班列及综合保税区，发挥江津陆港型国家物流枢纽的资源集聚和区域辐射作用，加大开行西部陆海新通道冷链班列频次，布局建设通道冷链物流集群，高起点高标准建设多温带、多层中转智能冷链物流设施，做实西部（重庆）东盟商品分拨中心、农副产品分拨和东盟冷链食品分拨中心，打造内陆国际冷链物流分拨基地。以重庆双福国际农贸城等为重点平台，加快补齐农贸市场冷链物流基础设施短板，健全冷链产品流通网络，提升全市冷鲜产品平衡供应调控能力，打造全国性农产品冷链物流集散基地。依托100万头生猪、34万吨花椒等特色农产品，完善猪肉、花椒等冷链产品加工配送体系，打造区域性肉类和花椒冷链配送中心。到2025年冷库容量达35万吨以上。</w:t>
            </w:r>
          </w:p>
        </w:tc>
      </w:tr>
      <w:tr>
        <w:trPr>
          <w:trHeight w:val="718"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4</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合川</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以百万级人口消费升级为牵引，以百万头生猪等特色农产品需求为支撑，优化提升中农联市场等农产品市场冷链物流基础设施质量，推动屠宰基地建设冷却库、低温分割车间等冷藏加工设施，配置冷链运输设备，提升城乡生鲜冷链食品服务能力，打造区域性冷链物流集散配送中心，支撑本地区及中心城区冷链产品服务需求，到2025年冷库总容量达11万吨以上。</w:t>
            </w:r>
          </w:p>
        </w:tc>
      </w:tr>
      <w:tr>
        <w:trPr>
          <w:trHeight w:val="293"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5</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永川</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区域性中心城市，加快提升区域应急冷链药品专业化储存和运输水平，补齐吉之汇国际农贸物流城等农贸市场冷链物流基础设施短板，完善食用菌、梨等特色农产品仓储保鲜和冷链加工配送体系，打造区域性冷链物流集散中心，增强渝西片区辐射能力。推动冷链装备制造业集群发展，鼓励延伸至冷链先进设备、核心元器件制造领域，打造冷链装备制造业集群。到2025年冷库总容量达5.7万吨以上。</w:t>
            </w:r>
          </w:p>
        </w:tc>
      </w:tr>
      <w:tr>
        <w:trPr>
          <w:trHeight w:val="361"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6</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南川</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特色果蔬种植基地、畜禽加工企业，加快补齐竹笋、蓝莓、茶叶等特色产品仓储保鲜冷链物流设施短板，完善肉类冷链加工配送体系，推动南川冷链物流全面融入中心城区，打造特色农产品冷链物流加工配送中心。到2025年冷库总容量达4万吨以上。</w:t>
            </w:r>
          </w:p>
        </w:tc>
      </w:tr>
      <w:tr>
        <w:trPr>
          <w:trHeight w:val="38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7</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綦江-万盛</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依托特色果蔬种植基地、畜禽加工企业，完善产地农产品仓储保鲜设施，支持建设渝南农副产品冷链物流港、畜禽加工及冷链配送中心，打造区域性肉类冷链加工配送基地。到2025年冷库容量达7万吨以上。</w:t>
            </w:r>
          </w:p>
        </w:tc>
      </w:tr>
      <w:tr>
        <w:trPr>
          <w:trHeight w:val="50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8</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大足</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围绕黑山羊、蔬菜、柑橘等特色农产品，完善产地农产品仓储保鲜基础设施，支持大足现代农业冷链物流园建设，改造一批以预冷、冷藏为主要功能的产地集配中心，满足本地区城乡生鲜冷链食品服务需求。</w:t>
            </w:r>
          </w:p>
        </w:tc>
      </w:tr>
      <w:tr>
        <w:trPr>
          <w:trHeight w:val="99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9</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璧山</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生鲜肉类食品加工、蔬果种植等产业，建设30个产地小型农产品仓储保鲜设施，完善璧山农产品加工园冷链配套设施，满足本地区城乡生鲜冷链食品需求。围绕航空物流园（规划中的重庆新机场）、医药流通批发等优势产业，规划布局区域型的2级综合冷链物流节点和全市冷链物流人才培训交流基地。依托新能源汽车产业集群和优势高端装备制造业打造重庆市新能源冷链车辆制造集群。到2025年冷库容量达3.4万吨以上。</w:t>
            </w:r>
          </w:p>
        </w:tc>
      </w:tr>
      <w:tr>
        <w:trPr>
          <w:trHeight w:val="335"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铜梁</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default"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畜禽养殖、蔬菜种植等，推动屠宰基地建设冷却库、低温分割车间等冷藏加工设施，蔬菜基地建设产地仓储保鲜设施，配置冷链运输设备，支持杰明水果批发市场等农贸市场配套建设冷链物流设施，建设区域性冷链物流配送中心，辐射本地区及周边区域。到2025年冷库容量达8.6万吨以上。</w:t>
            </w:r>
          </w:p>
        </w:tc>
      </w:tr>
      <w:tr>
        <w:trPr>
          <w:trHeight w:val="66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11</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潼南</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蔬菜、柠檬等特色农产品，依托国家现代农业示范区，加快改造一批以预冷、冷藏为主要功能的产地集配中心，鼓励发展田间移动共享冷库，支持潼南蔬菜批发市场配套建设冷藏库，提升城市生鲜冷链食品服务能力，打造全国性柠檬冷链物流加工基地。到2025年冷库容量达7万吨以上。</w:t>
            </w:r>
          </w:p>
        </w:tc>
      </w:tr>
      <w:tr>
        <w:trPr>
          <w:trHeight w:val="745"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12</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荣昌</w:t>
            </w:r>
          </w:p>
        </w:tc>
        <w:tc>
          <w:tcPr>
            <w:tcW w:w="41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default"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依托成渝地区双城经济圈建设，鼓励板桥工业园区布局建设冷链物流设施集群，支持渝西国际商贸物流港做大做强，大力发展速冻食品，打造川渝地区冷链物流协同发展示范基地，到2025年冷库容量达18万吨。</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01" w:name="_Toc30330"/>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 xml:space="preserve">第二节  </w:t>
      </w:r>
      <w:r>
        <w:rPr>
          <w:rFonts w:hint="eastAsia" w:eastAsia="方正楷体_GBK" w:cs="Times New Roman"/>
          <w:b w:val="0"/>
          <w:bCs/>
          <w:color w:val="000000"/>
          <w:spacing w:val="-6"/>
          <w:lang w:val="en-US" w:eastAsia="zh-CN"/>
        </w:rPr>
        <w:t>建设</w:t>
      </w:r>
      <w:r>
        <w:rPr>
          <w:rFonts w:hint="eastAsia" w:ascii="Times New Roman" w:hAnsi="Times New Roman" w:eastAsia="方正楷体_GBK" w:cs="Times New Roman"/>
          <w:b w:val="0"/>
          <w:bCs/>
          <w:color w:val="000000"/>
          <w:spacing w:val="-6"/>
          <w:lang w:val="en-US" w:eastAsia="zh-CN"/>
        </w:rPr>
        <w:t>渝东北冷链物流发展走廊</w:t>
      </w:r>
      <w:bookmarkEnd w:id="101"/>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以万州作为渝东北区域中心城市、全国重要综合交通枢纽，建设一级节点冷链物流设施，推动“万开云”冷链物流同城化配送，辐射带动城口、丰都、忠县、奉节、巫山、巫溪、垫江、梁平等地，构建渝东北冷链物流发展走廊。依托渝宜高速、沿江高速等，加快畅通中心城区与渝东北城镇群间的快速综合射线通道，实现区城“3小时冷链产品配送链”。力争到2025年渝东北冷链物流发展走廊冷库容量达60万吨以上。</w:t>
      </w:r>
    </w:p>
    <w:p>
      <w:pPr>
        <w:pStyle w:val="13"/>
        <w:shd w:val="clear" w:color="auto" w:fill="FFFFFF"/>
        <w:adjustRightInd w:val="0"/>
        <w:snapToGrid w:val="0"/>
        <w:spacing w:before="0" w:beforeAutospacing="0" w:after="0" w:afterAutospacing="0" w:line="580" w:lineRule="exact"/>
        <w:ind w:firstLine="640" w:firstLineChars="200"/>
        <w:jc w:val="center"/>
        <w:rPr>
          <w:rFonts w:hint="default" w:ascii="Times New Roman" w:hAnsi="Times New Roman" w:eastAsia="方正黑体_GBK" w:cs="方正黑体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表3-2  渝东北冷链物流发展走廊空间布局表</w:t>
      </w:r>
    </w:p>
    <w:tbl>
      <w:tblPr>
        <w:tblStyle w:val="14"/>
        <w:tblW w:w="4997" w:type="pct"/>
        <w:tblInd w:w="0" w:type="dxa"/>
        <w:tblLayout w:type="autofit"/>
        <w:tblCellMar>
          <w:top w:w="0" w:type="dxa"/>
          <w:left w:w="108" w:type="dxa"/>
          <w:bottom w:w="0" w:type="dxa"/>
          <w:right w:w="108" w:type="dxa"/>
        </w:tblCellMar>
      </w:tblPr>
      <w:tblGrid>
        <w:gridCol w:w="808"/>
        <w:gridCol w:w="768"/>
        <w:gridCol w:w="7480"/>
      </w:tblGrid>
      <w:tr>
        <w:trPr>
          <w:trHeight w:val="330" w:hRule="atLeast"/>
          <w:tblHeader/>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序号</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区县</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功能定位</w:t>
            </w:r>
          </w:p>
        </w:tc>
      </w:tr>
      <w:tr>
        <w:trPr>
          <w:trHeight w:val="431"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万州</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万州五桥机场、长江黄金水道及口岸、综合保税区等，以百万级人口消费升级需求为引领，百万级生猪养殖、十万吨级柑橘等特色农产品为支撑，推动万州冷链物流分拨中心、白羊柠檬冷链仓储物流、三峡国际农副产品集散基地等冷链物流项目建设，培育发展农产品冷链物流、国际冷链物流等，完善肉类冷链物流运输体系，推动运猪向运肉转变，打造渝东北三峡库区冷链物流分拨中心、川渝地区冷链物流协同发展示范基地，辐射川湘鄂渝黔区域。到2025年冷库容量达20万吨以上。</w:t>
            </w:r>
          </w:p>
        </w:tc>
      </w:tr>
      <w:tr>
        <w:trPr>
          <w:trHeight w:val="9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2</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梁平</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百万级生猪养殖、百亿级粮油产业集群等特色农产品，推动屠宰加工企业建设冷却库、低温分割车间等冷藏加工设施，支持渝东北智能冷链物流配送中心、渝东北应急粮油新鲜蔬果及肉质食品保供冷链物流中心等项目建设，打造区域性冷链物流配送基地。到2025年冷库容量达5万吨。</w:t>
            </w:r>
          </w:p>
        </w:tc>
      </w:tr>
      <w:tr>
        <w:trPr>
          <w:trHeight w:val="112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3</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开州</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以百万级人口消费升级需求为引领，百万级畜禽养殖（生猪、肉牛、山羊等）、四十万吨级柑橘等特色农产品为支撑，推动屠宰加工企业建设冷却库、低温分割车间等冷藏加工设施，补齐产地仓储保鲜冷链物流设施短板，促进与万州冷链物流配送同城化发展，打造农产品产地冷链仓储保鲜示范区，支撑渝东北及主城都市区冷链产品服务需求，到2025年冷库容量达6万吨以上。</w:t>
            </w:r>
          </w:p>
        </w:tc>
      </w:tr>
      <w:tr>
        <w:trPr>
          <w:trHeight w:val="106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4</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城口</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围绕畜禽养殖、蔬菜等特色农产品，补齐产地农产品仓储保鲜冷链物流短板，完善农贸市场冷链物流设施，满足本地区冷链物流服务需求。到2025年冷库容量达1.4万吨以上。</w:t>
            </w:r>
          </w:p>
        </w:tc>
      </w:tr>
      <w:tr>
        <w:trPr>
          <w:trHeight w:val="104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5</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丰都</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牛肉等特色农产品，依托水天坪口岸，培育壮大肉类冷链产品进口规模，完善南方（恒都）肉牛交易中心冷链物流设施，打造牛肉冷链物流集散配送中心，支撑全市牛肉冷链产品服务需求。到2025年冷库容量达7万吨以上。</w:t>
            </w:r>
          </w:p>
        </w:tc>
      </w:tr>
      <w:tr>
        <w:trPr>
          <w:trHeight w:val="66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6</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垫江</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榨菜、蜜本南瓜、晚柚等特色农产品，推进无菌冷灌装饮料及蜜本南瓜饮料生产、温氏集团100万头生猪屠宰及肉制品深加工厂、年产1万吨调味品及冷链物流配送中心等项目配套建设冷链物流设施，打造特色农产品冷链加工配送中心。到2025年冷库容量达4万吨以上。</w:t>
            </w:r>
          </w:p>
        </w:tc>
      </w:tr>
      <w:tr>
        <w:trPr>
          <w:trHeight w:val="99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7</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忠县</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水果种植（柑橘）、畜禽养殖（肉兔、肉羊）等特色农产品，补齐产地农产品仓储保鲜冷链物流短板，推动五洲国际冷链物流项目、渝东北进出口肉类及农产品冷链加工集配中心，配套完善柑橘交易中心冷链物流设施，打造全国性柑橘冷链物流加工配送中心、特色农产品出口冷链示范基地。到2025年冷库容量达6万吨以上。</w:t>
            </w:r>
          </w:p>
        </w:tc>
      </w:tr>
      <w:tr>
        <w:trPr>
          <w:trHeight w:val="318"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8</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云阳</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百万级生猪养殖、五十万吨级柑橘种植、千万袋级食用菌等特色农产品，推动屠宰加工企业建设冷却库、低温分割车间等冷藏加工设施，补齐产地仓储保鲜冷链物流设施短板，鼓励搭建产销冷链物流平台，建设云阳柑橘加工冷链物流电商中心，打造区域性冷链物流配送加工中心、农产品出口冷链示范基地。到2025年冷库容量达3万吨。</w:t>
            </w:r>
          </w:p>
        </w:tc>
      </w:tr>
      <w:tr>
        <w:trPr>
          <w:trHeight w:val="66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9</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奉节</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二十万亩级脐橙种植、百万级生猪养殖等特色农产品，推动屠宰基地完善冷链物流设施，加快完善农产品仓储保鲜冷链物流设施，提升专业化冷链运输服务能力，打造全国性脐橙冷链加工配送基地。到2025年冷库容量达6万吨。</w:t>
            </w:r>
          </w:p>
        </w:tc>
      </w:tr>
      <w:tr>
        <w:trPr>
          <w:trHeight w:val="66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10</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巫山</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围绕三十万亩级脆李种植等特色农产品，补齐农产品仓储保鲜冷链物流设施短板，完善农贸市场冷链物流设施，打造脆李冷链物流配送基地。到2025年冷库容量达2万吨以上。</w:t>
            </w:r>
          </w:p>
        </w:tc>
      </w:tr>
      <w:tr>
        <w:trPr>
          <w:trHeight w:val="820"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11</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巫溪</w:t>
            </w:r>
          </w:p>
        </w:tc>
        <w:tc>
          <w:tcPr>
            <w:tcW w:w="41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高山蔬菜种植、畜禽养殖（家禽、生猪）等特色农产品，补齐农产品仓储保鲜冷链物流设施短板，完善农贸市场冷链物流设施，建设改造一批以预冷、冷藏为主要功能的产地集配中心，满足本地区城乡生鲜冷链食品需求。到2025年冷库容量达1.5万吨以上。</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02" w:name="_Toc3637"/>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 xml:space="preserve">第三节  </w:t>
      </w:r>
      <w:r>
        <w:rPr>
          <w:rFonts w:hint="eastAsia" w:eastAsia="方正楷体_GBK" w:cs="Times New Roman"/>
          <w:b w:val="0"/>
          <w:bCs/>
          <w:color w:val="000000"/>
          <w:spacing w:val="-6"/>
          <w:lang w:val="en-US" w:eastAsia="zh-CN"/>
        </w:rPr>
        <w:t>建设</w:t>
      </w:r>
      <w:r>
        <w:rPr>
          <w:rFonts w:hint="eastAsia" w:ascii="Times New Roman" w:hAnsi="Times New Roman" w:eastAsia="方正楷体_GBK" w:cs="Times New Roman"/>
          <w:b w:val="0"/>
          <w:bCs/>
          <w:color w:val="000000"/>
          <w:spacing w:val="-6"/>
          <w:lang w:val="en-US" w:eastAsia="zh-CN"/>
        </w:rPr>
        <w:t>渝东南冷链物流发展走廊</w:t>
      </w:r>
      <w:bookmarkEnd w:id="102"/>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以黔江为渝东南中心城市、秀山为渝东南桥头堡城市，提升黔江、秀山在武陵山区的冷链物流服务功能，辐射带动武陵山区，构建渝东南冷链物流发展走廊。依托渝湘高速、重庆至张家界高速等，加快构建中心城区与渝东南城镇群间的快速综合射线通道，实现区城“3小时冷链产品配送链”。力争到2025年渝东南冷链物流发展走廊冷库容量达25万吨以上。</w:t>
      </w:r>
    </w:p>
    <w:p>
      <w:pPr>
        <w:pStyle w:val="13"/>
        <w:shd w:val="clear" w:color="auto" w:fill="FFFFFF"/>
        <w:adjustRightInd w:val="0"/>
        <w:snapToGrid w:val="0"/>
        <w:spacing w:before="0" w:beforeAutospacing="0" w:after="0" w:afterAutospacing="0" w:line="580" w:lineRule="exact"/>
        <w:ind w:firstLine="640" w:firstLineChars="200"/>
        <w:jc w:val="center"/>
        <w:rPr>
          <w:rFonts w:hint="default"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表3-3  渝东南冷链物流发展走廊空间布局表</w:t>
      </w:r>
    </w:p>
    <w:tbl>
      <w:tblPr>
        <w:tblStyle w:val="14"/>
        <w:tblW w:w="4997" w:type="pct"/>
        <w:tblInd w:w="0" w:type="dxa"/>
        <w:tblLayout w:type="autofit"/>
        <w:tblCellMar>
          <w:top w:w="0" w:type="dxa"/>
          <w:left w:w="108" w:type="dxa"/>
          <w:bottom w:w="0" w:type="dxa"/>
          <w:right w:w="108" w:type="dxa"/>
        </w:tblCellMar>
      </w:tblPr>
      <w:tblGrid>
        <w:gridCol w:w="734"/>
        <w:gridCol w:w="710"/>
        <w:gridCol w:w="7612"/>
      </w:tblGrid>
      <w:tr>
        <w:trPr>
          <w:trHeight w:val="33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序号</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区县</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黑体_GBK" w:cs="方正黑体_GBK"/>
                <w:i w:val="0"/>
                <w:iCs w:val="0"/>
                <w:color w:val="000000"/>
                <w:sz w:val="24"/>
                <w:szCs w:val="24"/>
                <w:u w:val="none"/>
              </w:rPr>
            </w:pPr>
            <w:r>
              <w:rPr>
                <w:rFonts w:hint="eastAsia" w:ascii="Times New Roman" w:hAnsi="Times New Roman" w:eastAsia="方正黑体_GBK" w:cs="方正黑体_GBK"/>
                <w:i w:val="0"/>
                <w:iCs w:val="0"/>
                <w:color w:val="000000"/>
                <w:kern w:val="0"/>
                <w:sz w:val="24"/>
                <w:szCs w:val="24"/>
                <w:u w:val="none"/>
                <w:lang w:val="en-US" w:eastAsia="zh-CN" w:bidi="ar"/>
              </w:rPr>
              <w:t>功能定位</w:t>
            </w:r>
          </w:p>
        </w:tc>
      </w:tr>
      <w:tr>
        <w:trPr>
          <w:trHeight w:val="428"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黔江</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百万级畜禽养殖（生猪）、六千万棒级食用菌等特色农产品，推动屠宰加工企业建设冷却库、低温分割车间等冷藏加工设施，补齐产地仓储保鲜冷链物流设施短板，支持支持渝东南城乡冷链物流中心、智慧农产品批发市场建设、黔江武陵山机场冷库设施、渝东南生鲜食品低温加工处理中心等项目建设等项目建设，打造武陵山区高端生态农产品冷链加工配送基地。到2025年冷库容量达9万吨以上。</w:t>
            </w:r>
          </w:p>
        </w:tc>
      </w:tr>
      <w:tr>
        <w:trPr>
          <w:trHeight w:val="45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2</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武隆</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以季节性旅游消费升级需求为引领，以畜禽养殖、高山蔬菜种植等特色农产品为支撑，推动城东商贸物流配送中心、凤来新城物流配送中心建设冷链物流基础设施，补齐产地仓储保鲜冷链设施短板，满足本地区季节性旅游人口消费冷链保供需求。到2025年冷库容量达2万吨。</w:t>
            </w:r>
          </w:p>
        </w:tc>
      </w:tr>
      <w:tr>
        <w:trPr>
          <w:trHeight w:val="339"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3</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石柱</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畜禽养殖、蔬菜种植等特色农产品，完善桥头、龙沙、河嘴、沿溪、马武等乡镇的冷链物流设施，鼓励发展农特产品冷链物流电商产业服务中心，推动建设肉类屠宰加工及流通冷链物流设施，满足本地区城乡生鲜冷链食品需求。到2025年冷库容量达2万吨以上。</w:t>
            </w:r>
          </w:p>
        </w:tc>
      </w:tr>
      <w:tr>
        <w:trPr>
          <w:trHeight w:val="112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4</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秀山</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西部陆海新通道、渝怀铁路集装箱货场、保税仓库等功能设施，发挥好秀山（武陵）现代物流园区“国家示范物流园区”“国家电子商务示范基地”辐射带动作用，加快建设商贸服务型国家物流枢纽，不断提升武陵山铁路物流中心、冷链物流中心、快递快运物流分拨中心、保税物流中心辐射能力，积极对接粤港澳大湾区等，开行冷链物流班列（班车），建设保税物流中心、综合保税区，推动华南生鲜农产品市场等批发市场配套建设冷链物流设施，补齐产地仓储保鲜冷链物流设施短板，鼓励发展电商冷链物流，打造西部陆海新通道冷链物流中心、进口肉类及水果保税加工集散中心和武陵山区冷链物流集散配送中心。到2025年冷库容量达10万吨以上。</w:t>
            </w:r>
          </w:p>
        </w:tc>
      </w:tr>
      <w:tr>
        <w:trPr>
          <w:trHeight w:val="72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5</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酉阳</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百万级家禽养殖等特色农产品，加快完善板溪综合物流市场冷链仓储设施，鼓励渝东南农产品综合市场、城南综合农产品批发市场补齐冷链设施短板，满足本区域城乡生鲜冷链食品需求。到2025年冷库容量达5万吨以上。</w:t>
            </w:r>
          </w:p>
        </w:tc>
      </w:tr>
      <w:tr>
        <w:trPr>
          <w:trHeight w:val="660" w:hRule="atLeast"/>
        </w:trPr>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彭水</w:t>
            </w:r>
          </w:p>
        </w:tc>
        <w:tc>
          <w:tcPr>
            <w:tcW w:w="42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围绕百万级畜禽养殖（生猪、白鹅）等特色农产品，推动屠宰加工企业建设冷却库、低温分割车间等冷藏加工设施，满足本区域城乡生鲜冷链食品需求。到2025年冷库容量达2万吨以上。</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03" w:name="_Toc7386"/>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第</w:t>
      </w:r>
      <w:r>
        <w:rPr>
          <w:rFonts w:hint="eastAsia" w:eastAsia="方正楷体_GBK" w:cs="Times New Roman"/>
          <w:b w:val="0"/>
          <w:bCs/>
          <w:color w:val="000000"/>
          <w:spacing w:val="-6"/>
          <w:lang w:val="en-US" w:eastAsia="zh-CN"/>
        </w:rPr>
        <w:t>四</w:t>
      </w:r>
      <w:r>
        <w:rPr>
          <w:rFonts w:hint="eastAsia" w:ascii="Times New Roman" w:hAnsi="Times New Roman" w:eastAsia="方正楷体_GBK" w:cs="Times New Roman"/>
          <w:b w:val="0"/>
          <w:bCs/>
          <w:color w:val="000000"/>
          <w:spacing w:val="-6"/>
          <w:lang w:val="en-US" w:eastAsia="zh-CN"/>
        </w:rPr>
        <w:t xml:space="preserve">节  </w:t>
      </w:r>
      <w:r>
        <w:rPr>
          <w:rFonts w:hint="eastAsia" w:eastAsia="方正楷体_GBK" w:cs="Times New Roman"/>
          <w:b w:val="0"/>
          <w:bCs/>
          <w:color w:val="000000"/>
          <w:spacing w:val="-6"/>
          <w:lang w:val="en-US" w:eastAsia="zh-CN"/>
        </w:rPr>
        <w:t>构建</w:t>
      </w:r>
      <w:r>
        <w:rPr>
          <w:rFonts w:hint="eastAsia" w:ascii="Times New Roman" w:hAnsi="Times New Roman" w:eastAsia="方正楷体_GBK" w:cs="Times New Roman"/>
          <w:b w:val="0"/>
          <w:bCs/>
          <w:color w:val="000000"/>
          <w:spacing w:val="-6"/>
          <w:lang w:val="en-US" w:eastAsia="zh-CN"/>
        </w:rPr>
        <w:t>三级冷链物流网络</w:t>
      </w:r>
      <w:r>
        <w:rPr>
          <w:rFonts w:hint="eastAsia" w:eastAsia="方正楷体_GBK" w:cs="Times New Roman"/>
          <w:b w:val="0"/>
          <w:bCs/>
          <w:color w:val="000000"/>
          <w:spacing w:val="-6"/>
          <w:lang w:val="en-US" w:eastAsia="zh-CN"/>
        </w:rPr>
        <w:t>节点</w:t>
      </w:r>
      <w:bookmarkEnd w:id="103"/>
    </w:p>
    <w:bookmarkEnd w:id="90"/>
    <w:bookmarkEnd w:id="91"/>
    <w:bookmarkEnd w:id="92"/>
    <w:bookmarkEnd w:id="93"/>
    <w:bookmarkEnd w:id="94"/>
    <w:bookmarkEnd w:id="95"/>
    <w:bookmarkEnd w:id="96"/>
    <w:bookmarkEnd w:id="97"/>
    <w:bookmarkEnd w:id="98"/>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bookmarkStart w:id="104" w:name="_Toc21442"/>
      <w:bookmarkStart w:id="105" w:name="_Toc13067"/>
      <w:bookmarkStart w:id="106" w:name="_Toc5689"/>
      <w:bookmarkStart w:id="107" w:name="_Toc28217"/>
      <w:bookmarkStart w:id="108" w:name="_Toc66100822"/>
      <w:bookmarkStart w:id="109" w:name="_Toc66101465"/>
      <w:bookmarkStart w:id="110" w:name="_Toc21509"/>
      <w:bookmarkStart w:id="111" w:name="_Toc18175"/>
      <w:bookmarkStart w:id="112" w:name="_Toc66101654"/>
      <w:r>
        <w:rPr>
          <w:rFonts w:hint="eastAsia" w:ascii="Times New Roman" w:hAnsi="Times New Roman" w:eastAsia="方正仿宋_GBK" w:cs="Times New Roman"/>
          <w:color w:val="191919"/>
          <w:sz w:val="32"/>
          <w:szCs w:val="32"/>
          <w:shd w:val="clear" w:color="auto" w:fill="FFFFFF"/>
          <w:lang w:val="en-US" w:eastAsia="zh-CN"/>
        </w:rPr>
        <w:t>依托各区县的集聚效应和资源禀赋，布局建设5个一级冷链物流节点、20个以上二级冷链节点，完善N个三级冷链物流设施节点，构建服务形成“123”三级冷链物流节点服务体系，打造互为补充、相互支撑、协同发展的现代冷链物流网络节点。</w:t>
      </w:r>
    </w:p>
    <w:tbl>
      <w:tblPr>
        <w:tblStyle w:val="14"/>
        <w:tblW w:w="5000" w:type="pct"/>
        <w:tblInd w:w="0" w:type="dxa"/>
        <w:tblLayout w:type="autofit"/>
        <w:tblCellMar>
          <w:top w:w="0" w:type="dxa"/>
          <w:left w:w="108" w:type="dxa"/>
          <w:bottom w:w="0" w:type="dxa"/>
          <w:right w:w="108" w:type="dxa"/>
        </w:tblCellMar>
      </w:tblPr>
      <w:tblGrid>
        <w:gridCol w:w="9061"/>
      </w:tblGrid>
      <w:tr>
        <w:trPr>
          <w:trHeight w:val="330" w:hRule="atLeast"/>
        </w:trPr>
        <w:tc>
          <w:tcPr>
            <w:tcW w:w="5000" w:type="pct"/>
            <w:tcBorders>
              <w:top w:val="single" w:color="000000" w:sz="4" w:space="0"/>
              <w:left w:val="single" w:color="000000" w:sz="4" w:space="0"/>
              <w:bottom w:val="single" w:color="000000" w:sz="4" w:space="0"/>
              <w:right w:val="single" w:color="000000" w:sz="4" w:space="0"/>
            </w:tcBorders>
            <w:noWrap w:val="0"/>
            <w:vAlign w:val="center"/>
          </w:tcPr>
          <w:p>
            <w:pPr>
              <w:pStyle w:val="13"/>
              <w:shd w:val="clear" w:color="auto" w:fill="FFFFFF"/>
              <w:adjustRightInd w:val="0"/>
              <w:snapToGrid w:val="0"/>
              <w:spacing w:before="0" w:beforeAutospacing="0" w:after="0" w:afterAutospacing="0" w:line="580" w:lineRule="exact"/>
              <w:ind w:firstLine="640" w:firstLineChars="200"/>
              <w:jc w:val="center"/>
            </w:pPr>
            <w:r>
              <w:rPr>
                <w:rFonts w:hint="eastAsia" w:ascii="Times New Roman" w:hAnsi="Times New Roman" w:eastAsia="方正黑体_GBK" w:cs="方正黑体_GBK"/>
                <w:color w:val="191919"/>
                <w:sz w:val="32"/>
                <w:szCs w:val="32"/>
                <w:shd w:val="clear" w:color="auto" w:fill="FFFFFF"/>
                <w:lang w:val="en-US" w:eastAsia="zh-CN"/>
              </w:rPr>
              <w:t>表3-5  三级冷链物流节点网络布局表</w:t>
            </w:r>
          </w:p>
        </w:tc>
      </w:tr>
      <w:tr>
        <w:trPr>
          <w:trHeight w:val="330" w:hRule="atLeast"/>
        </w:trPr>
        <w:tc>
          <w:tcPr>
            <w:tcW w:w="50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580" w:lineRule="exact"/>
              <w:ind w:leftChars="0" w:firstLine="560" w:firstLineChars="200"/>
              <w:jc w:val="left"/>
              <w:textAlignment w:val="center"/>
              <w:rPr>
                <w:rFonts w:hint="default" w:ascii="方正仿宋_GBK" w:hAnsi="方正仿宋_GBK" w:eastAsia="方正仿宋_GBK" w:cs="方正仿宋_GBK"/>
                <w:sz w:val="28"/>
                <w:szCs w:val="28"/>
                <w:lang w:val="en-US" w:eastAsia="zh-CN"/>
              </w:rPr>
            </w:pPr>
            <w:r>
              <w:rPr>
                <w:rFonts w:hint="eastAsia" w:ascii="方正黑体_GBK" w:hAnsi="方正黑体_GBK" w:eastAsia="方正黑体_GBK" w:cs="方正黑体_GBK"/>
                <w:b w:val="0"/>
                <w:bCs w:val="0"/>
                <w:i w:val="0"/>
                <w:iCs w:val="0"/>
                <w:color w:val="000000"/>
                <w:kern w:val="0"/>
                <w:sz w:val="28"/>
                <w:szCs w:val="28"/>
                <w:u w:val="none"/>
                <w:lang w:val="en-US" w:eastAsia="zh-CN" w:bidi="ar"/>
              </w:rPr>
              <w:t>一级冷链物流节点。</w:t>
            </w:r>
            <w:r>
              <w:rPr>
                <w:rFonts w:hint="eastAsia" w:ascii="方正仿宋_GBK" w:hAnsi="方正仿宋_GBK" w:eastAsia="方正仿宋_GBK" w:cs="方正仿宋_GBK"/>
                <w:sz w:val="28"/>
                <w:szCs w:val="28"/>
                <w:lang w:val="en-US" w:eastAsia="zh-CN"/>
              </w:rPr>
              <w:t>在重庆高新区中国西部农产品冷链物流中心、大渡口万吨商旅融合总部基地、江津双福国际农贸城、万州冷链物流分拨中心、长寿东部国际农产品交易中心等，布局建设5个左右一级冷链物流节点，主要服务于大规模冷冻冷藏、战略储备、国际国内中转集散分拨、批发交易、生产加工等需求，商品进项主要为干线运输。引导一级冷链物流节点与二三级冷链物流节点间加强功能与业务对接。</w:t>
            </w:r>
          </w:p>
          <w:p>
            <w:pPr>
              <w:keepNext w:val="0"/>
              <w:keepLines w:val="0"/>
              <w:pageBreakBefore w:val="0"/>
              <w:kinsoku/>
              <w:wordWrap/>
              <w:overflowPunct/>
              <w:topLinePunct w:val="0"/>
              <w:autoSpaceDE/>
              <w:autoSpaceDN/>
              <w:bidi w:val="0"/>
              <w:adjustRightInd w:val="0"/>
              <w:snapToGrid w:val="0"/>
              <w:spacing w:line="580" w:lineRule="exact"/>
              <w:ind w:leftChars="0" w:firstLine="560" w:firstLineChars="200"/>
              <w:rPr>
                <w:rFonts w:hint="eastAsia" w:ascii="方正仿宋_GBK" w:hAnsi="方正仿宋_GBK" w:eastAsia="方正仿宋_GBK" w:cs="方正仿宋_GBK"/>
                <w:sz w:val="28"/>
                <w:szCs w:val="28"/>
                <w:lang w:val="en-US" w:eastAsia="zh-CN"/>
              </w:rPr>
            </w:pPr>
            <w:r>
              <w:rPr>
                <w:rFonts w:hint="eastAsia" w:ascii="方正黑体_GBK" w:hAnsi="方正黑体_GBK" w:eastAsia="方正黑体_GBK" w:cs="方正黑体_GBK"/>
                <w:b w:val="0"/>
                <w:bCs w:val="0"/>
                <w:i w:val="0"/>
                <w:iCs w:val="0"/>
                <w:color w:val="000000"/>
                <w:kern w:val="0"/>
                <w:sz w:val="28"/>
                <w:szCs w:val="28"/>
                <w:u w:val="none"/>
                <w:lang w:val="en-US" w:eastAsia="zh-CN" w:bidi="ar"/>
              </w:rPr>
              <w:t>二级冷链物流节点</w:t>
            </w:r>
            <w:r>
              <w:rPr>
                <w:rFonts w:hint="eastAsia" w:ascii="方正仿宋_GBK" w:hAnsi="方正仿宋_GBK" w:eastAsia="方正仿宋_GBK" w:cs="方正仿宋_GBK"/>
                <w:sz w:val="28"/>
                <w:szCs w:val="28"/>
                <w:lang w:val="en-US" w:eastAsia="zh-CN"/>
              </w:rPr>
              <w:t>。在有条件的区县中心区域的综合物流园区、农产品批发交易市场、大型商超、生产加工基地、大型种养殖基地等布局建设20个以上二级冷链物流节点，重点建设一批集集货、预冷、分选、加工、冷藏、发货、监测、收储、信息等功能于一体的产地冷链集配中心，提高农产品产后集散和商品化处理效率。建设一批集仓储、分拣、包装、配送、半成品加工等功能于一体的销地冷链集配中心，完善销地城市冷链物流系统，提高区域分拨配送效率。</w:t>
            </w:r>
          </w:p>
          <w:p>
            <w:pPr>
              <w:pStyle w:val="2"/>
              <w:keepNext w:val="0"/>
              <w:keepLines w:val="0"/>
              <w:pageBreakBefore w:val="0"/>
              <w:kinsoku/>
              <w:wordWrap/>
              <w:overflowPunct/>
              <w:topLinePunct w:val="0"/>
              <w:autoSpaceDE/>
              <w:autoSpaceDN/>
              <w:bidi w:val="0"/>
              <w:adjustRightInd w:val="0"/>
              <w:snapToGrid w:val="0"/>
              <w:spacing w:line="580" w:lineRule="exact"/>
              <w:ind w:leftChars="0" w:firstLine="560" w:firstLineChars="200"/>
              <w:rPr>
                <w:rFonts w:hint="eastAsia" w:ascii="方正黑体_GBK" w:hAnsi="方正黑体_GBK" w:eastAsia="方正黑体_GBK" w:cs="方正黑体_GBK"/>
                <w:b w:val="0"/>
                <w:bCs w:val="0"/>
                <w:i w:val="0"/>
                <w:iCs w:val="0"/>
                <w:color w:val="000000"/>
                <w:kern w:val="0"/>
                <w:sz w:val="28"/>
                <w:szCs w:val="28"/>
                <w:u w:val="none"/>
                <w:lang w:val="en-US" w:eastAsia="zh-CN" w:bidi="ar"/>
              </w:rPr>
            </w:pPr>
            <w:r>
              <w:rPr>
                <w:rFonts w:hint="eastAsia" w:ascii="方正黑体_GBK" w:hAnsi="方正黑体_GBK" w:eastAsia="方正黑体_GBK" w:cs="方正黑体_GBK"/>
                <w:b w:val="0"/>
                <w:bCs w:val="0"/>
                <w:i w:val="0"/>
                <w:iCs w:val="0"/>
                <w:color w:val="000000"/>
                <w:kern w:val="0"/>
                <w:sz w:val="28"/>
                <w:szCs w:val="28"/>
                <w:u w:val="none"/>
                <w:lang w:val="en-US" w:eastAsia="zh-CN" w:bidi="ar"/>
              </w:rPr>
              <w:t>三级冷链物流节点</w:t>
            </w:r>
            <w:r>
              <w:rPr>
                <w:rFonts w:hint="eastAsia" w:ascii="方正仿宋_GBK" w:hAnsi="方正仿宋_GBK" w:eastAsia="方正仿宋_GBK" w:cs="方正仿宋_GBK"/>
                <w:b/>
                <w:bCs/>
                <w:i w:val="0"/>
                <w:iCs w:val="0"/>
                <w:color w:val="000000"/>
                <w:kern w:val="0"/>
                <w:sz w:val="28"/>
                <w:szCs w:val="28"/>
                <w:u w:val="none"/>
                <w:lang w:val="en-US" w:eastAsia="zh-CN" w:bidi="ar"/>
              </w:rPr>
              <w:t>。</w:t>
            </w:r>
            <w:r>
              <w:rPr>
                <w:rFonts w:hint="eastAsia" w:ascii="方正仿宋_GBK" w:hAnsi="方正仿宋_GBK" w:eastAsia="方正仿宋_GBK" w:cs="方正仿宋_GBK"/>
                <w:i w:val="0"/>
                <w:iCs w:val="0"/>
                <w:color w:val="000000"/>
                <w:kern w:val="0"/>
                <w:sz w:val="28"/>
                <w:szCs w:val="28"/>
                <w:u w:val="none"/>
                <w:lang w:val="en-US" w:eastAsia="zh-CN" w:bidi="ar"/>
              </w:rPr>
              <w:t>为满足城乡居民冷链消费需求，鼓励各区县街道、乡镇布局建设N个生产型、零售型、转运型三级冷链物流节点，在农贸市场、商超、便利度、药店、生鲜电商、快递企业等建设城市末端冷链物流设施。在田间地头建设具备保鲜、预冷等功能的小型、移动仓储设施。</w:t>
            </w:r>
          </w:p>
        </w:tc>
      </w:tr>
    </w:tbl>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eastAsia" w:ascii="Times New Roman" w:hAnsi="Times New Roman" w:eastAsia="方正黑体_GBK" w:cs="Times New Roman"/>
          <w:color w:val="000000"/>
          <w:sz w:val="32"/>
          <w:szCs w:val="32"/>
          <w:lang w:val="en-US" w:eastAsia="zh-CN"/>
        </w:rPr>
      </w:pPr>
      <w:bookmarkStart w:id="113" w:name="_Toc25627"/>
      <w:r>
        <w:rPr>
          <w:rFonts w:hint="eastAsia" w:ascii="Times New Roman" w:hAnsi="Times New Roman" w:eastAsia="方正黑体_GBK" w:cs="Times New Roman"/>
          <w:color w:val="000000"/>
          <w:sz w:val="32"/>
          <w:szCs w:val="32"/>
          <w:lang w:val="en-US" w:eastAsia="zh-CN"/>
        </w:rPr>
        <w:t>第四章  搭建四式四向冷链双循环通道</w:t>
      </w:r>
      <w:bookmarkEnd w:id="113"/>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立足成渝地区双城经济圈建设，着眼国际国内市场空间、城市乡村消费群体，统筹东南西北四个方向、铁公水空四式联运，加快构建内畅外联的冷链物流双向循环通道，促进冷链物流规模化、通道化、网络化运行。</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14" w:name="_Toc5819"/>
      <w:r>
        <w:rPr>
          <w:rFonts w:hint="eastAsia" w:ascii="Times New Roman" w:hAnsi="Times New Roman" w:eastAsia="方正楷体_GBK" w:cs="Times New Roman"/>
          <w:b w:val="0"/>
          <w:bCs/>
          <w:color w:val="000000"/>
          <w:spacing w:val="-6"/>
          <w:lang w:val="en-US" w:eastAsia="zh-CN"/>
        </w:rPr>
        <w:t>第一节  构建七条冷链物流骨干通道</w:t>
      </w:r>
      <w:bookmarkEnd w:id="114"/>
    </w:p>
    <w:p>
      <w:pPr>
        <w:pStyle w:val="13"/>
        <w:shd w:val="clear" w:color="auto" w:fill="FFFFFF"/>
        <w:adjustRightInd w:val="0"/>
        <w:snapToGrid w:val="0"/>
        <w:spacing w:before="0" w:beforeAutospacing="0" w:after="0" w:afterAutospacing="0" w:line="580" w:lineRule="exact"/>
        <w:ind w:firstLine="640" w:firstLineChars="200"/>
        <w:rPr>
          <w:rFonts w:ascii="宋体" w:hAnsi="宋体" w:eastAsia="宋体" w:cs="宋体"/>
          <w:kern w:val="0"/>
          <w:sz w:val="24"/>
          <w:szCs w:val="24"/>
          <w:lang w:val="en-US" w:eastAsia="zh-CN" w:bidi="ar"/>
        </w:rPr>
      </w:pPr>
      <w:r>
        <w:rPr>
          <w:rFonts w:hint="eastAsia" w:ascii="Times New Roman" w:hAnsi="Times New Roman" w:eastAsia="方正仿宋_GBK" w:cs="Times New Roman"/>
          <w:color w:val="191919"/>
          <w:sz w:val="32"/>
          <w:szCs w:val="32"/>
          <w:shd w:val="clear" w:color="auto" w:fill="FFFFFF"/>
          <w:lang w:val="en-US" w:eastAsia="zh-CN"/>
        </w:rPr>
        <w:t>全面融入国家“四横四纵”冷链物流骨干通道网络，推动建设西部陆海新通道、亚欧国际、沿江综合立体、航空等4条冷链物流骨干通道。依托京津冀、粤港澳大湾区强大消费群体及边境口岸功能，建设对接京津冀、粤港澳大湾区的2条冷链物流骨干通道。推动建设成渝地区冷链物流骨干通道，促进区域冷链物流协同展。</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06415" cy="3843020"/>
            <wp:effectExtent l="0" t="0" r="13335" b="5080"/>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6"/>
                    <pic:cNvPicPr>
                      <a:picLocks noChangeAspect="1"/>
                    </pic:cNvPicPr>
                  </pic:nvPicPr>
                  <pic:blipFill>
                    <a:blip r:embed="rId11"/>
                    <a:stretch>
                      <a:fillRect/>
                    </a:stretch>
                  </pic:blipFill>
                  <pic:spPr>
                    <a:xfrm>
                      <a:off x="0" y="0"/>
                      <a:ext cx="5606415" cy="3843020"/>
                    </a:xfrm>
                    <a:prstGeom prst="rect">
                      <a:avLst/>
                    </a:prstGeom>
                    <a:noFill/>
                    <a:ln>
                      <a:noFill/>
                    </a:ln>
                  </pic:spPr>
                </pic:pic>
              </a:graphicData>
            </a:graphic>
          </wp:inline>
        </w:drawing>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rPr>
          <w:rFonts w:hint="eastAsia" w:ascii="黑体" w:hAnsi="黑体" w:eastAsia="黑体" w:cs="黑体"/>
          <w:color w:val="191919"/>
          <w:sz w:val="32"/>
          <w:szCs w:val="32"/>
          <w:shd w:val="clear" w:color="auto" w:fill="FFFFFF"/>
          <w:lang w:val="en-US" w:eastAsia="zh-CN"/>
        </w:rPr>
      </w:pPr>
      <w:r>
        <w:rPr>
          <w:rFonts w:hint="eastAsia" w:ascii="黑体" w:hAnsi="黑体" w:eastAsia="黑体" w:cs="黑体"/>
          <w:color w:val="191919"/>
          <w:sz w:val="32"/>
          <w:szCs w:val="32"/>
          <w:shd w:val="clear" w:color="auto" w:fill="FFFFFF"/>
          <w:lang w:val="en-US" w:eastAsia="zh-CN"/>
        </w:rPr>
        <w:t>图3-2  重庆冷链物流骨干通道空间布局图</w:t>
      </w:r>
    </w:p>
    <w:p>
      <w:pPr>
        <w:pStyle w:val="13"/>
        <w:shd w:val="clear" w:color="auto" w:fill="FFFFFF"/>
        <w:adjustRightInd w:val="0"/>
        <w:snapToGrid w:val="0"/>
        <w:spacing w:before="0" w:beforeAutospacing="0" w:after="0" w:afterAutospacing="0" w:line="580" w:lineRule="exact"/>
        <w:ind w:firstLine="640" w:firstLineChars="200"/>
        <w:jc w:val="center"/>
        <w:rPr>
          <w:rFonts w:hint="eastAsia" w:ascii="Times New Roman" w:hAnsi="Times New Roman" w:eastAsia="方正黑体_GBK" w:cs="方正黑体_GBK"/>
          <w:color w:val="191919"/>
          <w:sz w:val="32"/>
          <w:szCs w:val="32"/>
          <w:shd w:val="clear" w:color="auto" w:fill="FFFFFF"/>
          <w:lang w:val="en-US" w:eastAsia="zh-CN"/>
        </w:rPr>
      </w:pPr>
    </w:p>
    <w:p>
      <w:pPr>
        <w:pStyle w:val="13"/>
        <w:shd w:val="clear" w:color="auto" w:fill="FFFFFF"/>
        <w:adjustRightInd w:val="0"/>
        <w:snapToGrid w:val="0"/>
        <w:spacing w:before="0" w:beforeAutospacing="0" w:after="0" w:afterAutospacing="0" w:line="580" w:lineRule="exact"/>
        <w:ind w:firstLine="640" w:firstLineChars="200"/>
        <w:jc w:val="center"/>
        <w:rPr>
          <w:rFonts w:hint="eastAsia" w:ascii="Times New Roman" w:hAnsi="Times New Roman" w:eastAsia="方正黑体_GBK" w:cs="方正黑体_GBK"/>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表3-4  冷链物流运输骨干通道功能表</w:t>
      </w:r>
    </w:p>
    <w:tbl>
      <w:tblPr>
        <w:tblStyle w:val="14"/>
        <w:tblW w:w="4997" w:type="pct"/>
        <w:tblInd w:w="0" w:type="dxa"/>
        <w:tblLayout w:type="autofit"/>
        <w:tblCellMar>
          <w:top w:w="0" w:type="dxa"/>
          <w:left w:w="108" w:type="dxa"/>
          <w:bottom w:w="0" w:type="dxa"/>
          <w:right w:w="108" w:type="dxa"/>
        </w:tblCellMar>
      </w:tblPr>
      <w:tblGrid>
        <w:gridCol w:w="732"/>
        <w:gridCol w:w="1520"/>
        <w:gridCol w:w="6804"/>
      </w:tblGrid>
      <w:tr>
        <w:trPr>
          <w:trHeight w:val="330" w:hRule="atLeast"/>
          <w:tblHeader/>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b/>
                <w:bCs/>
                <w:i w:val="0"/>
                <w:iCs w:val="0"/>
                <w:color w:val="000000"/>
                <w:sz w:val="24"/>
                <w:szCs w:val="24"/>
                <w:u w:val="none"/>
              </w:rPr>
            </w:pPr>
            <w:r>
              <w:rPr>
                <w:rFonts w:hint="eastAsia" w:ascii="Times New Roman" w:hAnsi="Times New Roman" w:eastAsia="方正仿宋_GBK" w:cs="方正仿宋_GBK"/>
                <w:b/>
                <w:bCs/>
                <w:i w:val="0"/>
                <w:iCs w:val="0"/>
                <w:color w:val="000000"/>
                <w:kern w:val="0"/>
                <w:sz w:val="24"/>
                <w:szCs w:val="24"/>
                <w:u w:val="none"/>
                <w:lang w:val="en-US" w:eastAsia="zh-CN" w:bidi="ar"/>
              </w:rPr>
              <w:t>序号</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b/>
                <w:bCs/>
                <w:i w:val="0"/>
                <w:iCs w:val="0"/>
                <w:color w:val="000000"/>
                <w:sz w:val="24"/>
                <w:szCs w:val="24"/>
                <w:u w:val="none"/>
              </w:rPr>
            </w:pPr>
            <w:r>
              <w:rPr>
                <w:rFonts w:hint="eastAsia" w:ascii="Times New Roman" w:hAnsi="Times New Roman" w:eastAsia="方正仿宋_GBK" w:cs="方正仿宋_GBK"/>
                <w:b/>
                <w:bCs/>
                <w:i w:val="0"/>
                <w:iCs w:val="0"/>
                <w:color w:val="000000"/>
                <w:kern w:val="0"/>
                <w:sz w:val="24"/>
                <w:szCs w:val="24"/>
                <w:u w:val="none"/>
                <w:lang w:val="en-US" w:eastAsia="zh-CN" w:bidi="ar"/>
              </w:rPr>
              <w:t>通道名称</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b/>
                <w:bCs/>
                <w:i w:val="0"/>
                <w:iCs w:val="0"/>
                <w:color w:val="000000"/>
                <w:sz w:val="24"/>
                <w:szCs w:val="24"/>
                <w:u w:val="none"/>
              </w:rPr>
            </w:pPr>
            <w:r>
              <w:rPr>
                <w:rFonts w:hint="eastAsia" w:ascii="Times New Roman" w:hAnsi="Times New Roman" w:eastAsia="方正仿宋_GBK" w:cs="方正仿宋_GBK"/>
                <w:b/>
                <w:bCs/>
                <w:i w:val="0"/>
                <w:iCs w:val="0"/>
                <w:color w:val="000000"/>
                <w:kern w:val="0"/>
                <w:sz w:val="24"/>
                <w:szCs w:val="24"/>
                <w:u w:val="none"/>
                <w:lang w:val="en-US" w:eastAsia="zh-CN" w:bidi="ar"/>
              </w:rPr>
              <w:t>功能定位</w:t>
            </w:r>
          </w:p>
        </w:tc>
      </w:tr>
      <w:tr>
        <w:trPr>
          <w:trHeight w:val="990"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西部陆海新通道冷链物流</w:t>
            </w:r>
            <w:r>
              <w:rPr>
                <w:rFonts w:hint="eastAsia" w:eastAsia="方正仿宋_GBK" w:cs="方正仿宋_GBK"/>
                <w:i w:val="0"/>
                <w:iCs w:val="0"/>
                <w:color w:val="000000"/>
                <w:kern w:val="0"/>
                <w:sz w:val="24"/>
                <w:szCs w:val="24"/>
                <w:u w:val="none"/>
                <w:lang w:val="en-US" w:eastAsia="zh-CN" w:bidi="ar"/>
              </w:rPr>
              <w:t>骨干通道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发挥西部陆海新通道运营组织中心服务功能，加强与东盟沿线国家及地区农产品贸易合作，支持开行铁海联运冷链班列、跨境公路冷链班车、国际铁路冷链班列，培育壮大东盟水果、水产品等冷链产品进口规模，推动我市</w:t>
            </w:r>
            <w:r>
              <w:rPr>
                <w:rFonts w:hint="eastAsia" w:eastAsia="方正仿宋_GBK" w:cs="方正仿宋_GBK"/>
                <w:i w:val="0"/>
                <w:iCs w:val="0"/>
                <w:color w:val="000000"/>
                <w:kern w:val="0"/>
                <w:sz w:val="24"/>
                <w:szCs w:val="24"/>
                <w:u w:val="none"/>
                <w:lang w:val="en-US" w:eastAsia="zh-CN" w:bidi="ar"/>
              </w:rPr>
              <w:t>柑橘等特色</w:t>
            </w:r>
            <w:r>
              <w:rPr>
                <w:rFonts w:hint="eastAsia" w:ascii="Times New Roman" w:hAnsi="Times New Roman" w:eastAsia="方正仿宋_GBK" w:cs="方正仿宋_GBK"/>
                <w:i w:val="0"/>
                <w:iCs w:val="0"/>
                <w:color w:val="000000"/>
                <w:kern w:val="0"/>
                <w:sz w:val="24"/>
                <w:szCs w:val="24"/>
                <w:u w:val="none"/>
                <w:lang w:val="en-US" w:eastAsia="zh-CN" w:bidi="ar"/>
              </w:rPr>
              <w:t>冷链农产品出口</w:t>
            </w:r>
            <w:r>
              <w:rPr>
                <w:rFonts w:hint="eastAsia" w:eastAsia="方正仿宋_GBK" w:cs="方正仿宋_GBK"/>
                <w:i w:val="0"/>
                <w:iCs w:val="0"/>
                <w:color w:val="000000"/>
                <w:kern w:val="0"/>
                <w:sz w:val="24"/>
                <w:szCs w:val="24"/>
                <w:u w:val="none"/>
                <w:lang w:val="en-US" w:eastAsia="zh-CN" w:bidi="ar"/>
              </w:rPr>
              <w:t>规模</w:t>
            </w:r>
            <w:r>
              <w:rPr>
                <w:rFonts w:hint="eastAsia" w:ascii="Times New Roman" w:hAnsi="Times New Roman" w:eastAsia="方正仿宋_GBK" w:cs="方正仿宋_GBK"/>
                <w:i w:val="0"/>
                <w:iCs w:val="0"/>
                <w:color w:val="000000"/>
                <w:kern w:val="0"/>
                <w:sz w:val="24"/>
                <w:szCs w:val="24"/>
                <w:u w:val="none"/>
                <w:lang w:val="en-US" w:eastAsia="zh-CN" w:bidi="ar"/>
              </w:rPr>
              <w:t>，构建重庆与东盟国际冷链物流双向循环</w:t>
            </w:r>
            <w:r>
              <w:rPr>
                <w:rFonts w:hint="eastAsia" w:eastAsia="方正仿宋_GBK" w:cs="方正仿宋_GBK"/>
                <w:i w:val="0"/>
                <w:iCs w:val="0"/>
                <w:color w:val="000000"/>
                <w:kern w:val="0"/>
                <w:sz w:val="24"/>
                <w:szCs w:val="24"/>
                <w:u w:val="none"/>
                <w:lang w:val="en-US" w:eastAsia="zh-CN" w:bidi="ar"/>
              </w:rPr>
              <w:t>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r>
        <w:trPr>
          <w:trHeight w:val="410"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亚欧国际冷链物流</w:t>
            </w:r>
            <w:r>
              <w:rPr>
                <w:rFonts w:hint="eastAsia" w:eastAsia="方正仿宋_GBK" w:cs="方正仿宋_GBK"/>
                <w:i w:val="0"/>
                <w:iCs w:val="0"/>
                <w:color w:val="000000"/>
                <w:kern w:val="0"/>
                <w:sz w:val="24"/>
                <w:szCs w:val="24"/>
                <w:u w:val="none"/>
                <w:lang w:val="en-US" w:eastAsia="zh-CN" w:bidi="ar"/>
              </w:rPr>
              <w:t>骨干通道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深度融入共建“一带一路”，加强与欧盟、俄罗斯等</w:t>
            </w:r>
            <w:r>
              <w:rPr>
                <w:rFonts w:hint="eastAsia" w:eastAsia="方正仿宋_GBK" w:cs="方正仿宋_GBK"/>
                <w:i w:val="0"/>
                <w:iCs w:val="0"/>
                <w:color w:val="000000"/>
                <w:kern w:val="0"/>
                <w:sz w:val="24"/>
                <w:szCs w:val="24"/>
                <w:u w:val="none"/>
                <w:lang w:val="en-US" w:eastAsia="zh-CN" w:bidi="ar"/>
              </w:rPr>
              <w:t>通道沿线国家地区</w:t>
            </w:r>
            <w:r>
              <w:rPr>
                <w:rFonts w:hint="eastAsia" w:ascii="Times New Roman" w:hAnsi="Times New Roman" w:eastAsia="方正仿宋_GBK" w:cs="方正仿宋_GBK"/>
                <w:i w:val="0"/>
                <w:iCs w:val="0"/>
                <w:color w:val="000000"/>
                <w:kern w:val="0"/>
                <w:sz w:val="24"/>
                <w:szCs w:val="24"/>
                <w:u w:val="none"/>
                <w:lang w:val="en-US" w:eastAsia="zh-CN" w:bidi="ar"/>
              </w:rPr>
              <w:t>农产品贸易合作，鼓励开行</w:t>
            </w:r>
            <w:r>
              <w:rPr>
                <w:rFonts w:hint="eastAsia" w:eastAsia="方正仿宋_GBK" w:cs="方正仿宋_GBK"/>
                <w:i w:val="0"/>
                <w:iCs w:val="0"/>
                <w:color w:val="000000"/>
                <w:kern w:val="0"/>
                <w:sz w:val="24"/>
                <w:szCs w:val="24"/>
                <w:u w:val="none"/>
                <w:lang w:val="en-US" w:eastAsia="zh-CN" w:bidi="ar"/>
              </w:rPr>
              <w:t>中欧班列（成渝）</w:t>
            </w:r>
            <w:r>
              <w:rPr>
                <w:rFonts w:hint="eastAsia" w:ascii="Times New Roman" w:hAnsi="Times New Roman" w:eastAsia="方正仿宋_GBK" w:cs="方正仿宋_GBK"/>
                <w:i w:val="0"/>
                <w:iCs w:val="0"/>
                <w:color w:val="000000"/>
                <w:kern w:val="0"/>
                <w:sz w:val="24"/>
                <w:szCs w:val="24"/>
                <w:u w:val="none"/>
                <w:lang w:val="en-US" w:eastAsia="zh-CN" w:bidi="ar"/>
              </w:rPr>
              <w:t>精品冷链班列，培育壮大</w:t>
            </w:r>
            <w:r>
              <w:rPr>
                <w:rFonts w:hint="eastAsia" w:eastAsia="方正仿宋_GBK" w:cs="方正仿宋_GBK"/>
                <w:i w:val="0"/>
                <w:iCs w:val="0"/>
                <w:color w:val="000000"/>
                <w:kern w:val="0"/>
                <w:sz w:val="24"/>
                <w:szCs w:val="24"/>
                <w:u w:val="none"/>
                <w:lang w:val="en-US" w:eastAsia="zh-CN" w:bidi="ar"/>
              </w:rPr>
              <w:t>红酒</w:t>
            </w:r>
            <w:r>
              <w:rPr>
                <w:rFonts w:hint="eastAsia" w:ascii="Times New Roman" w:hAnsi="Times New Roman" w:eastAsia="方正仿宋_GBK" w:cs="方正仿宋_GBK"/>
                <w:i w:val="0"/>
                <w:iCs w:val="0"/>
                <w:color w:val="000000"/>
                <w:kern w:val="0"/>
                <w:sz w:val="24"/>
                <w:szCs w:val="24"/>
                <w:u w:val="none"/>
                <w:lang w:val="en-US" w:eastAsia="zh-CN" w:bidi="ar"/>
              </w:rPr>
              <w:t>、药品</w:t>
            </w:r>
            <w:r>
              <w:rPr>
                <w:rFonts w:hint="eastAsia" w:eastAsia="方正仿宋_GBK" w:cs="方正仿宋_GBK"/>
                <w:i w:val="0"/>
                <w:iCs w:val="0"/>
                <w:color w:val="000000"/>
                <w:kern w:val="0"/>
                <w:sz w:val="24"/>
                <w:szCs w:val="24"/>
                <w:u w:val="none"/>
                <w:lang w:val="en-US" w:eastAsia="zh-CN" w:bidi="ar"/>
              </w:rPr>
              <w:t>、</w:t>
            </w:r>
            <w:r>
              <w:rPr>
                <w:rFonts w:hint="eastAsia" w:ascii="Times New Roman" w:hAnsi="Times New Roman" w:eastAsia="方正仿宋_GBK" w:cs="方正仿宋_GBK"/>
                <w:i w:val="0"/>
                <w:iCs w:val="0"/>
                <w:color w:val="000000"/>
                <w:kern w:val="0"/>
                <w:sz w:val="24"/>
                <w:szCs w:val="24"/>
                <w:u w:val="none"/>
                <w:lang w:val="en-US" w:eastAsia="zh-CN" w:bidi="ar"/>
              </w:rPr>
              <w:t>肉类等冷链产品进口规模，推动我市冷链农产品出口</w:t>
            </w:r>
            <w:r>
              <w:rPr>
                <w:rFonts w:hint="eastAsia" w:eastAsia="方正仿宋_GBK" w:cs="方正仿宋_GBK"/>
                <w:i w:val="0"/>
                <w:iCs w:val="0"/>
                <w:color w:val="000000"/>
                <w:kern w:val="0"/>
                <w:sz w:val="24"/>
                <w:szCs w:val="24"/>
                <w:u w:val="none"/>
                <w:lang w:val="en-US" w:eastAsia="zh-CN" w:bidi="ar"/>
              </w:rPr>
              <w:t>规模</w:t>
            </w:r>
            <w:r>
              <w:rPr>
                <w:rFonts w:hint="eastAsia" w:ascii="Times New Roman" w:hAnsi="Times New Roman" w:eastAsia="方正仿宋_GBK" w:cs="方正仿宋_GBK"/>
                <w:i w:val="0"/>
                <w:iCs w:val="0"/>
                <w:color w:val="000000"/>
                <w:kern w:val="0"/>
                <w:sz w:val="24"/>
                <w:szCs w:val="24"/>
                <w:u w:val="none"/>
                <w:lang w:val="en-US" w:eastAsia="zh-CN" w:bidi="ar"/>
              </w:rPr>
              <w:t>，构建重庆与亚欧国家国际冷链物流双向循环</w:t>
            </w:r>
            <w:r>
              <w:rPr>
                <w:rFonts w:hint="eastAsia" w:eastAsia="方正仿宋_GBK" w:cs="方正仿宋_GBK"/>
                <w:i w:val="0"/>
                <w:iCs w:val="0"/>
                <w:color w:val="000000"/>
                <w:kern w:val="0"/>
                <w:sz w:val="24"/>
                <w:szCs w:val="24"/>
                <w:u w:val="none"/>
                <w:lang w:val="en-US" w:eastAsia="zh-CN" w:bidi="ar"/>
              </w:rPr>
              <w:t>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r>
        <w:trPr>
          <w:trHeight w:val="576"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eastAsia="方正仿宋_GBK" w:cs="方正仿宋_GBK"/>
                <w:i w:val="0"/>
                <w:iCs w:val="0"/>
                <w:color w:val="000000"/>
                <w:kern w:val="0"/>
                <w:sz w:val="24"/>
                <w:szCs w:val="24"/>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沿江综合立体冷链物流</w:t>
            </w:r>
            <w:r>
              <w:rPr>
                <w:rFonts w:hint="eastAsia" w:eastAsia="方正仿宋_GBK" w:cs="方正仿宋_GBK"/>
                <w:i w:val="0"/>
                <w:iCs w:val="0"/>
                <w:color w:val="000000"/>
                <w:kern w:val="0"/>
                <w:sz w:val="24"/>
                <w:szCs w:val="24"/>
                <w:u w:val="none"/>
                <w:lang w:val="en-US" w:eastAsia="zh-CN" w:bidi="ar"/>
              </w:rPr>
              <w:t>骨干通道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依托长江黄金水道、沪渝高速、沪蓉高速、银百高速等，</w:t>
            </w:r>
            <w:r>
              <w:rPr>
                <w:rFonts w:hint="eastAsia" w:eastAsia="方正仿宋_GBK" w:cs="方正仿宋_GBK"/>
                <w:i w:val="0"/>
                <w:iCs w:val="0"/>
                <w:color w:val="000000"/>
                <w:kern w:val="0"/>
                <w:sz w:val="24"/>
                <w:szCs w:val="24"/>
                <w:u w:val="none"/>
                <w:lang w:val="en-US" w:eastAsia="zh-CN" w:bidi="ar"/>
              </w:rPr>
              <w:t>创新与上海港合作，优化</w:t>
            </w:r>
            <w:r>
              <w:rPr>
                <w:rFonts w:hint="eastAsia" w:ascii="Times New Roman" w:hAnsi="Times New Roman" w:eastAsia="方正仿宋_GBK" w:cs="方正仿宋_GBK"/>
                <w:i w:val="0"/>
                <w:iCs w:val="0"/>
                <w:color w:val="000000"/>
                <w:kern w:val="0"/>
                <w:sz w:val="24"/>
                <w:szCs w:val="24"/>
                <w:u w:val="none"/>
                <w:lang w:val="en-US" w:eastAsia="zh-CN" w:bidi="ar"/>
              </w:rPr>
              <w:t>冷链运输组织模式，</w:t>
            </w:r>
            <w:r>
              <w:rPr>
                <w:rFonts w:hint="eastAsia" w:eastAsia="方正仿宋_GBK" w:cs="方正仿宋_GBK"/>
                <w:i w:val="0"/>
                <w:iCs w:val="0"/>
                <w:color w:val="000000"/>
                <w:kern w:val="0"/>
                <w:sz w:val="24"/>
                <w:szCs w:val="24"/>
                <w:u w:val="none"/>
                <w:lang w:val="en-US" w:eastAsia="zh-CN" w:bidi="ar"/>
              </w:rPr>
              <w:t>提升冷链集装箱公路直达班车运输效率，鼓励开展铁路集装箱冷链运输，</w:t>
            </w:r>
            <w:r>
              <w:rPr>
                <w:rFonts w:hint="eastAsia" w:ascii="Times New Roman" w:hAnsi="Times New Roman" w:eastAsia="方正仿宋_GBK" w:cs="方正仿宋_GBK"/>
                <w:i w:val="0"/>
                <w:iCs w:val="0"/>
                <w:color w:val="000000"/>
                <w:kern w:val="0"/>
                <w:sz w:val="24"/>
                <w:szCs w:val="24"/>
                <w:u w:val="none"/>
                <w:lang w:val="en-US" w:eastAsia="zh-CN" w:bidi="ar"/>
              </w:rPr>
              <w:t>探索开行沪渝直达冷链快线，</w:t>
            </w:r>
            <w:r>
              <w:rPr>
                <w:rFonts w:hint="eastAsia" w:eastAsia="方正仿宋_GBK" w:cs="方正仿宋_GBK"/>
                <w:i w:val="0"/>
                <w:iCs w:val="0"/>
                <w:color w:val="000000"/>
                <w:kern w:val="0"/>
                <w:sz w:val="24"/>
                <w:szCs w:val="24"/>
                <w:u w:val="none"/>
                <w:lang w:val="en-US" w:eastAsia="zh-CN" w:bidi="ar"/>
              </w:rPr>
              <w:t>培育壮大水果、</w:t>
            </w:r>
            <w:r>
              <w:rPr>
                <w:rFonts w:hint="eastAsia" w:ascii="Times New Roman" w:hAnsi="Times New Roman" w:eastAsia="方正仿宋_GBK" w:cs="方正仿宋_GBK"/>
                <w:i w:val="0"/>
                <w:iCs w:val="0"/>
                <w:color w:val="000000"/>
                <w:kern w:val="0"/>
                <w:sz w:val="24"/>
                <w:szCs w:val="24"/>
                <w:u w:val="none"/>
                <w:lang w:val="en-US" w:eastAsia="zh-CN" w:bidi="ar"/>
              </w:rPr>
              <w:t>水产品、肉类产品等冷链食品</w:t>
            </w:r>
            <w:r>
              <w:rPr>
                <w:rFonts w:hint="eastAsia" w:eastAsia="方正仿宋_GBK" w:cs="方正仿宋_GBK"/>
                <w:i w:val="0"/>
                <w:iCs w:val="0"/>
                <w:color w:val="000000"/>
                <w:kern w:val="0"/>
                <w:sz w:val="24"/>
                <w:szCs w:val="24"/>
                <w:u w:val="none"/>
                <w:lang w:val="en-US" w:eastAsia="zh-CN" w:bidi="ar"/>
              </w:rPr>
              <w:t>，</w:t>
            </w:r>
            <w:r>
              <w:rPr>
                <w:rFonts w:hint="eastAsia" w:ascii="Times New Roman" w:hAnsi="Times New Roman" w:eastAsia="方正仿宋_GBK" w:cs="方正仿宋_GBK"/>
                <w:i w:val="0"/>
                <w:iCs w:val="0"/>
                <w:color w:val="000000"/>
                <w:kern w:val="0"/>
                <w:sz w:val="24"/>
                <w:szCs w:val="24"/>
                <w:u w:val="none"/>
                <w:lang w:val="en-US" w:eastAsia="zh-CN" w:bidi="ar"/>
              </w:rPr>
              <w:t>打造水铁公综合立体型冷链物流</w:t>
            </w:r>
            <w:r>
              <w:rPr>
                <w:rFonts w:hint="eastAsia" w:eastAsia="方正仿宋_GBK" w:cs="方正仿宋_GBK"/>
                <w:i w:val="0"/>
                <w:iCs w:val="0"/>
                <w:color w:val="000000"/>
                <w:kern w:val="0"/>
                <w:sz w:val="24"/>
                <w:szCs w:val="24"/>
                <w:u w:val="none"/>
                <w:lang w:val="en-US" w:eastAsia="zh-CN" w:bidi="ar"/>
              </w:rPr>
              <w:t>骨干通道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r>
        <w:trPr>
          <w:trHeight w:val="576"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航空冷链物流</w:t>
            </w:r>
            <w:r>
              <w:rPr>
                <w:rFonts w:hint="eastAsia" w:eastAsia="方正仿宋_GBK" w:cs="方正仿宋_GBK"/>
                <w:i w:val="0"/>
                <w:iCs w:val="0"/>
                <w:color w:val="000000"/>
                <w:kern w:val="0"/>
                <w:sz w:val="24"/>
                <w:szCs w:val="24"/>
                <w:u w:val="none"/>
                <w:lang w:val="en-US" w:eastAsia="zh-CN" w:bidi="ar"/>
              </w:rPr>
              <w:t>骨干通道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依托江北国际机场，完善航空冷链物流运输网络服务体系，推动建设跨境冷链物流分拨中心，提前谋划重庆新机场片区冷链物流产业业态和规划布局，鼓励发展冷藏卡车航班，提高公空联运。培育壮大鲜花、高端食品、医药产品、工业冷链品等航空冷链运输规模，打造跨境航空冷链物流</w:t>
            </w:r>
            <w:r>
              <w:rPr>
                <w:rFonts w:hint="eastAsia" w:eastAsia="方正仿宋_GBK" w:cs="方正仿宋_GBK"/>
                <w:i w:val="0"/>
                <w:iCs w:val="0"/>
                <w:color w:val="000000"/>
                <w:kern w:val="0"/>
                <w:sz w:val="24"/>
                <w:szCs w:val="24"/>
                <w:u w:val="none"/>
                <w:lang w:val="en-US" w:eastAsia="zh-CN" w:bidi="ar"/>
              </w:rPr>
              <w:t>骨干通道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r>
        <w:trPr>
          <w:trHeight w:val="660"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对接京津冀冷链物流</w:t>
            </w:r>
            <w:r>
              <w:rPr>
                <w:rFonts w:hint="eastAsia" w:eastAsia="方正仿宋_GBK" w:cs="方正仿宋_GBK"/>
                <w:i w:val="0"/>
                <w:iCs w:val="0"/>
                <w:color w:val="000000"/>
                <w:kern w:val="0"/>
                <w:sz w:val="24"/>
                <w:szCs w:val="24"/>
                <w:u w:val="none"/>
                <w:lang w:val="en-US" w:eastAsia="zh-CN" w:bidi="ar"/>
              </w:rPr>
              <w:t>骨干通道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依托包茂高速</w:t>
            </w:r>
            <w:r>
              <w:rPr>
                <w:rFonts w:hint="eastAsia" w:eastAsia="方正仿宋_GBK" w:cs="方正仿宋_GBK"/>
                <w:i w:val="0"/>
                <w:iCs w:val="0"/>
                <w:color w:val="000000"/>
                <w:kern w:val="0"/>
                <w:sz w:val="24"/>
                <w:szCs w:val="24"/>
                <w:u w:val="none"/>
                <w:lang w:val="en-US" w:eastAsia="zh-CN" w:bidi="ar"/>
              </w:rPr>
              <w:t>、铁路</w:t>
            </w:r>
            <w:r>
              <w:rPr>
                <w:rFonts w:hint="eastAsia" w:ascii="Times New Roman" w:hAnsi="Times New Roman" w:eastAsia="方正仿宋_GBK" w:cs="方正仿宋_GBK"/>
                <w:i w:val="0"/>
                <w:iCs w:val="0"/>
                <w:color w:val="000000"/>
                <w:kern w:val="0"/>
                <w:sz w:val="24"/>
                <w:szCs w:val="24"/>
                <w:u w:val="none"/>
                <w:lang w:val="en-US" w:eastAsia="zh-CN" w:bidi="ar"/>
              </w:rPr>
              <w:t>等，</w:t>
            </w:r>
            <w:r>
              <w:rPr>
                <w:rFonts w:hint="eastAsia" w:eastAsia="方正仿宋_GBK" w:cs="方正仿宋_GBK"/>
                <w:i w:val="0"/>
                <w:iCs w:val="0"/>
                <w:color w:val="000000"/>
                <w:kern w:val="0"/>
                <w:sz w:val="24"/>
                <w:szCs w:val="24"/>
                <w:u w:val="none"/>
                <w:lang w:val="en-US" w:eastAsia="zh-CN" w:bidi="ar"/>
              </w:rPr>
              <w:t>创新与天津港（大连港）合作，</w:t>
            </w:r>
            <w:r>
              <w:rPr>
                <w:rFonts w:hint="eastAsia" w:ascii="Times New Roman" w:hAnsi="Times New Roman" w:eastAsia="方正仿宋_GBK" w:cs="方正仿宋_GBK"/>
                <w:i w:val="0"/>
                <w:iCs w:val="0"/>
                <w:color w:val="000000"/>
                <w:kern w:val="0"/>
                <w:sz w:val="24"/>
                <w:szCs w:val="24"/>
                <w:u w:val="none"/>
                <w:lang w:val="en-US" w:eastAsia="zh-CN" w:bidi="ar"/>
              </w:rPr>
              <w:t>优化冷链运输组织模式，</w:t>
            </w:r>
            <w:r>
              <w:rPr>
                <w:rFonts w:hint="eastAsia" w:eastAsia="方正仿宋_GBK" w:cs="方正仿宋_GBK"/>
                <w:i w:val="0"/>
                <w:iCs w:val="0"/>
                <w:color w:val="000000"/>
                <w:kern w:val="0"/>
                <w:sz w:val="24"/>
                <w:szCs w:val="24"/>
                <w:u w:val="none"/>
                <w:lang w:val="en-US" w:eastAsia="zh-CN" w:bidi="ar"/>
              </w:rPr>
              <w:t>提升冷链集装箱公路直达班车运输效率，鼓励开展铁路集装箱冷链运输，打造重庆对接</w:t>
            </w:r>
            <w:r>
              <w:rPr>
                <w:rFonts w:hint="eastAsia" w:ascii="Times New Roman" w:hAnsi="Times New Roman" w:eastAsia="方正仿宋_GBK" w:cs="方正仿宋_GBK"/>
                <w:i w:val="0"/>
                <w:iCs w:val="0"/>
                <w:color w:val="000000"/>
                <w:kern w:val="0"/>
                <w:sz w:val="24"/>
                <w:szCs w:val="24"/>
                <w:u w:val="none"/>
                <w:lang w:val="en-US" w:eastAsia="zh-CN" w:bidi="ar"/>
              </w:rPr>
              <w:t>环渤海经济圈冷链物流</w:t>
            </w:r>
            <w:r>
              <w:rPr>
                <w:rFonts w:hint="eastAsia" w:eastAsia="方正仿宋_GBK" w:cs="方正仿宋_GBK"/>
                <w:i w:val="0"/>
                <w:iCs w:val="0"/>
                <w:color w:val="000000"/>
                <w:kern w:val="0"/>
                <w:sz w:val="24"/>
                <w:szCs w:val="24"/>
                <w:u w:val="none"/>
                <w:lang w:val="en-US" w:eastAsia="zh-CN" w:bidi="ar"/>
              </w:rPr>
              <w:t>骨干通道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r>
        <w:trPr>
          <w:trHeight w:val="343"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6</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对接粤港澳大湾区冷链物流</w:t>
            </w:r>
            <w:r>
              <w:rPr>
                <w:rFonts w:hint="eastAsia" w:eastAsia="方正仿宋_GBK" w:cs="方正仿宋_GBK"/>
                <w:i w:val="0"/>
                <w:iCs w:val="0"/>
                <w:color w:val="000000"/>
                <w:kern w:val="0"/>
                <w:sz w:val="24"/>
                <w:szCs w:val="24"/>
                <w:u w:val="none"/>
                <w:lang w:val="en-US" w:eastAsia="zh-CN" w:bidi="ar"/>
              </w:rPr>
              <w:t>骨干通道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依托包茂高速、银百高速</w:t>
            </w:r>
            <w:r>
              <w:rPr>
                <w:rFonts w:hint="eastAsia" w:eastAsia="方正仿宋_GBK" w:cs="方正仿宋_GBK"/>
                <w:i w:val="0"/>
                <w:iCs w:val="0"/>
                <w:color w:val="000000"/>
                <w:kern w:val="0"/>
                <w:sz w:val="24"/>
                <w:szCs w:val="24"/>
                <w:u w:val="none"/>
                <w:lang w:val="en-US" w:eastAsia="zh-CN" w:bidi="ar"/>
              </w:rPr>
              <w:t>、铁路</w:t>
            </w:r>
            <w:r>
              <w:rPr>
                <w:rFonts w:hint="eastAsia" w:ascii="Times New Roman" w:hAnsi="Times New Roman" w:eastAsia="方正仿宋_GBK" w:cs="方正仿宋_GBK"/>
                <w:i w:val="0"/>
                <w:iCs w:val="0"/>
                <w:color w:val="000000"/>
                <w:kern w:val="0"/>
                <w:sz w:val="24"/>
                <w:szCs w:val="24"/>
                <w:u w:val="none"/>
                <w:lang w:val="en-US" w:eastAsia="zh-CN" w:bidi="ar"/>
              </w:rPr>
              <w:t>等，</w:t>
            </w:r>
            <w:r>
              <w:rPr>
                <w:rFonts w:hint="eastAsia" w:eastAsia="方正仿宋_GBK" w:cs="方正仿宋_GBK"/>
                <w:i w:val="0"/>
                <w:iCs w:val="0"/>
                <w:color w:val="000000"/>
                <w:kern w:val="0"/>
                <w:sz w:val="24"/>
                <w:szCs w:val="24"/>
                <w:u w:val="none"/>
                <w:lang w:val="en-US" w:eastAsia="zh-CN" w:bidi="ar"/>
              </w:rPr>
              <w:t>创新</w:t>
            </w:r>
            <w:r>
              <w:rPr>
                <w:rFonts w:hint="eastAsia" w:ascii="Times New Roman" w:hAnsi="Times New Roman" w:eastAsia="方正仿宋_GBK" w:cs="方正仿宋_GBK"/>
                <w:i w:val="0"/>
                <w:iCs w:val="0"/>
                <w:color w:val="000000"/>
                <w:kern w:val="0"/>
                <w:sz w:val="24"/>
                <w:szCs w:val="24"/>
                <w:u w:val="none"/>
                <w:lang w:val="en-US" w:eastAsia="zh-CN" w:bidi="ar"/>
              </w:rPr>
              <w:t>与广州港</w:t>
            </w:r>
            <w:r>
              <w:rPr>
                <w:rFonts w:hint="eastAsia" w:eastAsia="方正仿宋_GBK" w:cs="方正仿宋_GBK"/>
                <w:i w:val="0"/>
                <w:iCs w:val="0"/>
                <w:color w:val="000000"/>
                <w:kern w:val="0"/>
                <w:sz w:val="24"/>
                <w:szCs w:val="24"/>
                <w:u w:val="none"/>
                <w:lang w:val="en-US" w:eastAsia="zh-CN" w:bidi="ar"/>
              </w:rPr>
              <w:t>合作，</w:t>
            </w:r>
            <w:r>
              <w:rPr>
                <w:rFonts w:hint="eastAsia" w:ascii="Times New Roman" w:hAnsi="Times New Roman" w:eastAsia="方正仿宋_GBK" w:cs="方正仿宋_GBK"/>
                <w:i w:val="0"/>
                <w:iCs w:val="0"/>
                <w:color w:val="000000"/>
                <w:kern w:val="0"/>
                <w:sz w:val="24"/>
                <w:szCs w:val="24"/>
                <w:u w:val="none"/>
                <w:lang w:val="en-US" w:eastAsia="zh-CN" w:bidi="ar"/>
              </w:rPr>
              <w:t>优化冷链运输组织模式，</w:t>
            </w:r>
            <w:r>
              <w:rPr>
                <w:rFonts w:hint="eastAsia" w:eastAsia="方正仿宋_GBK" w:cs="方正仿宋_GBK"/>
                <w:i w:val="0"/>
                <w:iCs w:val="0"/>
                <w:color w:val="000000"/>
                <w:kern w:val="0"/>
                <w:sz w:val="24"/>
                <w:szCs w:val="24"/>
                <w:u w:val="none"/>
                <w:lang w:val="en-US" w:eastAsia="zh-CN" w:bidi="ar"/>
              </w:rPr>
              <w:t>提升冷链集装箱公路直达班车运输效率，鼓励开展铁路集装箱冷链运输，打造重庆对</w:t>
            </w:r>
            <w:r>
              <w:rPr>
                <w:rFonts w:hint="eastAsia" w:ascii="Times New Roman" w:hAnsi="Times New Roman" w:eastAsia="方正仿宋_GBK" w:cs="方正仿宋_GBK"/>
                <w:i w:val="0"/>
                <w:iCs w:val="0"/>
                <w:color w:val="000000"/>
                <w:kern w:val="0"/>
                <w:sz w:val="24"/>
                <w:szCs w:val="24"/>
                <w:u w:val="none"/>
                <w:lang w:val="en-US" w:eastAsia="zh-CN" w:bidi="ar"/>
              </w:rPr>
              <w:t>粤港澳大湾区冷链物流</w:t>
            </w:r>
            <w:r>
              <w:rPr>
                <w:rFonts w:hint="eastAsia" w:eastAsia="方正仿宋_GBK" w:cs="方正仿宋_GBK"/>
                <w:i w:val="0"/>
                <w:iCs w:val="0"/>
                <w:color w:val="000000"/>
                <w:kern w:val="0"/>
                <w:sz w:val="24"/>
                <w:szCs w:val="24"/>
                <w:u w:val="none"/>
                <w:lang w:val="en-US" w:eastAsia="zh-CN" w:bidi="ar"/>
              </w:rPr>
              <w:t>骨干通道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r>
        <w:trPr>
          <w:trHeight w:val="660" w:hRule="atLeast"/>
        </w:trPr>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7</w:t>
            </w:r>
          </w:p>
        </w:tc>
        <w:tc>
          <w:tcPr>
            <w:tcW w:w="8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成渝地区冷链物流</w:t>
            </w:r>
            <w:r>
              <w:rPr>
                <w:rFonts w:hint="eastAsia" w:eastAsia="方正仿宋_GBK" w:cs="方正仿宋_GBK"/>
                <w:i w:val="0"/>
                <w:iCs w:val="0"/>
                <w:color w:val="000000"/>
                <w:kern w:val="0"/>
                <w:sz w:val="24"/>
                <w:szCs w:val="24"/>
                <w:u w:val="none"/>
                <w:lang w:val="en-US" w:eastAsia="zh-CN" w:bidi="ar"/>
              </w:rPr>
              <w:t>骨干</w:t>
            </w:r>
            <w:r>
              <w:rPr>
                <w:rFonts w:hint="eastAsia" w:ascii="Times New Roman" w:hAnsi="Times New Roman" w:eastAsia="方正仿宋_GBK" w:cs="方正仿宋_GBK"/>
                <w:i w:val="0"/>
                <w:iCs w:val="0"/>
                <w:color w:val="000000"/>
                <w:kern w:val="0"/>
                <w:sz w:val="24"/>
                <w:szCs w:val="24"/>
                <w:u w:val="none"/>
                <w:lang w:val="en-US" w:eastAsia="zh-CN" w:bidi="ar"/>
              </w:rPr>
              <w:t>通道</w:t>
            </w:r>
          </w:p>
        </w:tc>
        <w:tc>
          <w:tcPr>
            <w:tcW w:w="37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依托渝遂高速、渝武高速、成渝高速等，以潼南、荣昌为支点，推动建设川渝冷链物流协同发展示范基地，加快构建中心城区-潼南（荣昌）-成都冷链物流</w:t>
            </w:r>
            <w:r>
              <w:rPr>
                <w:rFonts w:hint="eastAsia" w:eastAsia="方正仿宋_GBK" w:cs="方正仿宋_GBK"/>
                <w:i w:val="0"/>
                <w:iCs w:val="0"/>
                <w:color w:val="000000"/>
                <w:kern w:val="0"/>
                <w:sz w:val="24"/>
                <w:szCs w:val="24"/>
                <w:u w:val="none"/>
                <w:lang w:val="en-US" w:eastAsia="zh-CN" w:bidi="ar"/>
              </w:rPr>
              <w:t>骨干通道</w:t>
            </w:r>
            <w:r>
              <w:rPr>
                <w:rFonts w:hint="eastAsia" w:ascii="Times New Roman" w:hAnsi="Times New Roman" w:eastAsia="方正仿宋_GBK" w:cs="方正仿宋_GBK"/>
                <w:i w:val="0"/>
                <w:iCs w:val="0"/>
                <w:color w:val="000000"/>
                <w:kern w:val="0"/>
                <w:sz w:val="24"/>
                <w:szCs w:val="24"/>
                <w:u w:val="none"/>
                <w:lang w:val="en-US" w:eastAsia="zh-CN" w:bidi="ar"/>
              </w:rPr>
              <w:t>。</w:t>
            </w:r>
          </w:p>
        </w:tc>
      </w:tr>
    </w:tbl>
    <w:p>
      <w:pPr>
        <w:pStyle w:val="13"/>
        <w:shd w:val="clear" w:color="auto" w:fill="FFFFFF"/>
        <w:adjustRightInd w:val="0"/>
        <w:snapToGrid w:val="0"/>
        <w:spacing w:before="0" w:beforeAutospacing="0" w:after="0" w:afterAutospacing="0" w:line="580" w:lineRule="exact"/>
        <w:ind w:firstLine="640" w:firstLineChars="200"/>
        <w:jc w:val="center"/>
        <w:rPr>
          <w:rFonts w:hint="eastAsia" w:ascii="Times New Roman" w:hAnsi="Times New Roman" w:eastAsia="方正黑体_GBK" w:cs="方正黑体_GBK"/>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15" w:name="_Toc32744"/>
      <w:r>
        <w:rPr>
          <w:rFonts w:hint="eastAsia" w:ascii="Times New Roman" w:hAnsi="Times New Roman" w:eastAsia="方正楷体_GBK" w:cs="Times New Roman"/>
          <w:b w:val="0"/>
          <w:bCs/>
          <w:color w:val="000000"/>
          <w:spacing w:val="-6"/>
          <w:lang w:val="en-US" w:eastAsia="zh-CN"/>
        </w:rPr>
        <w:t>第二节  壮大国际冷链双向流通规模</w:t>
      </w:r>
      <w:bookmarkEnd w:id="115"/>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80" w:lineRule="exact"/>
        <w:ind w:left="0" w:right="0" w:firstLine="640" w:firstLineChars="200"/>
        <w:jc w:val="both"/>
        <w:textAlignment w:val="auto"/>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推动两江新区、万州、涪陵、永川、江津等综合保税区、保税物流中心高水平高标准建设多温层智能化冷链仓储设施，提升多样化国际冷链产品物流中转服务水平。完善进境粮食、水果、肉类、食用水生动物等进口特殊商品海关指定监管场地设施服务功能，大力发展肉类、水果、水产品、红酒等国际冷链产品业态。完善首次进口药品口岸设施功能，培育壮大国际医药冷链业态，打造国家级生物医药冷链物流供应链中心。加强通道高效衔接，支持江津、巴南等建设中国西部（重庆）东盟农副产品冷链分拨中心，打造国内与国外、东盟与欧洲相互循环冷链物流中转节点，辐射带动内陆地区食品产业和冷链物流转型升级。支持渝中区、两江新区等建设“一带一路”冷链商品展示交易中心，扩大高品质冷链产品服务需求。</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80" w:lineRule="exact"/>
        <w:ind w:left="0" w:right="0" w:firstLine="640" w:firstLineChars="200"/>
        <w:jc w:val="both"/>
        <w:textAlignment w:val="auto"/>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推动特色冷链产品国际化发展，加强与“一带一路”沿线国家和地区的农业合作，推动特色农产品贸易发展，支持万州、黔江、潼南、荣昌、开州、梁平、忠县、云阳等区县发展壮大出口型农产品基地，扩大柑橘、柠檬、柚子、猕猴桃、榨菜、精品蔬菜等优势特色冷链农产品跨境贸易，培育外向型农业龙头企业，提升国际市场竞争力。发挥西部陆海新通道物流和运营组织中心作用，鼓励通道运营平台公司与冷链物流企业、贸易企业等协同“出海”，深化与国（境）外贸易促进机构合作，积极布局境外冷链物流设施，开展国际冷链物流运作，加强农产品国际营销，推动外向型农业龙头企业参加新加坡亚洲食品酒店展、香港美食展、上海进口博览会、中国西部国际投资贸易洽谈会等境内外展会，推广渝货精品及地标冷链产品出口，提高产品品牌知名度。</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2"/>
                <w:szCs w:val="32"/>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专栏8  国际冷链物流建设工程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32"/>
                <w:szCs w:val="32"/>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冷链物流监管场地建设工程。</w:t>
            </w:r>
            <w:r>
              <w:rPr>
                <w:rFonts w:hint="eastAsia" w:ascii="Times New Roman" w:hAnsi="Times New Roman" w:eastAsia="方正仿宋_GBK" w:cs="Times New Roman"/>
                <w:color w:val="191919"/>
                <w:sz w:val="28"/>
                <w:szCs w:val="28"/>
                <w:shd w:val="clear" w:color="auto" w:fill="FFFFFF"/>
                <w:vertAlign w:val="baseline"/>
                <w:lang w:val="en-US" w:eastAsia="zh-CN"/>
              </w:rPr>
              <w:t>加快推进两江新区、万州、涪陵、江津、永川、长寿等综合保税区及巴南、沙坪坝等保税物流中心（B型）建设跨境冷链仓储设施，建设“一带一路”冷链商品集散分拨中心。</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16" w:name="_Toc12969"/>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第三节  推动城乡冷链网络双向融合</w:t>
      </w:r>
      <w:bookmarkEnd w:id="116"/>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8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统筹推进城乡一体化冷链物流网络建设，引导三级冷链物流节点间协同发展，建立区域冷链物流联盟，强化干线支线有机衔接。鼓励开行一级节点至二三级节点、一级节点之间、二级节点之间的冷链专线班车，促进干线运输与区域分拨配送业务高效协同。发挥重庆供销系统优势，</w:t>
      </w:r>
      <w:r>
        <w:rPr>
          <w:rFonts w:hint="eastAsia" w:ascii="方正仿宋_GBK" w:hAnsi="方正仿宋_GBK" w:eastAsia="方正仿宋_GBK" w:cs="方正仿宋_GBK"/>
          <w:color w:val="auto"/>
          <w:sz w:val="32"/>
          <w:szCs w:val="32"/>
        </w:rPr>
        <w:t>加大对中小城镇和农村冷链物流设施建设投入力度，</w:t>
      </w:r>
      <w:r>
        <w:rPr>
          <w:rFonts w:hint="eastAsia" w:ascii="方正仿宋_GBK" w:hAnsi="方正仿宋_GBK" w:eastAsia="方正仿宋_GBK" w:cs="方正仿宋_GBK"/>
          <w:color w:val="auto"/>
          <w:sz w:val="32"/>
          <w:szCs w:val="32"/>
          <w:lang w:val="en-US" w:eastAsia="zh-CN"/>
        </w:rPr>
        <w:t>加快</w:t>
      </w:r>
      <w:r>
        <w:rPr>
          <w:rFonts w:hint="eastAsia" w:ascii="方正仿宋_GBK" w:hAnsi="方正仿宋_GBK" w:eastAsia="方正仿宋_GBK" w:cs="方正仿宋_GBK"/>
          <w:color w:val="auto"/>
          <w:sz w:val="32"/>
          <w:szCs w:val="32"/>
        </w:rPr>
        <w:t>构建覆盖生产基地</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农批市场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生鲜市场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终端消费的全程</w:t>
      </w:r>
      <w:r>
        <w:rPr>
          <w:rFonts w:hint="eastAsia" w:ascii="方正仿宋_GBK" w:hAnsi="方正仿宋_GBK" w:eastAsia="方正仿宋_GBK" w:cs="方正仿宋_GBK"/>
          <w:color w:val="auto"/>
          <w:sz w:val="32"/>
          <w:szCs w:val="32"/>
          <w:lang w:val="en-US" w:eastAsia="zh-CN"/>
        </w:rPr>
        <w:t>冷链</w:t>
      </w:r>
      <w:r>
        <w:rPr>
          <w:rFonts w:hint="eastAsia" w:ascii="方正仿宋_GBK" w:hAnsi="方正仿宋_GBK" w:eastAsia="方正仿宋_GBK" w:cs="方正仿宋_GBK"/>
          <w:color w:val="auto"/>
          <w:sz w:val="32"/>
          <w:szCs w:val="32"/>
        </w:rPr>
        <w:t>农产品流通闭环</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提升农产品从田间到餐桌的全程流通能力</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鼓励</w:t>
      </w:r>
      <w:r>
        <w:rPr>
          <w:rFonts w:hint="eastAsia" w:ascii="方正仿宋_GBK" w:hAnsi="方正仿宋_GBK" w:eastAsia="方正仿宋_GBK" w:cs="方正仿宋_GBK"/>
          <w:color w:val="auto"/>
          <w:sz w:val="32"/>
          <w:szCs w:val="32"/>
          <w:lang w:val="en-US" w:eastAsia="zh-CN"/>
        </w:rPr>
        <w:t>新世纪、重百、永辉超市等</w:t>
      </w:r>
      <w:r>
        <w:rPr>
          <w:rFonts w:hint="eastAsia" w:ascii="方正仿宋_GBK" w:hAnsi="方正仿宋_GBK" w:eastAsia="方正仿宋_GBK" w:cs="方正仿宋_GBK"/>
          <w:color w:val="auto"/>
          <w:sz w:val="32"/>
          <w:szCs w:val="32"/>
        </w:rPr>
        <w:t>大型生鲜电商、连锁商超等企业统筹建设城乡一体冷链物流网络，加强城乡冷链设施对接，发展“平台企业+农业基地”、“生鲜电商+产地直发”等新业态新模式</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打造“上行下行一张网”，提高设施利用效率，促进城乡冷链物流双向均衡发展。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专栏4  城乡冷链物流双向融合工程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eastAsia" w:ascii="Times New Roman" w:hAnsi="Times New Roman" w:eastAsia="方正黑体_GBK" w:cs="方正黑体_GBK"/>
                <w:color w:val="191919"/>
                <w:sz w:val="28"/>
                <w:szCs w:val="28"/>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城乡冷链专线班车培育工程。</w:t>
            </w:r>
            <w:r>
              <w:rPr>
                <w:rFonts w:hint="eastAsia" w:ascii="Times New Roman" w:hAnsi="Times New Roman" w:eastAsia="方正仿宋_GBK" w:cs="Times New Roman"/>
                <w:color w:val="191919"/>
                <w:sz w:val="28"/>
                <w:szCs w:val="28"/>
                <w:shd w:val="clear" w:color="auto" w:fill="FFFFFF"/>
                <w:lang w:val="en-US" w:eastAsia="zh-CN"/>
              </w:rPr>
              <w:t>培育开行中心城区—长寿—垫江—梁平—万州冷链专线班车、中心城区—涪陵—丰都—忠县—万州冷链专线班车、中心城区—南川—武隆—彭水—黔江—酉阳—秀山等冷链专线班车。</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eastAsia" w:ascii="Times New Roman" w:hAnsi="Times New Roman" w:eastAsia="方正仿宋_GBK" w:cs="Times New Roman"/>
                <w:color w:val="191919"/>
                <w:sz w:val="28"/>
                <w:szCs w:val="28"/>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供销系统农产品冷链物流体系建设工程。</w:t>
            </w:r>
            <w:r>
              <w:rPr>
                <w:rFonts w:hint="eastAsia" w:ascii="Times New Roman" w:hAnsi="Times New Roman" w:eastAsia="方正仿宋_GBK" w:cs="Times New Roman"/>
                <w:color w:val="191919"/>
                <w:sz w:val="28"/>
                <w:szCs w:val="28"/>
                <w:shd w:val="clear" w:color="auto" w:fill="FFFFFF"/>
                <w:lang w:val="en-US" w:eastAsia="zh-CN"/>
              </w:rPr>
              <w:t>依托供销系统城乡融合综合服务平台，布局建成1个农产品流通中心仓、4个城市农产品流通分拨仓、4个区域性农产品流通集散中心和30个智慧生鲜市场，联合运输车辆1000台，形成农产品流通基础设施骨干网络和智慧运营服务平台。</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eastAsia" w:ascii="Times New Roman" w:hAnsi="Times New Roman" w:eastAsia="方正仿宋_GBK" w:cs="Times New Roman"/>
                <w:color w:val="191919"/>
                <w:sz w:val="28"/>
                <w:szCs w:val="28"/>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实施冷链联盟行动。</w:t>
            </w:r>
            <w:r>
              <w:rPr>
                <w:rFonts w:hint="eastAsia" w:ascii="Times New Roman" w:hAnsi="Times New Roman" w:eastAsia="方正仿宋_GBK" w:cs="Times New Roman"/>
                <w:color w:val="191919"/>
                <w:sz w:val="28"/>
                <w:szCs w:val="28"/>
                <w:shd w:val="clear" w:color="auto" w:fill="FFFFFF"/>
                <w:vertAlign w:val="baseline"/>
                <w:lang w:val="en-US" w:eastAsia="zh-CN"/>
              </w:rPr>
              <w:t>鼓励一二三冷链物流节点、上下游企业等加强冷链物流战略合作，加快建立一批三级节点间、产业链上下游间的“冷链联盟”。</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28"/>
                <w:szCs w:val="28"/>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移动冷库培育工程</w:t>
            </w:r>
            <w:r>
              <w:rPr>
                <w:rFonts w:hint="eastAsia" w:ascii="Times New Roman" w:hAnsi="Times New Roman" w:eastAsia="方正仿宋_GBK" w:cs="Times New Roman"/>
                <w:color w:val="191919"/>
                <w:sz w:val="32"/>
                <w:szCs w:val="32"/>
                <w:shd w:val="clear" w:color="auto" w:fill="FFFFFF"/>
                <w:lang w:val="en-US" w:eastAsia="zh-CN"/>
              </w:rPr>
              <w:t>。开展移动冷库试点示范，培育发展冷链设施巡回租赁、“移动冷库+冷链物流节点”等模式，构建移动冷链物流设施运营网络。</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17" w:name="_Toc15168"/>
      <w:r>
        <w:rPr>
          <w:rFonts w:hint="eastAsia" w:ascii="Times New Roman" w:hAnsi="Times New Roman" w:eastAsia="方正楷体_GBK" w:cs="Times New Roman"/>
          <w:b w:val="0"/>
          <w:bCs/>
          <w:color w:val="000000"/>
          <w:spacing w:val="-6"/>
          <w:lang w:val="en-US" w:eastAsia="zh-CN"/>
        </w:rPr>
        <w:t>第四节  大力发展冷链多式联运</w:t>
      </w:r>
      <w:bookmarkEnd w:id="117"/>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加快补齐国家物流枢纽、一级和二级冷链物流节点的冷链物流换装转运短板，引导建设自动化、专业化、智能化冷链多式联运设施，配套完善充电桩等设施设备，提高多式联运衔接效率。积极培育通道运营主体，开展全程冷链运输组织，发展全程冷链集装箱运输。引导冷链运营主体与上海港、天津港、广州港、大连港等重点冷链进口港口高效衔接，加密开行冷链集装箱公水联运专线、铁海联运班列。大力支持西部陆海新通道开行冷链铁海联运班列、跨境公路班车等，打造精品联运线路，开展品牌化运营，探索应用“一单制”。优化“沪渝直达快线”，鼓励开行冷链班轮。加强冷链卡车航班、专线网络建设，提高多式联运一体化组织能力。统筹推进国家物流枢纽与三级冷链物流节点高效衔接，提升冷链物流辐射能力。</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Times New Roman"/>
          <w:color w:val="191919"/>
          <w:sz w:val="32"/>
          <w:szCs w:val="32"/>
          <w:shd w:val="clear" w:color="auto" w:fill="FFFFFF"/>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118" w:name="_Toc15323"/>
      <w:r>
        <w:rPr>
          <w:rFonts w:hint="eastAsia" w:ascii="Times New Roman" w:hAnsi="Times New Roman" w:eastAsia="方正黑体_GBK" w:cs="Times New Roman"/>
          <w:color w:val="000000"/>
          <w:sz w:val="32"/>
          <w:szCs w:val="32"/>
          <w:lang w:val="en-US" w:eastAsia="zh-CN"/>
        </w:rPr>
        <w:t>第</w:t>
      </w:r>
      <w:r>
        <w:rPr>
          <w:rFonts w:hint="eastAsia" w:ascii="Times New Roman" w:eastAsia="方正黑体_GBK" w:cs="Times New Roman"/>
          <w:color w:val="000000"/>
          <w:sz w:val="32"/>
          <w:szCs w:val="32"/>
          <w:lang w:val="en-US" w:eastAsia="zh-CN"/>
        </w:rPr>
        <w:t>五</w:t>
      </w:r>
      <w:r>
        <w:rPr>
          <w:rFonts w:hint="eastAsia" w:ascii="Times New Roman" w:hAnsi="Times New Roman" w:eastAsia="方正黑体_GBK" w:cs="Times New Roman"/>
          <w:color w:val="000000"/>
          <w:sz w:val="32"/>
          <w:szCs w:val="32"/>
          <w:lang w:val="en-US" w:eastAsia="zh-CN"/>
        </w:rPr>
        <w:t xml:space="preserve">章  </w:t>
      </w:r>
      <w:r>
        <w:rPr>
          <w:rFonts w:hint="eastAsia" w:ascii="Times New Roman" w:eastAsia="方正黑体_GBK" w:cs="Times New Roman"/>
          <w:color w:val="000000"/>
          <w:sz w:val="32"/>
          <w:szCs w:val="32"/>
          <w:lang w:val="en-US" w:eastAsia="zh-CN"/>
        </w:rPr>
        <w:t>完善销地</w:t>
      </w:r>
      <w:r>
        <w:rPr>
          <w:rFonts w:hint="eastAsia" w:ascii="Times New Roman" w:hAnsi="Times New Roman" w:eastAsia="方正黑体_GBK" w:cs="Times New Roman"/>
          <w:color w:val="000000"/>
          <w:sz w:val="32"/>
          <w:szCs w:val="32"/>
          <w:lang w:val="en-US" w:eastAsia="zh-CN"/>
        </w:rPr>
        <w:t>冷链物流</w:t>
      </w:r>
      <w:r>
        <w:rPr>
          <w:rFonts w:hint="eastAsia" w:ascii="Times New Roman" w:eastAsia="方正黑体_GBK" w:cs="Times New Roman"/>
          <w:color w:val="000000"/>
          <w:sz w:val="32"/>
          <w:szCs w:val="32"/>
          <w:lang w:val="en-US" w:eastAsia="zh-CN"/>
        </w:rPr>
        <w:t>设施</w:t>
      </w:r>
      <w:r>
        <w:rPr>
          <w:rFonts w:hint="eastAsia" w:ascii="Times New Roman" w:hAnsi="Times New Roman" w:eastAsia="方正黑体_GBK" w:cs="Times New Roman"/>
          <w:color w:val="000000"/>
          <w:sz w:val="32"/>
          <w:szCs w:val="32"/>
          <w:lang w:val="en-US" w:eastAsia="zh-CN"/>
        </w:rPr>
        <w:t>网络</w:t>
      </w:r>
      <w:bookmarkEnd w:id="104"/>
      <w:bookmarkEnd w:id="105"/>
      <w:bookmarkEnd w:id="106"/>
      <w:bookmarkEnd w:id="107"/>
      <w:bookmarkEnd w:id="118"/>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统筹优化冷链物流基础设施建设，创建国家骨干冷链物流基地，推动销地冷链设施改造升级，补齐产地仓储保鲜冷链设施短板，构建覆盖城乡的冷链物流基础设施网络，提升辐射市内市外服务网络密度和承载能力。</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19" w:name="_Toc13336"/>
      <w:r>
        <w:rPr>
          <w:rFonts w:hint="eastAsia" w:ascii="Times New Roman" w:hAnsi="Times New Roman" w:eastAsia="方正楷体_GBK" w:cs="Times New Roman"/>
          <w:b w:val="0"/>
          <w:bCs/>
          <w:color w:val="000000"/>
          <w:spacing w:val="-6"/>
          <w:lang w:val="en-US" w:eastAsia="zh-CN"/>
        </w:rPr>
        <w:t>第一节  创建</w:t>
      </w:r>
      <w:r>
        <w:rPr>
          <w:rFonts w:hint="eastAsia" w:eastAsia="方正楷体_GBK" w:cs="Times New Roman"/>
          <w:b w:val="0"/>
          <w:bCs/>
          <w:color w:val="000000"/>
          <w:spacing w:val="-6"/>
          <w:lang w:val="en-US" w:eastAsia="zh-CN"/>
        </w:rPr>
        <w:t>国家</w:t>
      </w:r>
      <w:r>
        <w:rPr>
          <w:rFonts w:hint="eastAsia" w:ascii="Times New Roman" w:hAnsi="Times New Roman" w:eastAsia="方正楷体_GBK" w:cs="Times New Roman"/>
          <w:b w:val="0"/>
          <w:bCs/>
          <w:color w:val="000000"/>
          <w:spacing w:val="-6"/>
          <w:lang w:val="en-US" w:eastAsia="zh-CN"/>
        </w:rPr>
        <w:t>骨干冷链物流基地</w:t>
      </w:r>
      <w:bookmarkEnd w:id="11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依托一级、二级冷链物流节点网络，整合优化存量冷链物流设施，创新培育协同高效的运营主体，推动高新区、大渡口、江津、沙坪坝、渝北、巴南等具备条件的冷链物流企业、通道运营平台企业，通过战略联盟、资本合作、设施联通、功能联合、平台对接、资源共享等市场化方式打造优势互补、业务协同、利益一致的合作共同体，创建至少1个国家骨干冷链物流基地，推动干线运输、区域分拨、仓储服务、市场分销、城市配送等冷链物流服务资源高效协同。强化国家骨干冷链物流基地与国家物流枢纽创新融合发展，提升冷链物流规模化、集约化、组织化、网络化水平，打造内陆国际冷链物流分拨中心、区域性冷链物流集散中枢。</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20" w:name="_Toc16806"/>
      <w:r>
        <w:rPr>
          <w:rFonts w:hint="eastAsia" w:ascii="Times New Roman" w:hAnsi="Times New Roman" w:eastAsia="方正楷体_GBK" w:cs="Times New Roman"/>
          <w:b w:val="0"/>
          <w:bCs/>
          <w:color w:val="000000"/>
          <w:spacing w:val="-6"/>
          <w:lang w:val="en-US" w:eastAsia="zh-CN"/>
        </w:rPr>
        <w:t>第二节  推动销地集配中心高质量发展</w:t>
      </w:r>
      <w:bookmarkEnd w:id="120"/>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推动中心城区老旧冷链设施实施标准化改造，淘汰高能耗老旧冷链设施设备，完善封闭低温装卸货台、温控理货区、冷链查验和储存等服务功能，支持建设多温库、立体自动化冷库等智能型高端冷链设施以及跨境电商保税冷库，推广采用技术先进的节能蓄能设备，提高冷链设施安全、环保、节能水平，满足冷链产品多功能需求。鼓励主城新区、渝东北、渝东南等区县城区依托重要物流节点、大型农产品批发市场、连锁超市等，加快补齐冷链物流设施短板。支持重庆市供销合作总社等，推动冷链物流农村节点建设，提升农产品冷链配送水平。推进冷链加工基地与区域集散分销中心建设，大力发展冷链物流快速配送处理中心。强化国家物流枢纽冷链设施的应急物流和应急物资保障功能，建设完善专用的冷链仓储、隔离区和快速中转换装等设施。完善与冷链物流相配套的查验与检测基础设施建设，推广应用快速准确的检测设备和试剂。</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21" w:name="_Toc18654"/>
      <w:r>
        <w:rPr>
          <w:rFonts w:hint="eastAsia" w:ascii="Times New Roman" w:hAnsi="Times New Roman" w:eastAsia="方正楷体_GBK" w:cs="Times New Roman"/>
          <w:b w:val="0"/>
          <w:bCs/>
          <w:color w:val="000000"/>
          <w:spacing w:val="-6"/>
          <w:lang w:val="en-US" w:eastAsia="zh-CN"/>
        </w:rPr>
        <w:t>第三节  加快建设冷链物流终端设施</w:t>
      </w:r>
      <w:bookmarkEnd w:id="121"/>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引导区县批发（农贸）市场、商场（超市）、便民农产品交易点等改造冷链物流设施，改造建设小型冷库、冷储展示柜台以及保温设施。推广应用移动冷库、智慧冷链自动售卖机、冷链自提柜等，提升末端冷链配送覆盖率。加快完善乡镇农贸市场的活禽集中交易和宰杀区冷链基础设施。支持屠宰厂（场）、肉类加工、果蔬配送企业，依托快速配送处理中心建设品牌店、直营店和专销店等销售终端网点。加强区域分拨中心和城市配送中心联动，加快构建快捷高效的冷链物流配送网络体系。引导有条件的批发（农贸）市场、商场（超市）、肉品经销商加强与第三方冷链物流配送企业合作，发展冷链配送、连锁经营、电子商务等流通业态。推动冷链物流节点补齐新能源冷藏车充电桩等设施短板。</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专栏1  销地冷链物流节点设施建设工程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28"/>
                <w:szCs w:val="28"/>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销地重点冷链集配中心项目建设工程：</w:t>
            </w:r>
            <w:r>
              <w:rPr>
                <w:rFonts w:hint="eastAsia" w:ascii="Times New Roman" w:hAnsi="Times New Roman" w:eastAsia="方正仿宋_GBK" w:cs="Times New Roman"/>
                <w:color w:val="191919"/>
                <w:sz w:val="28"/>
                <w:szCs w:val="28"/>
                <w:shd w:val="clear" w:color="auto" w:fill="FFFFFF"/>
                <w:lang w:val="en-US" w:eastAsia="zh-CN"/>
              </w:rPr>
              <w:t>推进高新区中国西部农产品冷链物流中心项目、大渡口万吨商旅融合总部基地项目、荣昌渝西国际商贸物流港、长寿东部国际农产品交易中心冷链仓储项目、万州冷链物流分拨中心、黔江渝东南冷链物流中心、渝东南智慧物流园、丰都京东冷库、沙坪坝区国际冷链物流分拨中心、两江新区果园港国际冷链物流分拨中心、涪陵综合保税区冷链仓储项目、东盟国际食品产业园、巴南南彭冷链物流配送中心、巴南重报生鲜冷链物流园、巴南尚峰物流配送中心、开州重庆三品冷链物流项目、南川昌达智慧物流园、秀山（武陵）冷链物流中心项目等16个重点冷链集配中心项目建设。</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eastAsia" w:ascii="Times New Roman" w:hAnsi="Times New Roman" w:eastAsia="方正仿宋_GBK" w:cs="Times New Roman"/>
                <w:color w:val="191919"/>
                <w:sz w:val="28"/>
                <w:szCs w:val="28"/>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农产品批发市场冷链设施改造升级工程。</w:t>
            </w:r>
            <w:r>
              <w:rPr>
                <w:rFonts w:hint="eastAsia" w:ascii="Times New Roman" w:hAnsi="Times New Roman" w:eastAsia="方正仿宋_GBK" w:cs="Times New Roman"/>
                <w:color w:val="191919"/>
                <w:sz w:val="28"/>
                <w:szCs w:val="28"/>
                <w:shd w:val="clear" w:color="auto" w:fill="FFFFFF"/>
                <w:lang w:val="en-US" w:eastAsia="zh-CN"/>
              </w:rPr>
              <w:t>对忠县柑橘交易市场、云阳渝东北农产品综合交易市场、万州宏远市场、万州瑞池草食牲畜交易市场、重庆百安港农产品批发市场、黔江佰年供销智慧农产品批发市场、潼南蔬菜批发物流市场、渝北纵达城万隆食品批发市场、酉阳渝东南农产品综合市场、永川吉之汇国际农贸物流城、秀山渝东南边贸批发市场、秀山华南生鲜农产品市场、荣昌农副产品综合批发交易市场、铜梁杰民蔬菜批发市场、南川丰绿农产品批发物流市场、璧山鲜活农产品中转站、重庆公运渝南火锅食材专业市场、吉之汇农产品黔江物流城、九龙坡花枝农业祥和蔬菜批发市场、开州渝东北农副产品物流商贸城冷链项目等19个重点农产品批发市场冷链物流设施改造升级，配套建设封闭式装卸站台等设施，提升冷链物流服务功能。</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30"/>
                <w:szCs w:val="30"/>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大型超市（6000平方米以上）冷链设施改造升级工程</w:t>
            </w:r>
            <w:r>
              <w:rPr>
                <w:rFonts w:hint="eastAsia" w:ascii="Times New Roman" w:hAnsi="Times New Roman" w:eastAsia="方正仿宋_GBK" w:cs="Times New Roman"/>
                <w:color w:val="191919"/>
                <w:sz w:val="28"/>
                <w:szCs w:val="28"/>
                <w:shd w:val="clear" w:color="auto" w:fill="FFFFFF"/>
                <w:lang w:val="en-US" w:eastAsia="zh-CN"/>
              </w:rPr>
              <w:t>：改造提升大型超市冷链设施160个，其中中心城区100个、主城新区30个、渝东北三峡库区城镇群10个、渝东南武陵山区城镇群20个。</w:t>
            </w:r>
          </w:p>
        </w:tc>
      </w:tr>
    </w:tbl>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黑体_GBK" w:cs="Times New Roman"/>
          <w:color w:val="000000"/>
          <w:sz w:val="32"/>
          <w:szCs w:val="32"/>
          <w:lang w:val="en-US" w:eastAsia="zh-CN"/>
        </w:rPr>
      </w:pPr>
      <w:bookmarkStart w:id="122" w:name="_Toc11138"/>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第六章  提升冷链物流全品类服务</w:t>
      </w:r>
      <w:bookmarkEnd w:id="122"/>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聚焦“6+1”重点品类（肉类、水果、蔬菜、水产品、乳品、速冻食品及疫苗等医药产品），完善产地冷链基础设施，分类提升专业化冷链物流服务能力，支撑冷链产品产销精准高效对接。</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23" w:name="_Toc17121"/>
      <w:r>
        <w:rPr>
          <w:rFonts w:hint="eastAsia" w:ascii="Times New Roman" w:hAnsi="Times New Roman" w:eastAsia="方正楷体_GBK" w:cs="Times New Roman"/>
          <w:b w:val="0"/>
          <w:bCs/>
          <w:color w:val="000000"/>
          <w:spacing w:val="-6"/>
          <w:lang w:val="en-US" w:eastAsia="zh-CN"/>
        </w:rPr>
        <w:t>第一节  健全肉类冷链物流体系</w:t>
      </w:r>
      <w:bookmarkEnd w:id="123"/>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围绕合川、开州、云阳、万州、黔江、涪陵、江津、酉阳、长寿、荣昌等区县（自治县）畜禽养殖主产区，引导畜禽屠宰加工企业就地屠宰，鼓励建设标准化预冷和低温分割加工车间、配套冷库等设施，健全预冷排酸、低温分割、保鲜包装、冷链储运链条，建立温度监控和监管追溯系统，加快构建“集中屠宰、品牌经营、冷链流通、冰鲜上市”的肉类供应链体系。支持建设肉类冷链集配中心，开展肉类全链条冷链物流试点，鼓励冷鲜肉生产、流通企业对接连锁超市、农贸市场、社区生鲜店、生鲜电商等流通渠道，鼓励发展“牧场+超市”、“养殖基地+肉制品精深加工+超市”等新模式，健全冷鲜肉生产、流通和配送体系，促进畜禽主产区和主销区有效对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专栏2  17个肉类全链条冷链物流示范基地建设工程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黑体_GBK" w:cs="方正黑体_GBK"/>
                <w:color w:val="191919"/>
                <w:sz w:val="32"/>
                <w:szCs w:val="32"/>
                <w:shd w:val="clear" w:color="auto" w:fill="FFFFFF"/>
                <w:lang w:val="en-US" w:eastAsia="zh-CN"/>
              </w:rPr>
            </w:pPr>
            <w:r>
              <w:rPr>
                <w:rFonts w:hint="eastAsia" w:ascii="Times New Roman" w:hAnsi="Times New Roman" w:eastAsia="方正仿宋_GBK" w:cs="Times New Roman"/>
                <w:color w:val="191919"/>
                <w:sz w:val="28"/>
                <w:szCs w:val="28"/>
                <w:shd w:val="clear" w:color="auto" w:fill="FFFFFF"/>
                <w:lang w:val="en-US" w:eastAsia="zh-CN"/>
              </w:rPr>
              <w:t>建设12个猪肉全链条冷链物流示范基地，重点在合川、开州、云阳、万州、黔江、涪陵、江津、荣昌、酉阳、长寿、大足、綦江等区县开展；建设3个肉牛全链条冷链物流示范基地，重点在开州、丰都、黔江等区县开展；在荣昌建设1个肉兔全链条冷链物流示范基地；在秀山建设1个肉鸡全链条冷链物流示范基地。</w:t>
            </w:r>
          </w:p>
        </w:tc>
      </w:tr>
    </w:tbl>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24" w:name="_Toc1617"/>
      <w:r>
        <w:rPr>
          <w:rFonts w:hint="eastAsia" w:ascii="Times New Roman" w:hAnsi="Times New Roman" w:eastAsia="方正楷体_GBK" w:cs="Times New Roman"/>
          <w:b w:val="0"/>
          <w:bCs/>
          <w:color w:val="000000"/>
          <w:spacing w:val="-6"/>
          <w:lang w:val="en-US" w:eastAsia="zh-CN"/>
        </w:rPr>
        <w:t>第二节  健全果蔬冷链物流体系</w:t>
      </w:r>
      <w:bookmarkEnd w:id="124"/>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围绕万州、开州、忠县、奉节、云阳、潼南、江津、涪陵、合川等区（县）特色水果、瓜菜菌类农产品种植区，支持家庭农场、农民合作社、农村集体经济组织等加快建设田头节能型气调贮藏库、机械冷库、通风贮藏库以及专用预冷设施，鼓励开展商品化包装与冷链包装一体化，推广应季储存和反季销售。开展以柑橘、柠檬、菌菇、花椒、猕猴桃、蓝莓等特色果蔬为试点，布局建设16个区域性水果冷链物流示范基地、21个区域性蔬菜冷链物流示范基地，推广产地预冷、初加工、储存保鲜和低温运输技术，推动构建产地到主销区全流程果蔬冷链物流体系。鼓励发展产地冷链物流设施设备租赁等社会化服务，引导发展共享式“田间小站”等移动冷库，合理布局插电装置、田间停车、换装场地等，提高产地源头冷链物流设施综合利用效率，补齐产地“最先一公里”冷链短板。</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专栏2  37个区域性果蔬冷链物流示范基地建设工程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28"/>
                <w:szCs w:val="28"/>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16个区域性水果冷链物流示范基地建设工程</w:t>
            </w:r>
            <w:r>
              <w:rPr>
                <w:rFonts w:hint="eastAsia" w:ascii="Times New Roman" w:hAnsi="Times New Roman" w:eastAsia="方正仿宋_GBK" w:cs="Times New Roman"/>
                <w:color w:val="191919"/>
                <w:sz w:val="28"/>
                <w:szCs w:val="28"/>
                <w:shd w:val="clear" w:color="auto" w:fill="FFFFFF"/>
                <w:lang w:val="en-US" w:eastAsia="zh-CN"/>
              </w:rPr>
              <w:t>：建设7个柑橘（</w:t>
            </w:r>
            <w:r>
              <w:rPr>
                <w:rFonts w:hint="eastAsia" w:ascii="Times New Roman" w:hAnsi="Times New Roman" w:eastAsia="方正仿宋_GBK"/>
                <w:sz w:val="28"/>
                <w:szCs w:val="28"/>
                <w:lang w:eastAsia="zh-CN"/>
              </w:rPr>
              <w:t>脐橙</w:t>
            </w:r>
            <w:r>
              <w:rPr>
                <w:rFonts w:hint="eastAsia" w:ascii="Times New Roman" w:hAnsi="Times New Roman" w:eastAsia="方正仿宋_GBK" w:cs="Times New Roman"/>
                <w:color w:val="191919"/>
                <w:sz w:val="28"/>
                <w:szCs w:val="28"/>
                <w:shd w:val="clear" w:color="auto" w:fill="FFFFFF"/>
                <w:lang w:val="en-US" w:eastAsia="zh-CN"/>
              </w:rPr>
              <w:t>）全链条冷链物流示范基地，重点在开州、万州、忠县、奉节、云阳、长寿、江津等区县开展商品化包装与冷链包装一体化；建设2个柠檬全链条冷链物流示范基地，重点在潼南、万州等区县开展产地预冷、分级、分拣、包装等；建设2个脆李全链条冷链物流示范基地，重点在巫山、黔江等区县开展产地预冷、分级、分拣、包装等；建设5个特色小水果全链条冷链物流示范基地，重点在南川、江津、涪陵、永川、</w:t>
            </w:r>
            <w:r>
              <w:rPr>
                <w:rFonts w:hint="eastAsia" w:ascii="Times New Roman" w:hAnsi="Times New Roman" w:eastAsia="方正仿宋_GBK" w:cs="Times New Roman"/>
                <w:color w:val="191919"/>
                <w:sz w:val="28"/>
                <w:szCs w:val="28"/>
                <w:highlight w:val="none"/>
                <w:shd w:val="clear" w:color="auto" w:fill="FFFFFF"/>
                <w:lang w:val="en-US" w:eastAsia="zh-CN"/>
              </w:rPr>
              <w:t>巫溪</w:t>
            </w:r>
            <w:r>
              <w:rPr>
                <w:rFonts w:hint="eastAsia" w:ascii="Times New Roman" w:hAnsi="Times New Roman" w:eastAsia="方正仿宋_GBK" w:cs="Times New Roman"/>
                <w:color w:val="191919"/>
                <w:sz w:val="28"/>
                <w:szCs w:val="28"/>
                <w:shd w:val="clear" w:color="auto" w:fill="FFFFFF"/>
                <w:lang w:val="en-US" w:eastAsia="zh-CN"/>
              </w:rPr>
              <w:t>等区县开展商品化包装与冷链包装一体化。</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黑体_GBK" w:cs="方正黑体_GBK"/>
                <w:color w:val="191919"/>
                <w:sz w:val="32"/>
                <w:szCs w:val="32"/>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21个区域性蔬菜冷链物流示范基地建设工程</w:t>
            </w:r>
            <w:r>
              <w:rPr>
                <w:rFonts w:hint="eastAsia" w:ascii="Times New Roman" w:hAnsi="Times New Roman" w:eastAsia="方正仿宋_GBK" w:cs="Times New Roman"/>
                <w:color w:val="191919"/>
                <w:sz w:val="28"/>
                <w:szCs w:val="28"/>
                <w:shd w:val="clear" w:color="auto" w:fill="FFFFFF"/>
                <w:lang w:val="en-US" w:eastAsia="zh-CN"/>
              </w:rPr>
              <w:t>：建设17个蔬菜全链条冷链物流示范基地，重点在潼南、涪陵、万州、合川、垫江、</w:t>
            </w:r>
            <w:r>
              <w:rPr>
                <w:rFonts w:hint="eastAsia" w:ascii="Times New Roman" w:hAnsi="Times New Roman" w:eastAsia="方正仿宋_GBK"/>
                <w:sz w:val="28"/>
                <w:szCs w:val="28"/>
                <w:lang w:eastAsia="zh-CN"/>
              </w:rPr>
              <w:t>綦江</w:t>
            </w:r>
            <w:r>
              <w:rPr>
                <w:rFonts w:hint="eastAsia" w:ascii="Times New Roman" w:hAnsi="Times New Roman" w:eastAsia="方正仿宋_GBK"/>
                <w:sz w:val="28"/>
                <w:szCs w:val="28"/>
                <w:lang w:val="en-US" w:eastAsia="zh-CN"/>
              </w:rPr>
              <w:t>-万盛、</w:t>
            </w:r>
            <w:r>
              <w:rPr>
                <w:rFonts w:hint="eastAsia" w:ascii="Times New Roman" w:hAnsi="Times New Roman" w:eastAsia="方正仿宋_GBK"/>
                <w:sz w:val="28"/>
                <w:szCs w:val="28"/>
                <w:highlight w:val="none"/>
                <w:lang w:val="en-US" w:eastAsia="zh-CN"/>
              </w:rPr>
              <w:t>璧山</w:t>
            </w:r>
            <w:r>
              <w:rPr>
                <w:rFonts w:hint="eastAsia" w:ascii="Times New Roman" w:hAnsi="Times New Roman" w:eastAsia="方正仿宋_GBK"/>
                <w:sz w:val="28"/>
                <w:szCs w:val="28"/>
                <w:lang w:val="en-US" w:eastAsia="zh-CN"/>
              </w:rPr>
              <w:t>、铜梁、武隆、梁平、荣昌、开州、云阳、南川、丰都、大足、奉节</w:t>
            </w:r>
            <w:r>
              <w:rPr>
                <w:rFonts w:hint="eastAsia" w:ascii="Times New Roman" w:hAnsi="Times New Roman" w:eastAsia="方正仿宋_GBK" w:cs="Times New Roman"/>
                <w:color w:val="191919"/>
                <w:sz w:val="28"/>
                <w:szCs w:val="28"/>
                <w:shd w:val="clear" w:color="auto" w:fill="FFFFFF"/>
                <w:lang w:val="en-US" w:eastAsia="zh-CN"/>
              </w:rPr>
              <w:t>等区县开展；建设2个花椒全链条冷链物流示范基地，重点在江津、酉阳等区县开展；建设2个食用菌类全链条冷链物流示范基地，重点在永川、黔江等区县开展。</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25" w:name="_Toc2311"/>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第三节  健全水产品冷链物流体系</w:t>
      </w:r>
      <w:bookmarkEnd w:id="125"/>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依托三亚湾水产市场等水产品交易集散中心，配套建设速冻、冷藏、低温暂养等设施，发展水产品冰鲜储藏和冷链加工，推动建设一批水产品冷链集配中心。鼓励水产品企业与第三方物流企业建立深度供应链合作关系，健全水产品超低温储藏、运输、包装和加工体系。鼓励活鱼纯氧高密度冷链等鲜活水产品冷链配送技术创新应用，适应和满足持续扩大的高品质水产品消费需求。</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26" w:name="_Toc7367"/>
      <w:r>
        <w:rPr>
          <w:rFonts w:hint="eastAsia" w:ascii="Times New Roman" w:hAnsi="Times New Roman" w:eastAsia="方正楷体_GBK" w:cs="Times New Roman"/>
          <w:b w:val="0"/>
          <w:bCs/>
          <w:color w:val="000000"/>
          <w:spacing w:val="-6"/>
          <w:lang w:val="en-US" w:eastAsia="zh-CN"/>
        </w:rPr>
        <w:t>第四节  健全乳品冷链物流体系</w:t>
      </w:r>
      <w:bookmarkEnd w:id="126"/>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围绕巴南、黔江、合川、渝北、长寿、綦江、荣昌、垫江、云阳、巫溪、奉节等区县（自治县）奶牛主产区，推动冷链物流设施设备升级，支持牧场、合作社、养殖小区等建设生乳冷却设施，支持配备生乳专用恒温运输槽车，提高生乳冷却、储存、运输一体化运作效率和温度质量管控水平。发挥重庆市天友乳业股份有限公司、重庆光大（集团）奶牛梦工场等龙头乳品企业以及电商、连锁超市等流通渠道作用，完善从生产厂商至消费者的低温液态奶全程冷链物流系统。</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27" w:name="_Toc17675"/>
      <w:r>
        <w:rPr>
          <w:rFonts w:hint="eastAsia" w:ascii="Times New Roman" w:hAnsi="Times New Roman" w:eastAsia="方正楷体_GBK" w:cs="Times New Roman"/>
          <w:b w:val="0"/>
          <w:bCs/>
          <w:color w:val="000000"/>
          <w:spacing w:val="-6"/>
          <w:lang w:val="en-US" w:eastAsia="zh-CN"/>
        </w:rPr>
        <w:t>第五节  健全速冻食品冷链物流体系</w:t>
      </w:r>
      <w:bookmarkEnd w:id="127"/>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推动冷链物流与速冻食品产业联动发展，提升冷链物流对速冻食品消费保障能力，顺应城市快节奏生活方式和城乡居民对速冻食品日益增长的消费需求，加强冷链物流服务保障，提升末端配送服务品质，支撑速冻食品流通渠道由线下为主向线上线下多渠道拓展。适应连锁餐饮、团餐等标准化、流程化经营要求，依托产销冷链集配中心、中央厨房等设施，加快发展速冻类标准食材、食材半成品供应链，提高品控能力。</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28" w:name="_Toc15396"/>
      <w:r>
        <w:rPr>
          <w:rFonts w:hint="eastAsia" w:ascii="Times New Roman" w:hAnsi="Times New Roman" w:eastAsia="方正楷体_GBK" w:cs="Times New Roman"/>
          <w:b w:val="0"/>
          <w:bCs/>
          <w:color w:val="000000"/>
          <w:spacing w:val="-6"/>
          <w:lang w:val="en-US" w:eastAsia="zh-CN"/>
        </w:rPr>
        <w:t>第</w:t>
      </w:r>
      <w:r>
        <w:rPr>
          <w:rFonts w:hint="eastAsia" w:eastAsia="方正楷体_GBK" w:cs="Times New Roman"/>
          <w:b w:val="0"/>
          <w:bCs/>
          <w:color w:val="000000"/>
          <w:spacing w:val="-6"/>
          <w:lang w:val="en-US" w:eastAsia="zh-CN"/>
        </w:rPr>
        <w:t>六</w:t>
      </w:r>
      <w:r>
        <w:rPr>
          <w:rFonts w:hint="eastAsia" w:ascii="Times New Roman" w:hAnsi="Times New Roman" w:eastAsia="方正楷体_GBK" w:cs="Times New Roman"/>
          <w:b w:val="0"/>
          <w:bCs/>
          <w:color w:val="000000"/>
          <w:spacing w:val="-6"/>
          <w:lang w:val="en-US" w:eastAsia="zh-CN"/>
        </w:rPr>
        <w:t xml:space="preserve">节  </w:t>
      </w:r>
      <w:r>
        <w:rPr>
          <w:rFonts w:hint="eastAsia" w:eastAsia="方正楷体_GBK" w:cs="Times New Roman"/>
          <w:b w:val="0"/>
          <w:bCs/>
          <w:color w:val="000000"/>
          <w:spacing w:val="-6"/>
          <w:lang w:val="en-US" w:eastAsia="zh-CN"/>
        </w:rPr>
        <w:t>健全</w:t>
      </w:r>
      <w:r>
        <w:rPr>
          <w:rFonts w:hint="eastAsia" w:ascii="Times New Roman" w:hAnsi="Times New Roman" w:eastAsia="方正楷体_GBK" w:cs="Times New Roman"/>
          <w:b w:val="0"/>
          <w:bCs/>
          <w:color w:val="000000"/>
          <w:spacing w:val="-6"/>
          <w:lang w:val="en-US" w:eastAsia="zh-CN"/>
        </w:rPr>
        <w:t>医药品冷链</w:t>
      </w:r>
      <w:r>
        <w:rPr>
          <w:rFonts w:hint="eastAsia" w:eastAsia="方正楷体_GBK" w:cs="Times New Roman"/>
          <w:b w:val="0"/>
          <w:bCs/>
          <w:color w:val="000000"/>
          <w:spacing w:val="-6"/>
          <w:lang w:val="en-US" w:eastAsia="zh-CN"/>
        </w:rPr>
        <w:t>物流体系</w:t>
      </w:r>
      <w:bookmarkEnd w:id="128"/>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围绕两江新区、高新区、巴南、长寿、涪陵、巴南、南岸、秀山等区（县）医药化工园区，以疫苗、生物医药制品等冷链产品为重点，健全生产、加工、储存、运输、使用等一体化医药冷链物流体系。鼓励大型医药冷链流通企业在物流枢纽（园区）建设医药冷链物流集配中心，高标准建设自动化立体冷库，规范冷藏车验证工作，严格施行低温药品运输、储存、配送和使用管理，推行“互联网+药品流通”，构建医药仓储、干线运输、城市配送等一体化发展。支持疾控中心、医院、基层医疗卫生机构等医疗网点，完善冷藏冷冻设施设备，提高医药产品冷链物流和使用环节的质量保障水平。统筹医药冷库、车辆等资源，健全应急联动服务及统一调度机制，提升医药产品冷链应急保障能力。</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bookmarkStart w:id="129" w:name="_Toc31384"/>
            <w:bookmarkStart w:id="130" w:name="_Toc11904"/>
            <w:bookmarkStart w:id="131" w:name="_Toc20139"/>
            <w:bookmarkStart w:id="132" w:name="_Toc30479"/>
            <w:bookmarkStart w:id="133" w:name="_Toc20697"/>
            <w:bookmarkStart w:id="134" w:name="_Toc29554"/>
            <w:bookmarkStart w:id="135" w:name="_Toc16534"/>
            <w:bookmarkStart w:id="136" w:name="_Toc2696"/>
            <w:r>
              <w:rPr>
                <w:rFonts w:hint="eastAsia" w:ascii="Times New Roman" w:hAnsi="Times New Roman" w:eastAsia="方正黑体_GBK" w:cs="方正黑体_GBK"/>
                <w:color w:val="191919"/>
                <w:sz w:val="30"/>
                <w:szCs w:val="30"/>
                <w:shd w:val="clear" w:color="auto" w:fill="FFFFFF"/>
                <w:vertAlign w:val="baseline"/>
                <w:lang w:val="en-US" w:eastAsia="zh-CN"/>
              </w:rPr>
              <w:t>专栏3  医药冷链物流节点设施建设工程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eastAsia" w:ascii="Times New Roman" w:hAnsi="Times New Roman" w:eastAsia="方正仿宋_GBK" w:cs="Times New Roman"/>
                <w:color w:val="191919"/>
                <w:sz w:val="28"/>
                <w:szCs w:val="28"/>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区域性生物医药品冷链物流基地建设工程：</w:t>
            </w:r>
            <w:r>
              <w:rPr>
                <w:rFonts w:hint="eastAsia" w:ascii="Times New Roman" w:hAnsi="Times New Roman" w:eastAsia="方正仿宋_GBK" w:cs="Times New Roman"/>
                <w:color w:val="191919"/>
                <w:sz w:val="28"/>
                <w:szCs w:val="28"/>
                <w:shd w:val="clear" w:color="auto" w:fill="FFFFFF"/>
                <w:lang w:val="en-US" w:eastAsia="zh-CN"/>
              </w:rPr>
              <w:t>两江新区、重庆高新区、巴南、合川、涪陵、长寿、南岸、沙坪坝、秀山等区（县）。</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30"/>
                <w:szCs w:val="30"/>
                <w:shd w:val="clear" w:color="auto" w:fill="FFFFFF"/>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疫苗等冷链产品集配中心建设工程</w:t>
            </w:r>
            <w:r>
              <w:rPr>
                <w:rFonts w:hint="eastAsia" w:ascii="Times New Roman" w:hAnsi="Times New Roman" w:eastAsia="方正仿宋_GBK" w:cs="Times New Roman"/>
                <w:color w:val="191919"/>
                <w:sz w:val="28"/>
                <w:szCs w:val="28"/>
                <w:shd w:val="clear" w:color="auto" w:fill="FFFFFF"/>
                <w:lang w:val="en-US" w:eastAsia="zh-CN"/>
              </w:rPr>
              <w:t>。渝中、北碚、万州、黔江、永川、沙坪坝等区，以及有关区（县）疾控中心冷库建设。</w:t>
            </w:r>
          </w:p>
        </w:tc>
      </w:tr>
    </w:tbl>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黑体_GBK" w:cs="Times New Roman"/>
          <w:color w:val="000000"/>
          <w:sz w:val="32"/>
          <w:szCs w:val="32"/>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137" w:name="_Toc30685"/>
      <w:r>
        <w:rPr>
          <w:rFonts w:hint="eastAsia" w:ascii="Times New Roman" w:hAnsi="Times New Roman" w:eastAsia="方正黑体_GBK" w:cs="Times New Roman"/>
          <w:color w:val="000000"/>
          <w:sz w:val="32"/>
          <w:szCs w:val="32"/>
          <w:lang w:val="en-US" w:eastAsia="zh-CN"/>
        </w:rPr>
        <w:t>第</w:t>
      </w:r>
      <w:r>
        <w:rPr>
          <w:rFonts w:hint="eastAsia" w:ascii="Times New Roman" w:eastAsia="方正黑体_GBK" w:cs="Times New Roman"/>
          <w:color w:val="000000"/>
          <w:sz w:val="32"/>
          <w:szCs w:val="32"/>
          <w:lang w:val="en-US" w:eastAsia="zh-CN"/>
        </w:rPr>
        <w:t>七</w:t>
      </w:r>
      <w:r>
        <w:rPr>
          <w:rFonts w:hint="eastAsia" w:ascii="Times New Roman" w:hAnsi="Times New Roman" w:eastAsia="方正黑体_GBK" w:cs="Times New Roman"/>
          <w:color w:val="000000"/>
          <w:sz w:val="32"/>
          <w:szCs w:val="32"/>
          <w:lang w:val="en-US" w:eastAsia="zh-CN"/>
        </w:rPr>
        <w:t>章  推进冷链物流全流程创新</w:t>
      </w:r>
      <w:bookmarkEnd w:id="137"/>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以科技创新和数字转型为引领，全面提升冷链物流信息化、智能化水平，推广先进冷链技术装备应用，有效促进冷链物流业态模式创新和行业治理能力现代化。</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38" w:name="_Toc20377"/>
      <w:r>
        <w:rPr>
          <w:rFonts w:hint="eastAsia" w:ascii="Times New Roman" w:hAnsi="Times New Roman" w:eastAsia="方正楷体_GBK" w:cs="Times New Roman"/>
          <w:b w:val="0"/>
          <w:bCs/>
          <w:color w:val="000000"/>
          <w:spacing w:val="-6"/>
          <w:lang w:val="en-US" w:eastAsia="zh-CN"/>
        </w:rPr>
        <w:t>第一节  提升冷链物流信息化水平</w:t>
      </w:r>
      <w:bookmarkEnd w:id="138"/>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完善冷链物流公共信息系统</w:t>
      </w:r>
      <w:r>
        <w:rPr>
          <w:rFonts w:hint="eastAsia" w:ascii="Times New Roman" w:hAnsi="Times New Roman" w:eastAsia="方正仿宋_GBK" w:cs="Times New Roman"/>
          <w:color w:val="191919"/>
          <w:sz w:val="32"/>
          <w:szCs w:val="32"/>
          <w:shd w:val="clear" w:color="auto" w:fill="FFFFFF"/>
          <w:lang w:val="en-US" w:eastAsia="zh-CN"/>
        </w:rPr>
        <w:t>。依托全市智慧口岸物流信息平台，搭建完善重庆城乡冷链物流信息平台，引导冷链物流节点冷库、大型农产品批发市场和商贸连锁企业、重点食品药品生产加工基地、第三方冷链物流企业等上云，强化生产、仓储、运输、销售等环节全过程监控，实现供需精准对接。努力推动全市冷链物流公共信息平台与全国冷链流通公共信息服务平台有效衔接。</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黑体_GBK" w:cs="方正黑体_GBK"/>
          <w:color w:val="191919"/>
          <w:sz w:val="32"/>
          <w:szCs w:val="32"/>
          <w:shd w:val="clear" w:color="auto" w:fill="FFFFFF"/>
          <w:lang w:val="en-US" w:eastAsia="zh-CN"/>
        </w:rPr>
        <w:t>鼓励建设第三方冷链信息平台</w:t>
      </w:r>
      <w:r>
        <w:rPr>
          <w:rFonts w:hint="eastAsia" w:ascii="Times New Roman" w:hAnsi="Times New Roman" w:eastAsia="方正仿宋_GBK" w:cs="Times New Roman"/>
          <w:color w:val="191919"/>
          <w:sz w:val="32"/>
          <w:szCs w:val="32"/>
          <w:shd w:val="clear" w:color="auto" w:fill="FFFFFF"/>
          <w:lang w:val="en-US" w:eastAsia="zh-CN"/>
        </w:rPr>
        <w:t>。引导重点企业搭建第三方市场化冷链服务平台，提供冷链货源、车辆、包装、运输等信息服务，提高冷链物流运行效率。大力推动第三方冷链物流服务平台接入全市冷链物流公共信息平台，促进冷链物流资源互通共享。鼓励各级冷链物流节点、冷链物流运输企业等使用第三方冷链信息平台，节约信息建设资金投入。鼓励企业使用公共信息平台或自建的冷链物流信息平台开放接口、共享共用。支持建立医药品冷链运输信息平台，整合优化医药品冷链物流企业运力资源，有效保障市内医药品冷链运输过程紧急救援需求。</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39" w:name="_Toc7645"/>
      <w:r>
        <w:rPr>
          <w:rFonts w:hint="eastAsia" w:ascii="Times New Roman" w:hAnsi="Times New Roman" w:eastAsia="方正楷体_GBK" w:cs="Times New Roman"/>
          <w:b w:val="0"/>
          <w:bCs/>
          <w:color w:val="000000"/>
          <w:spacing w:val="-6"/>
          <w:lang w:val="en-US" w:eastAsia="zh-CN"/>
        </w:rPr>
        <w:t>第二节  提高冷链设施智能化水平</w:t>
      </w:r>
      <w:bookmarkEnd w:id="13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rPr>
      </w:pPr>
      <w:r>
        <w:rPr>
          <w:rFonts w:hint="eastAsia" w:ascii="Times New Roman" w:hAnsi="Times New Roman" w:eastAsia="方正仿宋_GBK" w:cs="方正仿宋_GBK"/>
          <w:i w:val="0"/>
          <w:iCs w:val="0"/>
          <w:caps w:val="0"/>
          <w:color w:val="auto"/>
          <w:spacing w:val="0"/>
          <w:sz w:val="32"/>
          <w:szCs w:val="32"/>
          <w:lang w:val="en-US" w:eastAsia="zh-CN"/>
        </w:rPr>
        <w:t>推动大数据、物联网、5G、区块链、人工智能等技术在冷链物流领域广泛应用，鼓励综合保税区、国家物流枢纽、冷链物流节点等实施冷链设施数字化改造，推广自动立体货架、智能分拣、物流机器人、温度监控等设备应用，打造自动化无人冷链仓。以医药品、食品等特色高附加值冷链产品为试点，推广应用无人机、无人车冷链物流配送服务。支持冷链物流企业、农产品批发市场、生产加工企业等对冷库、中央厨房、低温车间等建筑物围栏护结构、制冷系统等实施节能改造，推广合同能源管理、节能诊断等模式。充分发挥长江黄金水道，整合冷链产品资源，探索推广应用冷藏船。加强对移动式等新型分级预冷装置、多温区陈列销售设备、大容量冷却冷冻机械、节能环保多温层冷链运输工具等的研发，支持农产品产地、城区建设一批移动冷库等基础设施。</w:t>
      </w:r>
      <w:r>
        <w:rPr>
          <w:rFonts w:hint="eastAsia" w:ascii="Times New Roman" w:hAnsi="Times New Roman" w:eastAsia="方正仿宋_GBK" w:cs="方正仿宋_GBK"/>
          <w:i w:val="0"/>
          <w:iCs w:val="0"/>
          <w:caps w:val="0"/>
          <w:color w:val="auto"/>
          <w:spacing w:val="0"/>
          <w:sz w:val="32"/>
          <w:szCs w:val="32"/>
        </w:rPr>
        <w:t>支持冷链物流企业运用传感器、过程控制芯片、可编程逻辑控制器、导航定位等物联网技术和网络通信技术</w:t>
      </w:r>
      <w:r>
        <w:rPr>
          <w:rFonts w:hint="eastAsia" w:ascii="Times New Roman" w:hAnsi="Times New Roman" w:eastAsia="方正仿宋_GBK" w:cs="方正仿宋_GBK"/>
          <w:i w:val="0"/>
          <w:iCs w:val="0"/>
          <w:caps w:val="0"/>
          <w:color w:val="auto"/>
          <w:spacing w:val="0"/>
          <w:sz w:val="32"/>
          <w:szCs w:val="32"/>
          <w:lang w:eastAsia="zh-CN"/>
        </w:rPr>
        <w:t>，</w:t>
      </w:r>
      <w:r>
        <w:rPr>
          <w:rFonts w:hint="eastAsia" w:ascii="Times New Roman" w:hAnsi="Times New Roman" w:eastAsia="方正仿宋_GBK" w:cs="方正仿宋_GBK"/>
          <w:i w:val="0"/>
          <w:iCs w:val="0"/>
          <w:caps w:val="0"/>
          <w:color w:val="auto"/>
          <w:spacing w:val="0"/>
          <w:sz w:val="32"/>
          <w:szCs w:val="32"/>
        </w:rPr>
        <w:t>对现有车辆进行智能化创新设计和升级改造，加强智能冷链物流能力建设。</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方正仿宋_GBK"/>
          <w:i w:val="0"/>
          <w:iCs w:val="0"/>
          <w:caps w:val="0"/>
          <w:color w:val="auto"/>
          <w:spacing w:val="0"/>
          <w:sz w:val="32"/>
          <w:szCs w:val="32"/>
          <w:lang w:val="en-US" w:eastAsia="zh-CN"/>
        </w:rPr>
      </w:pPr>
    </w:p>
    <w:bookmarkEnd w:id="129"/>
    <w:bookmarkEnd w:id="130"/>
    <w:bookmarkEnd w:id="131"/>
    <w:bookmarkEnd w:id="132"/>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40" w:name="_Toc4121"/>
      <w:bookmarkStart w:id="141" w:name="_Toc26913"/>
      <w:bookmarkStart w:id="142" w:name="_Toc8171"/>
      <w:bookmarkStart w:id="143" w:name="_Toc5462"/>
      <w:bookmarkStart w:id="144" w:name="_Toc531704299"/>
      <w:bookmarkStart w:id="145" w:name="_Toc25039"/>
      <w:r>
        <w:rPr>
          <w:rFonts w:hint="eastAsia" w:ascii="Times New Roman" w:hAnsi="Times New Roman" w:eastAsia="方正楷体_GBK" w:cs="Times New Roman"/>
          <w:b w:val="0"/>
          <w:bCs/>
          <w:color w:val="000000"/>
          <w:spacing w:val="-6"/>
          <w:lang w:val="en-US" w:eastAsia="zh-CN"/>
        </w:rPr>
        <w:t>第三节  推进冷链物流模式创新</w:t>
      </w:r>
      <w:bookmarkEnd w:id="140"/>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大力发展生鲜温控供应链，推广“连锁直销+冷链配送”“产地采购+中央厨房+食材冷链配送”“生鲜电商+冷链宅配”“网络化冷库+生鲜加工配送”等新型冷链物流运作模式。鼓励冷链物流企业参与客户供应链管理，开展定制化冷链服务。鼓励上下游企业加强冷链物流领域的战略合作，强化农产品全产业链组织功能，创新“冷链物流+种养殖”、冷链物流+农产品加工、冷链物流+新零售等新生态、新场景，共建冷链物流供应链体系。支持农产品流通模式创新，推动新型农业经营主体发展农超对接、农批对接、农企对接、农社对接等农产品流通模式，促进产地到销地直供发展。推进大型农产品生产流通、连锁商超、餐饮企业开放冷链物流体系，提供社会化、网络化的冷链物流服务。积极推广“分时段配送”、“无接触配送”、“夜间配送”，发展与新消费方式融合的冷链配送新业态、新模式。鼓励生鲜农产品经营主体加强与配送、快递等企业合作，提供多品种、小批量、多批次的精准高效共同配送服务。鼓励快递物流企业与农村生鲜电商协同发展，加快建设涉农电商平台，发展特色农产品冷链物流服务。</w:t>
      </w:r>
    </w:p>
    <w:bookmarkEnd w:id="141"/>
    <w:bookmarkEnd w:id="142"/>
    <w:bookmarkEnd w:id="143"/>
    <w:bookmarkEnd w:id="144"/>
    <w:bookmarkEnd w:id="145"/>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专栏7  冷链物流创新发展工程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shd w:val="clear" w:color="auto" w:fill="FFFFFF"/>
              <w:adjustRightInd w:val="0"/>
              <w:snapToGrid w:val="0"/>
              <w:spacing w:before="0" w:beforeAutospacing="0" w:after="0" w:afterAutospacing="0" w:line="580" w:lineRule="exact"/>
              <w:ind w:firstLine="560" w:firstLineChars="200"/>
              <w:rPr>
                <w:rFonts w:hint="eastAsia" w:ascii="Times New Roman" w:hAnsi="Times New Roman" w:eastAsia="方正仿宋_GBK" w:cs="Times New Roman"/>
                <w:color w:val="191919"/>
                <w:sz w:val="28"/>
                <w:szCs w:val="28"/>
                <w:shd w:val="clear" w:color="auto" w:fill="FFFFFF"/>
                <w:lang w:val="en-US" w:eastAsia="zh-CN"/>
              </w:rPr>
            </w:pPr>
            <w:r>
              <w:rPr>
                <w:rFonts w:hint="eastAsia" w:ascii="Times New Roman" w:hAnsi="Times New Roman" w:eastAsia="方正黑体_GBK" w:cs="方正黑体_GBK"/>
                <w:color w:val="191919"/>
                <w:sz w:val="28"/>
                <w:szCs w:val="28"/>
                <w:shd w:val="clear" w:color="auto" w:fill="FFFFFF"/>
                <w:lang w:val="en-US" w:eastAsia="zh-CN"/>
              </w:rPr>
              <w:t>融合发展模式试点。</w:t>
            </w:r>
            <w:r>
              <w:rPr>
                <w:rFonts w:hint="eastAsia" w:ascii="Times New Roman" w:hAnsi="Times New Roman" w:eastAsia="方正仿宋_GBK" w:cs="Times New Roman"/>
                <w:color w:val="191919"/>
                <w:sz w:val="28"/>
                <w:szCs w:val="28"/>
                <w:shd w:val="clear" w:color="auto" w:fill="FFFFFF"/>
                <w:lang w:val="en-US" w:eastAsia="zh-CN"/>
              </w:rPr>
              <w:t>开展一批冷链产品直销模式试点，以农超对接为切入点，促进冷链物流与批发市场、大型超市、社区超市等商贸流通企业深度合作，推动冷链产品直销模式发展。开展一批冷链产品线上销售模式，以生鲜电商为切入点，促进冷链物流与综合电商平台、垂直电商平台等电商企业深度合作，推动冷链产品线上销售模式发展。</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中央大厨房。</w:t>
            </w:r>
            <w:r>
              <w:rPr>
                <w:rFonts w:hint="eastAsia" w:ascii="Times New Roman" w:hAnsi="Times New Roman" w:eastAsia="方正仿宋_GBK" w:cs="Times New Roman"/>
                <w:color w:val="191919"/>
                <w:sz w:val="28"/>
                <w:szCs w:val="28"/>
                <w:shd w:val="clear" w:color="auto" w:fill="FFFFFF"/>
                <w:vertAlign w:val="baseline"/>
                <w:lang w:val="en-US" w:eastAsia="zh-CN"/>
              </w:rPr>
              <w:t>鼓励一级、二级冷链物流节点建设中央大厨房等建设，完善肉类、果蔬等农产品冷储、加工处理、分装配送等功能，确保全程冷链操作，为客户集中提供经济、高效食材的大型综合性中央厨房。</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46" w:name="_Toc7229"/>
      <w:bookmarkStart w:id="147" w:name="_Toc18946"/>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第四节  加强冷链物流运输</w:t>
      </w:r>
      <w:bookmarkEnd w:id="146"/>
      <w:r>
        <w:rPr>
          <w:rFonts w:hint="eastAsia" w:ascii="Times New Roman" w:hAnsi="Times New Roman" w:eastAsia="方正楷体_GBK" w:cs="Times New Roman"/>
          <w:b w:val="0"/>
          <w:bCs/>
          <w:color w:val="000000"/>
          <w:spacing w:val="-6"/>
          <w:lang w:val="en-US" w:eastAsia="zh-CN"/>
        </w:rPr>
        <w:t>服务能力</w:t>
      </w:r>
      <w:bookmarkEnd w:id="147"/>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80" w:lineRule="exact"/>
        <w:ind w:firstLine="640" w:firstLineChars="200"/>
        <w:textAlignment w:val="auto"/>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引导国家骨干冷链物流基地、一二级冷链物流节点、重点冷链物流企业等运营主体强化冷链中长距离运输的统筹协调能力，鼓励开展规模化冷链物流干线运输。加强与上海港、天津港、广州港、广西北部湾港等边界口岸衔接，大力发展公路冷链专线、铁路冷链班车、沪渝直达快线等干线运输模式。开通连接优势产区的冷链航空货运通道，提高航空干线运输比例。推动建立跨运输方式的冷藏集装箱循环共享共用系统，提高冷链物流干支衔接能力和转运分拨效率。推广应用单元化包装，推动冷链运输全程“不倒拖”、“不倒箱”。大力培育发展冷藏车，推广使用新能源新型冷藏车、多温层冷藏车、冷藏集装箱、冷藏厢式半挂车等标准化冷链物流运输设施设备，引导适冷食品药品干支线运输、城市配送使用冷藏车辆。优化中心城区与主城新区、两群重要冷链物流节点运输组织模式，鼓励开行冷链专线班车，推动重点冷链物流节点“串珠成链”，提升冷链运输效率。完善城市配送冷藏车辆通行管理制度，建立冷链物流企业分类管理，确保冷链配送车辆便利通行。统一城市配送冷藏车辆标识，对统一外观标识的城市配送冷藏车辆，充分保障并优先发放城市配送绿色通行证。符合标准的新能源冷藏运输车非必要不限行。</w:t>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80" w:lineRule="exact"/>
        <w:ind w:firstLine="640" w:firstLineChars="200"/>
        <w:textAlignment w:val="auto"/>
        <w:rPr>
          <w:rFonts w:hint="eastAsia" w:ascii="Times New Roman" w:hAnsi="Times New Roman" w:eastAsia="方正仿宋_GBK" w:cs="Times New Roman"/>
          <w:color w:val="191919"/>
          <w:sz w:val="32"/>
          <w:szCs w:val="32"/>
          <w:shd w:val="clear" w:color="auto" w:fill="FFFFFF"/>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48" w:name="_Toc13150"/>
      <w:r>
        <w:rPr>
          <w:rFonts w:hint="eastAsia" w:ascii="Times New Roman" w:hAnsi="Times New Roman" w:eastAsia="方正楷体_GBK" w:cs="Times New Roman"/>
          <w:b w:val="0"/>
          <w:bCs/>
          <w:color w:val="000000"/>
          <w:spacing w:val="-6"/>
          <w:lang w:val="en-US" w:eastAsia="zh-CN"/>
        </w:rPr>
        <w:t>第五节  培育冷链装备制造业集群</w:t>
      </w:r>
      <w:bookmarkEnd w:id="148"/>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rPr>
      </w:pPr>
      <w:r>
        <w:rPr>
          <w:rFonts w:hint="eastAsia" w:ascii="Times New Roman" w:hAnsi="Times New Roman" w:eastAsia="方正仿宋_GBK" w:cs="方正仿宋_GBK"/>
          <w:i w:val="0"/>
          <w:iCs w:val="0"/>
          <w:caps w:val="0"/>
          <w:color w:val="auto"/>
          <w:spacing w:val="0"/>
          <w:sz w:val="32"/>
          <w:szCs w:val="32"/>
        </w:rPr>
        <w:t>依托</w:t>
      </w:r>
      <w:r>
        <w:rPr>
          <w:rFonts w:hint="eastAsia" w:ascii="Times New Roman" w:hAnsi="Times New Roman" w:eastAsia="方正仿宋_GBK" w:cs="方正仿宋_GBK"/>
          <w:i w:val="0"/>
          <w:iCs w:val="0"/>
          <w:caps w:val="0"/>
          <w:color w:val="auto"/>
          <w:spacing w:val="0"/>
          <w:sz w:val="32"/>
          <w:szCs w:val="32"/>
          <w:lang w:val="en-US" w:eastAsia="zh-CN"/>
        </w:rPr>
        <w:t>汽车制造、</w:t>
      </w:r>
      <w:r>
        <w:rPr>
          <w:rFonts w:hint="eastAsia" w:ascii="Times New Roman" w:hAnsi="Times New Roman" w:eastAsia="方正仿宋_GBK" w:cs="方正仿宋_GBK"/>
          <w:i w:val="0"/>
          <w:iCs w:val="0"/>
          <w:caps w:val="0"/>
          <w:color w:val="auto"/>
          <w:spacing w:val="0"/>
          <w:sz w:val="32"/>
          <w:szCs w:val="32"/>
        </w:rPr>
        <w:t>冷机制造</w:t>
      </w:r>
      <w:r>
        <w:rPr>
          <w:rFonts w:hint="eastAsia" w:ascii="Times New Roman" w:hAnsi="Times New Roman" w:eastAsia="方正仿宋_GBK" w:cs="方正仿宋_GBK"/>
          <w:i w:val="0"/>
          <w:iCs w:val="0"/>
          <w:caps w:val="0"/>
          <w:color w:val="auto"/>
          <w:spacing w:val="0"/>
          <w:sz w:val="32"/>
          <w:szCs w:val="32"/>
          <w:lang w:eastAsia="zh-CN"/>
        </w:rPr>
        <w:t>、</w:t>
      </w:r>
      <w:r>
        <w:rPr>
          <w:rFonts w:hint="eastAsia" w:ascii="Times New Roman" w:hAnsi="Times New Roman" w:eastAsia="方正仿宋_GBK" w:cs="方正仿宋_GBK"/>
          <w:i w:val="0"/>
          <w:iCs w:val="0"/>
          <w:caps w:val="0"/>
          <w:color w:val="auto"/>
          <w:spacing w:val="0"/>
          <w:sz w:val="32"/>
          <w:szCs w:val="32"/>
          <w:lang w:val="en-US" w:eastAsia="zh-CN"/>
        </w:rPr>
        <w:t>保温厢体等企业</w:t>
      </w:r>
      <w:r>
        <w:rPr>
          <w:rFonts w:hint="eastAsia" w:ascii="Times New Roman" w:hAnsi="Times New Roman" w:eastAsia="方正仿宋_GBK" w:cs="方正仿宋_GBK"/>
          <w:i w:val="0"/>
          <w:iCs w:val="0"/>
          <w:caps w:val="0"/>
          <w:color w:val="auto"/>
          <w:spacing w:val="0"/>
          <w:sz w:val="32"/>
          <w:szCs w:val="32"/>
        </w:rPr>
        <w:t>，</w:t>
      </w:r>
      <w:r>
        <w:rPr>
          <w:rFonts w:hint="eastAsia" w:ascii="Times New Roman" w:hAnsi="Times New Roman" w:eastAsia="方正仿宋_GBK" w:cs="方正仿宋_GBK"/>
          <w:i w:val="0"/>
          <w:iCs w:val="0"/>
          <w:caps w:val="0"/>
          <w:color w:val="auto"/>
          <w:spacing w:val="0"/>
          <w:sz w:val="32"/>
          <w:szCs w:val="32"/>
          <w:lang w:val="en-US" w:eastAsia="zh-CN"/>
        </w:rPr>
        <w:t>推动两江新区、永川、九龙坡、璧山等发展冷链装备制造业集群，鼓励研发、制造冷藏运输车、保鲜车、保温车等运输设备，冷库制冷设备，冷水预冷、冷风预冷、真空预冷或混合预冷等预冷设备，全自动屠宰预冷一体化设备，标准化冷藏集装箱、标准化周转箱、标准化托盘、可循环使用的标准化温控包装盒等冷链载具</w:t>
      </w:r>
      <w:r>
        <w:rPr>
          <w:rFonts w:hint="eastAsia" w:ascii="Times New Roman" w:hAnsi="Times New Roman" w:eastAsia="方正仿宋_GBK" w:cs="方正仿宋_GBK"/>
          <w:i w:val="0"/>
          <w:iCs w:val="0"/>
          <w:caps w:val="0"/>
          <w:color w:val="auto"/>
          <w:spacing w:val="0"/>
          <w:sz w:val="32"/>
          <w:szCs w:val="32"/>
        </w:rPr>
        <w:t>，提高冷链物流装备生产与保障能力</w:t>
      </w:r>
      <w:r>
        <w:rPr>
          <w:rFonts w:hint="eastAsia" w:ascii="Times New Roman" w:hAnsi="Times New Roman" w:eastAsia="方正仿宋_GBK" w:cs="方正仿宋_GBK"/>
          <w:i w:val="0"/>
          <w:iCs w:val="0"/>
          <w:caps w:val="0"/>
          <w:color w:val="auto"/>
          <w:spacing w:val="0"/>
          <w:sz w:val="32"/>
          <w:szCs w:val="32"/>
          <w:lang w:val="en-US" w:eastAsia="zh-CN"/>
        </w:rPr>
        <w:t>。</w:t>
      </w:r>
      <w:r>
        <w:rPr>
          <w:rFonts w:hint="eastAsia" w:ascii="Times New Roman" w:hAnsi="Times New Roman" w:eastAsia="方正仿宋_GBK" w:cs="方正仿宋_GBK"/>
          <w:i w:val="0"/>
          <w:iCs w:val="0"/>
          <w:caps w:val="0"/>
          <w:color w:val="auto"/>
          <w:spacing w:val="0"/>
          <w:sz w:val="32"/>
          <w:szCs w:val="32"/>
        </w:rPr>
        <w:t>推动产业链企业创新发展，积极招引龙头企业，</w:t>
      </w:r>
      <w:r>
        <w:rPr>
          <w:rFonts w:hint="eastAsia" w:ascii="Times New Roman" w:hAnsi="Times New Roman" w:eastAsia="方正仿宋_GBK" w:cs="方正仿宋_GBK"/>
          <w:i w:val="0"/>
          <w:iCs w:val="0"/>
          <w:caps w:val="0"/>
          <w:color w:val="auto"/>
          <w:spacing w:val="0"/>
          <w:sz w:val="32"/>
          <w:szCs w:val="32"/>
          <w:lang w:val="en-US" w:eastAsia="zh-CN"/>
        </w:rPr>
        <w:t>大力发展</w:t>
      </w:r>
      <w:r>
        <w:rPr>
          <w:rFonts w:hint="eastAsia" w:ascii="Times New Roman" w:hAnsi="Times New Roman" w:eastAsia="方正仿宋_GBK" w:cs="方正仿宋_GBK"/>
          <w:i w:val="0"/>
          <w:iCs w:val="0"/>
          <w:caps w:val="0"/>
          <w:color w:val="auto"/>
          <w:spacing w:val="0"/>
          <w:sz w:val="32"/>
          <w:szCs w:val="32"/>
        </w:rPr>
        <w:t>无人车冷链配送应用场景，延展完善智慧冷链物流产业链条。支持冷链装备制造企业面向市场提供冷链物流整体解决方案</w:t>
      </w:r>
      <w:r>
        <w:rPr>
          <w:rFonts w:hint="eastAsia" w:ascii="Times New Roman" w:hAnsi="Times New Roman" w:eastAsia="方正仿宋_GBK" w:cs="方正仿宋_GBK"/>
          <w:i w:val="0"/>
          <w:iCs w:val="0"/>
          <w:caps w:val="0"/>
          <w:color w:val="auto"/>
          <w:spacing w:val="0"/>
          <w:sz w:val="32"/>
          <w:szCs w:val="32"/>
          <w:lang w:eastAsia="zh-CN"/>
        </w:rPr>
        <w:t>，</w:t>
      </w:r>
      <w:r>
        <w:rPr>
          <w:rFonts w:hint="eastAsia" w:ascii="Times New Roman" w:hAnsi="Times New Roman" w:eastAsia="方正仿宋_GBK" w:cs="方正仿宋_GBK"/>
          <w:i w:val="0"/>
          <w:iCs w:val="0"/>
          <w:caps w:val="0"/>
          <w:color w:val="auto"/>
          <w:spacing w:val="0"/>
          <w:sz w:val="32"/>
          <w:szCs w:val="32"/>
        </w:rPr>
        <w:t>开展整体解决方案、总集成总承包、融资租赁等创新市场营销新模式。</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bookmarkEnd w:id="133"/>
    <w:bookmarkEnd w:id="134"/>
    <w:bookmarkEnd w:id="135"/>
    <w:bookmarkEnd w:id="136"/>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149" w:name="_Toc5937"/>
      <w:r>
        <w:rPr>
          <w:rFonts w:hint="eastAsia" w:ascii="Times New Roman" w:eastAsia="方正黑体_GBK" w:cs="Times New Roman"/>
          <w:color w:val="000000"/>
          <w:sz w:val="32"/>
          <w:szCs w:val="32"/>
          <w:lang w:val="en-US" w:eastAsia="zh-CN"/>
        </w:rPr>
        <w:t>第八章  强化</w:t>
      </w:r>
      <w:r>
        <w:rPr>
          <w:rFonts w:hint="eastAsia" w:ascii="Times New Roman" w:hAnsi="Times New Roman" w:eastAsia="方正黑体_GBK" w:cs="Times New Roman"/>
          <w:color w:val="000000"/>
          <w:sz w:val="32"/>
          <w:szCs w:val="32"/>
          <w:lang w:val="en-US" w:eastAsia="zh-CN"/>
        </w:rPr>
        <w:t>冷链</w:t>
      </w:r>
      <w:r>
        <w:rPr>
          <w:rFonts w:hint="eastAsia" w:ascii="Times New Roman" w:eastAsia="方正黑体_GBK" w:cs="Times New Roman"/>
          <w:color w:val="000000"/>
          <w:sz w:val="32"/>
          <w:szCs w:val="32"/>
          <w:lang w:val="en-US" w:eastAsia="zh-CN"/>
        </w:rPr>
        <w:t>物流全方位支撑</w:t>
      </w:r>
      <w:bookmarkEnd w:id="149"/>
    </w:p>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50" w:name="_Toc10966"/>
      <w:bookmarkStart w:id="151" w:name="_Toc16072"/>
      <w:bookmarkStart w:id="152" w:name="_Toc22567"/>
      <w:bookmarkStart w:id="153" w:name="_Toc3236"/>
      <w:bookmarkStart w:id="154" w:name="_Toc7277"/>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第一节  培育冷链物流</w:t>
      </w:r>
      <w:bookmarkEnd w:id="150"/>
      <w:bookmarkEnd w:id="151"/>
      <w:bookmarkEnd w:id="152"/>
      <w:bookmarkEnd w:id="153"/>
      <w:r>
        <w:rPr>
          <w:rFonts w:hint="eastAsia" w:ascii="Times New Roman" w:hAnsi="Times New Roman" w:eastAsia="方正楷体_GBK" w:cs="Times New Roman"/>
          <w:b w:val="0"/>
          <w:bCs/>
          <w:color w:val="000000"/>
          <w:spacing w:val="-6"/>
          <w:lang w:val="en-US" w:eastAsia="zh-CN"/>
        </w:rPr>
        <w:t>骨干企业</w:t>
      </w:r>
      <w:bookmarkEnd w:id="154"/>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Times New Roman"/>
          <w:color w:val="191919"/>
          <w:sz w:val="32"/>
          <w:szCs w:val="32"/>
          <w:shd w:val="clear" w:color="auto" w:fill="FFFFFF"/>
          <w:lang w:val="en-US" w:eastAsia="zh-CN"/>
        </w:rPr>
        <w:t>鼓励冷链物流企业通过兼并重组、战略合作等方式优化整合资源，拓展服务网络，支持龙头企业发展仓运配、集采分销和供应链金融一体化服务，培育形成一批温控供应链集成服务商和冷链服务标杆企业。依托一级、二级冷链物流节点，支持企业构建干支仓配一体的冷链物流服务网络，扩大业务覆盖范围，提升运行效率。引进一批具有国内外知名度和影响力的冷链物流企业的总部、区域总部、营运中心、结算中心等落户重庆，提升冷链资源配置能力。培育发展第三方冷链物流企业，引导冷链食品、药品生产企业剥离自有冷链配送服务功能和业务，通过战略联盟、资本合作等，加强冷链食品、药品产业链资源共享，优化冷链供应链，发展第三方冷链物流配送，打造一批知名冷链物流服务品牌。依法合规推动冷链物流平台企业发展，扩大冷链资源要素组织规模和范围，提升冷链物流组织化、规模化运营能力。引导冷链物流企业与通道运营平台企业、贸易企业等合作，开展国际冷链物流运作，提升冷链物流企业国际化发展水平。</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专栏9  骨干冷链物流企业培育工程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冷链物流标杆企业。</w:t>
            </w:r>
            <w:r>
              <w:rPr>
                <w:rFonts w:hint="eastAsia" w:ascii="Times New Roman" w:hAnsi="Times New Roman" w:eastAsia="方正仿宋_GBK" w:cs="Times New Roman"/>
                <w:color w:val="191919"/>
                <w:sz w:val="28"/>
                <w:szCs w:val="28"/>
                <w:shd w:val="clear" w:color="auto" w:fill="FFFFFF"/>
                <w:vertAlign w:val="baseline"/>
                <w:lang w:val="en-US" w:eastAsia="zh-CN"/>
              </w:rPr>
              <w:t>围绕冷链运输、仓储、配送等主要环节，以及肉类、乳品、医药产品等细分领域，打造一批全程冷链、全程监控、全程可追溯的冷链示范企业和产品，培育一批专业化运作能力强的领军企业。</w:t>
            </w:r>
          </w:p>
        </w:tc>
      </w:tr>
    </w:tbl>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55" w:name="_Toc2383"/>
      <w:r>
        <w:rPr>
          <w:rFonts w:hint="eastAsia" w:ascii="Times New Roman" w:hAnsi="Times New Roman" w:eastAsia="方正楷体_GBK" w:cs="Times New Roman"/>
          <w:b w:val="0"/>
          <w:bCs/>
          <w:color w:val="000000"/>
          <w:spacing w:val="-6"/>
          <w:lang w:val="en-US" w:eastAsia="zh-CN"/>
        </w:rPr>
        <w:t>第二节  健全冷链物流标准体系</w:t>
      </w:r>
      <w:bookmarkEnd w:id="155"/>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Times New Roman"/>
          <w:color w:val="191919"/>
          <w:sz w:val="32"/>
          <w:szCs w:val="32"/>
          <w:shd w:val="clear" w:color="auto" w:fill="FFFFFF"/>
          <w:lang w:val="en-US" w:eastAsia="zh-CN"/>
        </w:rPr>
        <w:t>深化中新（重庆）战略性互联互通示范项目，参与冷链物流国际标准化活动，有序稳步推动重庆与新加坡冷链物流标准衔接。引导冷链物流企业、科研机构、高等院校等单位参与制定肉类、果蔬、粮油、红酒、海鲜、药品疫苗等商品的预冷、存储、运输、包装、销售各冷链环节的国家、行业、地方标准，进一步规范冷链产品市内存储销售、市外分拨流程。</w:t>
      </w:r>
      <w:r>
        <w:rPr>
          <w:rFonts w:hint="eastAsia" w:ascii="Times New Roman" w:hAnsi="Times New Roman" w:eastAsia="方正仿宋_GBK" w:cs="方正仿宋_GBK"/>
          <w:i w:val="0"/>
          <w:iCs w:val="0"/>
          <w:caps w:val="0"/>
          <w:color w:val="auto"/>
          <w:spacing w:val="0"/>
          <w:sz w:val="32"/>
          <w:szCs w:val="32"/>
          <w:lang w:val="en-US" w:eastAsia="zh-CN"/>
        </w:rPr>
        <w:t>制定出台重庆冷链商品目录，推广应用冷链物流标准规范，促进冷链供应链上下游有效衔接。</w:t>
      </w:r>
      <w:r>
        <w:rPr>
          <w:rFonts w:hint="eastAsia" w:ascii="Times New Roman" w:hAnsi="Times New Roman" w:eastAsia="方正仿宋_GBK" w:cs="Times New Roman"/>
          <w:color w:val="191919"/>
          <w:sz w:val="32"/>
          <w:szCs w:val="32"/>
          <w:shd w:val="clear" w:color="auto" w:fill="FFFFFF"/>
          <w:lang w:val="en-US" w:eastAsia="zh-CN"/>
        </w:rPr>
        <w:t>建立标准推广和培训机制，强化标准宣贯实施力度，开展冷链物流标准化专项培训工作，积极推行符合国家规范的质量安全认证和市场准入制度。</w:t>
      </w:r>
      <w:r>
        <w:rPr>
          <w:rFonts w:hint="eastAsia" w:ascii="Times New Roman" w:hAnsi="Times New Roman" w:eastAsia="方正仿宋_GBK" w:cs="方正仿宋_GBK"/>
          <w:i w:val="0"/>
          <w:iCs w:val="0"/>
          <w:caps w:val="0"/>
          <w:color w:val="auto"/>
          <w:spacing w:val="0"/>
          <w:sz w:val="32"/>
          <w:szCs w:val="32"/>
          <w:lang w:val="en-US" w:eastAsia="zh-CN"/>
        </w:rPr>
        <w:t>推广与标准托盘相匹配的包装基础模数及系列规格尺寸，促进包装箱、周转箱、集装箱等上下游设施设备的标准化，推动标准装载单元器具的循环共用。</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56" w:name="_Toc28115"/>
      <w:bookmarkStart w:id="157" w:name="_Toc24795"/>
      <w:r>
        <w:rPr>
          <w:rFonts w:hint="eastAsia" w:ascii="Times New Roman" w:hAnsi="Times New Roman" w:eastAsia="方正楷体_GBK" w:cs="Times New Roman"/>
          <w:b w:val="0"/>
          <w:bCs/>
          <w:color w:val="000000"/>
          <w:spacing w:val="-6"/>
          <w:lang w:val="en-US" w:eastAsia="zh-CN"/>
        </w:rPr>
        <w:t>第三节  完善冷链物流统计</w:t>
      </w:r>
      <w:bookmarkEnd w:id="156"/>
      <w:r>
        <w:rPr>
          <w:rFonts w:hint="eastAsia" w:ascii="Times New Roman" w:hAnsi="Times New Roman" w:eastAsia="方正楷体_GBK" w:cs="Times New Roman"/>
          <w:b w:val="0"/>
          <w:bCs/>
          <w:color w:val="000000"/>
          <w:spacing w:val="-6"/>
          <w:lang w:val="en-US" w:eastAsia="zh-CN"/>
        </w:rPr>
        <w:t>体系</w:t>
      </w:r>
      <w:bookmarkEnd w:id="157"/>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充分发挥行业协会、第三方冷链物流信息平台作用，建立冷链物流行业统计制度，单列冷链物流统计体系，利用冷链物流信息平台，加强行业数据收集、分析、发布等基础工作。依托一级、二级、三级冷链物流节点，加强行业日常运行监测和分析研判。研究发布冷链物流行情指数，及时通报重点产品运营状况，为科学判断行业状况、预测发展态势，指导企业经营决策和政府部门制定行业政策提供依据。</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58" w:name="_Toc974"/>
      <w:r>
        <w:rPr>
          <w:rFonts w:hint="eastAsia" w:ascii="Times New Roman" w:hAnsi="Times New Roman" w:eastAsia="方正楷体_GBK" w:cs="Times New Roman"/>
          <w:b w:val="0"/>
          <w:bCs/>
          <w:color w:val="000000"/>
          <w:spacing w:val="-6"/>
          <w:lang w:val="en-US" w:eastAsia="zh-CN"/>
        </w:rPr>
        <w:t>第四节  强化</w:t>
      </w:r>
      <w:r>
        <w:rPr>
          <w:rFonts w:hint="eastAsia" w:eastAsia="方正楷体_GBK" w:cs="Times New Roman"/>
          <w:b w:val="0"/>
          <w:bCs/>
          <w:color w:val="000000"/>
          <w:spacing w:val="-6"/>
          <w:lang w:val="en-US" w:eastAsia="zh-CN"/>
        </w:rPr>
        <w:t>冷链</w:t>
      </w:r>
      <w:r>
        <w:rPr>
          <w:rFonts w:hint="eastAsia" w:ascii="Times New Roman" w:hAnsi="Times New Roman" w:eastAsia="方正楷体_GBK" w:cs="Times New Roman"/>
          <w:b w:val="0"/>
          <w:bCs/>
          <w:color w:val="000000"/>
          <w:spacing w:val="-6"/>
          <w:lang w:val="en-US" w:eastAsia="zh-CN"/>
        </w:rPr>
        <w:t>物流人才队伍建设</w:t>
      </w:r>
      <w:bookmarkEnd w:id="158"/>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建立冷链物流专家库，凝聚政府、研究机构、高校、协会、企业等人才资源，组建基础型、复合型、创新型、产业型专家团队，打造全市冷链物流业高级智库，为冷链物流发展提供决策咨询。引进和培育冷链物流人才，通过优化人才引进和激励政策，以及鼓励企业内部提拔，引进、培育市场急需的冷链物流专门人才。依托“一带一路”建设、西部陆海新通道建设等，鼓励高等院校、行业协会开展多层次、宽领域国际交流合作，分级分类开设培训课程，培养高层次冷链物流人才。推动冷链物流企业与高等院校、科研单位等合作，开展订单式、定制化培训，建设冷链物流高技能人才培训基地。强化人才交流，引进国内外优秀管理人才，推动高素质人才队伍建设。</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159" w:name="_Toc20899"/>
      <w:r>
        <w:rPr>
          <w:rFonts w:hint="eastAsia" w:ascii="Times New Roman" w:hAnsi="Times New Roman" w:eastAsia="方正黑体_GBK" w:cs="Times New Roman"/>
          <w:color w:val="000000"/>
          <w:sz w:val="32"/>
          <w:szCs w:val="32"/>
          <w:lang w:val="en-US" w:eastAsia="zh-CN"/>
        </w:rPr>
        <w:t>第</w:t>
      </w:r>
      <w:r>
        <w:rPr>
          <w:rFonts w:hint="eastAsia" w:ascii="Times New Roman" w:eastAsia="方正黑体_GBK" w:cs="Times New Roman"/>
          <w:color w:val="000000"/>
          <w:sz w:val="32"/>
          <w:szCs w:val="32"/>
          <w:lang w:val="en-US" w:eastAsia="zh-CN"/>
        </w:rPr>
        <w:t>九</w:t>
      </w:r>
      <w:r>
        <w:rPr>
          <w:rFonts w:hint="eastAsia" w:ascii="Times New Roman" w:hAnsi="Times New Roman" w:eastAsia="方正黑体_GBK" w:cs="Times New Roman"/>
          <w:color w:val="000000"/>
          <w:sz w:val="32"/>
          <w:szCs w:val="32"/>
          <w:lang w:val="en-US" w:eastAsia="zh-CN"/>
        </w:rPr>
        <w:t xml:space="preserve">章  </w:t>
      </w:r>
      <w:r>
        <w:rPr>
          <w:rFonts w:hint="eastAsia" w:ascii="Times New Roman" w:eastAsia="方正黑体_GBK" w:cs="Times New Roman"/>
          <w:color w:val="000000"/>
          <w:sz w:val="32"/>
          <w:szCs w:val="32"/>
          <w:lang w:val="en-US" w:eastAsia="zh-CN"/>
        </w:rPr>
        <w:t>加强</w:t>
      </w:r>
      <w:r>
        <w:rPr>
          <w:rFonts w:hint="eastAsia" w:ascii="Times New Roman" w:hAnsi="Times New Roman" w:eastAsia="方正黑体_GBK" w:cs="Times New Roman"/>
          <w:color w:val="000000"/>
          <w:sz w:val="32"/>
          <w:szCs w:val="32"/>
          <w:lang w:val="en-US" w:eastAsia="zh-CN"/>
        </w:rPr>
        <w:t>冷链物流全链条监管</w:t>
      </w:r>
      <w:bookmarkEnd w:id="15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健全政府监管机制，强化跨部门协作，创新监管手段，提升冷链监管效能，努力构建全流程监测监管体系。</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60" w:name="_Toc27081"/>
      <w:r>
        <w:rPr>
          <w:rFonts w:hint="eastAsia" w:ascii="Times New Roman" w:hAnsi="Times New Roman" w:eastAsia="方正楷体_GBK" w:cs="Times New Roman"/>
          <w:b w:val="0"/>
          <w:bCs/>
          <w:color w:val="000000"/>
          <w:spacing w:val="-6"/>
          <w:lang w:val="en-US" w:eastAsia="zh-CN"/>
        </w:rPr>
        <w:t xml:space="preserve">第一节  </w:t>
      </w:r>
      <w:r>
        <w:rPr>
          <w:rFonts w:hint="eastAsia" w:eastAsia="方正楷体_GBK" w:cs="Times New Roman"/>
          <w:b w:val="0"/>
          <w:bCs/>
          <w:color w:val="000000"/>
          <w:spacing w:val="-6"/>
          <w:lang w:val="en-US" w:eastAsia="zh-CN"/>
        </w:rPr>
        <w:t>健全</w:t>
      </w:r>
      <w:r>
        <w:rPr>
          <w:rFonts w:hint="eastAsia" w:ascii="Times New Roman" w:hAnsi="Times New Roman" w:eastAsia="方正楷体_GBK" w:cs="Times New Roman"/>
          <w:b w:val="0"/>
          <w:bCs/>
          <w:color w:val="000000"/>
          <w:spacing w:val="-6"/>
          <w:lang w:val="en-US" w:eastAsia="zh-CN"/>
        </w:rPr>
        <w:t>冷链物流</w:t>
      </w:r>
      <w:r>
        <w:rPr>
          <w:rFonts w:hint="eastAsia" w:eastAsia="方正楷体_GBK" w:cs="Times New Roman"/>
          <w:b w:val="0"/>
          <w:bCs/>
          <w:color w:val="000000"/>
          <w:spacing w:val="-6"/>
          <w:lang w:val="en-US" w:eastAsia="zh-CN"/>
        </w:rPr>
        <w:t>监管机</w:t>
      </w:r>
      <w:r>
        <w:rPr>
          <w:rFonts w:hint="eastAsia" w:ascii="Times New Roman" w:hAnsi="Times New Roman" w:eastAsia="方正楷体_GBK" w:cs="Times New Roman"/>
          <w:b w:val="0"/>
          <w:bCs/>
          <w:color w:val="000000"/>
          <w:spacing w:val="-6"/>
          <w:lang w:val="en-US" w:eastAsia="zh-CN"/>
        </w:rPr>
        <w:t>制</w:t>
      </w:r>
      <w:bookmarkEnd w:id="160"/>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依托全市口岸物流发展工作联席会议机制，推动建立统一领导、分工负责、分级管理的冷链物流监管机制，发挥政府监管的主体作用，进一步明确各有关部门监管职责，强化跨部门沟通协调，加大督促检查力度，确保各项监管制度严格执行到位。推动冷链产品检验检测检疫在生产、流通、消费全过程及跨区域信息互通、监管互认、执法互助。完善行政监管制度，分品类建立完善日常巡查、专项检查、飞行检查、重点检查、专家审查等相结合的检查制度，依法规范冷链物流各类市场主体经营活动。</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bookmarkStart w:id="161" w:name="_Toc27476"/>
      <w:r>
        <w:rPr>
          <w:rFonts w:hint="eastAsia" w:ascii="Times New Roman" w:hAnsi="Times New Roman" w:eastAsia="方正楷体_GBK" w:cs="Times New Roman"/>
          <w:b w:val="0"/>
          <w:bCs/>
          <w:color w:val="000000"/>
          <w:spacing w:val="-6"/>
          <w:lang w:val="en-US" w:eastAsia="zh-CN"/>
        </w:rPr>
        <w:t xml:space="preserve">第二节  </w:t>
      </w:r>
      <w:r>
        <w:rPr>
          <w:rFonts w:hint="eastAsia" w:eastAsia="方正楷体_GBK" w:cs="Times New Roman"/>
          <w:b w:val="0"/>
          <w:bCs/>
          <w:color w:val="000000"/>
          <w:spacing w:val="-6"/>
          <w:lang w:val="en-US" w:eastAsia="zh-CN"/>
        </w:rPr>
        <w:t>创新行业监管手段</w:t>
      </w:r>
      <w:bookmarkEnd w:id="161"/>
    </w:p>
    <w:bookmarkEnd w:id="108"/>
    <w:bookmarkEnd w:id="109"/>
    <w:bookmarkEnd w:id="110"/>
    <w:bookmarkEnd w:id="111"/>
    <w:bookmarkEnd w:id="112"/>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bookmarkStart w:id="162" w:name="_Toc66101534"/>
      <w:bookmarkStart w:id="163" w:name="_Toc9241"/>
      <w:bookmarkStart w:id="164" w:name="_Toc24789"/>
      <w:bookmarkStart w:id="165" w:name="_Toc28775"/>
      <w:bookmarkStart w:id="166" w:name="_Toc66101723"/>
      <w:bookmarkStart w:id="167" w:name="_Toc1882"/>
      <w:bookmarkStart w:id="168" w:name="_Toc32654"/>
      <w:bookmarkStart w:id="169" w:name="_Toc66100891"/>
      <w:bookmarkStart w:id="170" w:name="_Toc3775"/>
      <w:r>
        <w:rPr>
          <w:rFonts w:hint="eastAsia" w:ascii="Times New Roman" w:hAnsi="Times New Roman" w:eastAsia="方正仿宋_GBK" w:cs="方正仿宋_GBK"/>
          <w:i w:val="0"/>
          <w:iCs w:val="0"/>
          <w:caps w:val="0"/>
          <w:color w:val="auto"/>
          <w:spacing w:val="0"/>
          <w:sz w:val="32"/>
          <w:szCs w:val="32"/>
          <w:lang w:val="en-US" w:eastAsia="zh-CN"/>
        </w:rPr>
        <w:t>实行冷链物流功能节点管理。按照功能用途和规模能力，对冷链物流节点实行挂牌管理，成熟一个挂牌一个。一级节点由市政府批准挂牌，二级、三级节点由市政府口岸物流办会同市级相关部门、区县政府、开发区管委会批准挂牌。建立定期、不定期检查制度，确保各节点设施装备、信息系统、环保卫生等符合标准、运行正常，对不符合标准的予以摘牌处理。</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Times New Roman"/>
          <w:color w:val="191919"/>
          <w:sz w:val="32"/>
          <w:szCs w:val="32"/>
          <w:shd w:val="clear" w:color="auto" w:fill="FFFFFF"/>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建立健全冷链物流溯源体系。推动全市冷链物流公共信息平台与“渝溯源”进口冷链食品追溯管理平台互通共享，以重点生产基地、大型农产品批发市场、重点冷库、大型连锁超市等为切入点，扩大冷链物流产品监控和追溯覆盖</w:t>
      </w:r>
      <w:r>
        <w:rPr>
          <w:rFonts w:hint="eastAsia" w:ascii="Times New Roman" w:hAnsi="Times New Roman" w:eastAsia="方正仿宋_GBK" w:cs="Times New Roman"/>
          <w:color w:val="191919"/>
          <w:sz w:val="32"/>
          <w:szCs w:val="32"/>
          <w:shd w:val="clear" w:color="auto" w:fill="FFFFFF"/>
          <w:lang w:val="en-US" w:eastAsia="zh-CN"/>
        </w:rPr>
        <w:t>范围，建立健全全市冷链食品追溯系统，实现全程“可追溯”。公开冷链产品溯源信息，全面推广“扫码知冷”工程。鼓励冷链物流企业自建或委托第三方机构建设冷链物流设施设备的远程监控系统，对冷藏保温库、冷藏保温车辆、冷藏集装箱内的温度进行实时监测记录，及时处置温度异常等情况，确保冷链物流运输环节温度控制“不断链”。</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jc w:val="center"/>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30"/>
                <w:szCs w:val="30"/>
                <w:shd w:val="clear" w:color="auto" w:fill="FFFFFF"/>
                <w:vertAlign w:val="baseline"/>
                <w:lang w:val="en-US" w:eastAsia="zh-CN"/>
              </w:rPr>
              <w:t>专栏5  冷链物流基础设施建设工程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noWrap w:val="0"/>
            <w:vAlign w:val="top"/>
          </w:tcPr>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right="0" w:firstLine="560" w:firstLineChars="200"/>
              <w:jc w:val="both"/>
              <w:textAlignment w:val="auto"/>
              <w:rPr>
                <w:rFonts w:hint="default" w:ascii="Times New Roman" w:hAnsi="Times New Roman" w:eastAsia="方正仿宋_GBK" w:cs="Times New Roman"/>
                <w:color w:val="191919"/>
                <w:sz w:val="30"/>
                <w:szCs w:val="30"/>
                <w:shd w:val="clear" w:color="auto" w:fill="FFFFFF"/>
                <w:vertAlign w:val="baseline"/>
                <w:lang w:val="en-US" w:eastAsia="zh-CN"/>
              </w:rPr>
            </w:pPr>
            <w:r>
              <w:rPr>
                <w:rFonts w:hint="eastAsia" w:ascii="Times New Roman" w:hAnsi="Times New Roman" w:eastAsia="方正黑体_GBK" w:cs="方正黑体_GBK"/>
                <w:color w:val="191919"/>
                <w:sz w:val="28"/>
                <w:szCs w:val="28"/>
                <w:shd w:val="clear" w:color="auto" w:fill="FFFFFF"/>
                <w:vertAlign w:val="baseline"/>
                <w:lang w:val="en-US" w:eastAsia="zh-CN"/>
              </w:rPr>
              <w:t>冷链物流追溯体系建设工程。</w:t>
            </w:r>
            <w:r>
              <w:rPr>
                <w:rFonts w:hint="eastAsia" w:ascii="Times New Roman" w:hAnsi="Times New Roman" w:eastAsia="方正仿宋_GBK" w:cs="Times New Roman"/>
                <w:color w:val="191919"/>
                <w:sz w:val="28"/>
                <w:szCs w:val="28"/>
                <w:shd w:val="clear" w:color="auto" w:fill="FFFFFF"/>
                <w:lang w:val="en-US" w:eastAsia="zh-CN"/>
              </w:rPr>
              <w:t>以生鲜肉类、生鲜乳、医药品为试点示范，推广应用无线射频识别、二维码、电子标签、卫星定位系统、电子化运单、物联网等信息技术，建立覆盖产地预冷、冷链运输、销区冷储、冷链配送、冷鲜销售等环节，全程一体化、低损耗、可追溯的冷链物流体系。支持龙头企业率先建设食品药品冷链物流温控追溯平台。</w:t>
            </w:r>
          </w:p>
        </w:tc>
      </w:tr>
    </w:tbl>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建立以信用为基础的新型监管机制。以冷链食品追溯为突破，利用信息化手段完善现有监管方式，发挥大数据在冷链物流监管体系建设运行中的作用，通过数据收集、分析和管理完善事中事后监管。加快构建全市冷链诚信体系，建立以信用风险为导向的分级分类监管机制，大力扶持“无断链”白名单企业，完善冷链物流责任主体守信激励和失信惩戒机制，将相关冷链物流企业失信行为纳入信用重庆平台，对失信行为联合惩戒。</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强化冷链物流社会监督。发挥社会媒体舆论监督作用，加大对冷链物流领域违规违法典型案件的曝光力度，强化警示作用。鼓励冷链市场、大型商场超市、集贸市场等通过场内设立的公示栏、电子显示屏或者平台网页的显著位置，主动向社会公示投诉数量等信息。健全12315投诉举报处理工作规则、“消费投诉公示”工作规则，畅通消费者投诉举报渠道，建立举报人奖励机制，引导和鼓励群众参与冷链物流监督，营造社会共治氛围。</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71" w:name="_Toc23537"/>
      <w:r>
        <w:rPr>
          <w:rFonts w:hint="eastAsia" w:ascii="Times New Roman" w:hAnsi="Times New Roman" w:eastAsia="方正楷体_GBK" w:cs="Times New Roman"/>
          <w:b w:val="0"/>
          <w:bCs/>
          <w:color w:val="000000"/>
          <w:spacing w:val="-6"/>
          <w:lang w:val="en-US" w:eastAsia="zh-CN"/>
        </w:rPr>
        <w:t>第三节  强化检验检测检疫</w:t>
      </w:r>
      <w:bookmarkEnd w:id="171"/>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完善重庆江北国际机场航空口岸、重庆港口岸（寸滩港区、果园港区）、重庆铁路口岸、万州机场口岸等口岸防控措施，建立多点触发的监测预警机制，严格执行高风险岗位人员核酸检测等规定，切实做到闭环管理。针对冷链等可能引发的输入性疫情，排查入境、仓储、加工、运输、销售等环节，建立健全进口冻品集中监管制度，压实行业主管部门责任，健全进口冷链食品检验检疫制度，加强检验检疫结果、货物来源去向等关键数据共享，做到批批检测、件件消杀，全程可追溯、全链条监管，堵住疫情防控漏洞。</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172" w:name="_Toc28877"/>
      <w:r>
        <w:rPr>
          <w:rFonts w:hint="eastAsia" w:ascii="Times New Roman" w:hAnsi="Times New Roman" w:eastAsia="方正黑体_GBK" w:cs="Times New Roman"/>
          <w:color w:val="000000"/>
          <w:sz w:val="32"/>
          <w:szCs w:val="32"/>
          <w:lang w:val="en-US" w:eastAsia="zh-CN"/>
        </w:rPr>
        <w:t>第十章  规划环境影响评价</w:t>
      </w:r>
      <w:bookmarkEnd w:id="172"/>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为贯彻《中华人民共和国环境保护法》《中华人民共和国环境影响评价法》《规划环境影响评价条例》，坚持低碳绿色发展理念，科学研判重庆市冷链物流发展的环境承载能力，严格执行生态环境保护相关法律法规，从决策源头预防环境污染和生态破坏，促进经济、社会和环境的全面协调可持续发展。</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73" w:name="_Toc27344"/>
      <w:r>
        <w:rPr>
          <w:rFonts w:hint="eastAsia" w:ascii="Times New Roman" w:hAnsi="Times New Roman" w:eastAsia="方正楷体_GBK" w:cs="Times New Roman"/>
          <w:b w:val="0"/>
          <w:bCs/>
          <w:color w:val="000000"/>
          <w:spacing w:val="-6"/>
          <w:lang w:val="en-US" w:eastAsia="zh-CN"/>
        </w:rPr>
        <w:t>第一节  实施环境影响评价</w:t>
      </w:r>
      <w:bookmarkEnd w:id="173"/>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本规划为宏观发展规划，作为指导“十四五”时期重庆冷链物流高质量发展的纲领性文件，涉及冷链物流设施设备布局建设、运营等内容。重点冷链物流项目在具体实施过程中，项目业主应严格按照以改善环境质量和保障生态安全为核心，结合重庆市生态保护红线、环境质量底线、资源利用上线等管控要求和资源承载能力，充分论证冷链物流项目的目标、规模、布局、结构等内容的环境合理性以及评价设定的环境目标的可达性。重点冷链物流项目实施前，由具体的项目业主单位开展资源利用和生态环境现状调查、环境影响回顾性分析，明确评价区域资源利用水平和生态功能、环境质量现状、污染物排放状况，分析主要生态环境问题及成因，梳理规划实施的资源、生态、环境制约因素。规划的重点冷链物流项目实施前，分析重点冷链物流项目与相关法律法规、政策、上层位规划和同层位规划在环境目标、生态保护、资源利用等方面的符合性和协调性。预测与评价重点项目实施对生态系统结构和功能、环境质量、环境敏感区的影响范围与程度。根据规划类型及其环境影响特点，开展环境风险预测与评价。评价区域资源与环境对规划实施的承载能力，以及环境目标的可达性。给出实施方案的环境合理性论证结果。</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74" w:name="_Toc19700"/>
      <w:r>
        <w:rPr>
          <w:rFonts w:hint="eastAsia" w:ascii="Times New Roman" w:hAnsi="Times New Roman" w:eastAsia="方正楷体_GBK" w:cs="Times New Roman"/>
          <w:b w:val="0"/>
          <w:bCs/>
          <w:color w:val="000000"/>
          <w:spacing w:val="-6"/>
          <w:lang w:val="en-US" w:eastAsia="zh-CN"/>
        </w:rPr>
        <w:t>第二节  做好风险防范措施</w:t>
      </w:r>
      <w:bookmarkEnd w:id="174"/>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贯彻落实碳达峰碳中和工作要求，坚持把绿色发展理念贯穿到冷链物流全链条、各领域。坚持源头控制，新建冷库等设施严格执行国家节能标准要求，鼓励利用太阳能等清洁能源。加强冷链物流全流程、全生命周期碳排放管理，加强低温加工、冷冻冷藏、冷藏销售等环节绿色冷链装备研究应用，鼓励使用绿色低碳高效制冷剂和保温耗材，提高制冷设备规范安装操作和检修水平，最大限度减少制冷剂泄漏，推动制冷剂、保温耗材等回收和无害化处理。鼓励使用绿色、安全、节能、环保冷藏车及配套装备设施。加快淘汰高排放冷藏车，鼓励新增或更新的冷藏车采用新能源车型。鼓励企业研发应用符合冷链物流特点的蓄冷周转箱、保温包装、保温罩等。以数字化转型整体驱动冷链物流运行管理和治理方式变革，提升行业绿色智慧发展水平。坚守安全底线，压实各方责任，强化行业监管，加强冷链风险预警防控机制和应急处置能力建设，提高冷链产品安全保障水平。</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方正黑体_GBK" w:cs="Times New Roman"/>
          <w:color w:val="000000"/>
          <w:sz w:val="32"/>
          <w:szCs w:val="32"/>
          <w:lang w:val="en-US" w:eastAsia="zh-CN"/>
        </w:rPr>
      </w:pPr>
      <w:bookmarkStart w:id="175" w:name="_Toc2093"/>
      <w:r>
        <w:rPr>
          <w:rFonts w:hint="eastAsia" w:ascii="Times New Roman" w:hAnsi="Times New Roman" w:eastAsia="方正黑体_GBK" w:cs="Times New Roman"/>
          <w:color w:val="000000"/>
          <w:sz w:val="32"/>
          <w:szCs w:val="32"/>
          <w:lang w:val="en-US" w:eastAsia="zh-CN"/>
        </w:rPr>
        <w:t>第</w:t>
      </w:r>
      <w:r>
        <w:rPr>
          <w:rFonts w:hint="eastAsia" w:ascii="Times New Roman" w:eastAsia="方正黑体_GBK" w:cs="Times New Roman"/>
          <w:color w:val="000000"/>
          <w:sz w:val="32"/>
          <w:szCs w:val="32"/>
          <w:lang w:val="en-US" w:eastAsia="zh-CN"/>
        </w:rPr>
        <w:t>十一</w:t>
      </w:r>
      <w:r>
        <w:rPr>
          <w:rFonts w:hint="eastAsia" w:ascii="Times New Roman" w:hAnsi="Times New Roman" w:eastAsia="方正黑体_GBK" w:cs="Times New Roman"/>
          <w:color w:val="000000"/>
          <w:sz w:val="32"/>
          <w:szCs w:val="32"/>
          <w:lang w:val="en-US" w:eastAsia="zh-CN"/>
        </w:rPr>
        <w:t>章  强化规划实施保障措施</w:t>
      </w:r>
      <w:bookmarkEnd w:id="162"/>
      <w:bookmarkEnd w:id="163"/>
      <w:bookmarkEnd w:id="164"/>
      <w:bookmarkEnd w:id="165"/>
      <w:bookmarkEnd w:id="166"/>
      <w:bookmarkEnd w:id="167"/>
      <w:bookmarkEnd w:id="168"/>
      <w:bookmarkEnd w:id="169"/>
      <w:bookmarkEnd w:id="170"/>
      <w:bookmarkEnd w:id="175"/>
    </w:p>
    <w:p>
      <w:pPr>
        <w:pStyle w:val="13"/>
        <w:shd w:val="clear" w:color="auto" w:fill="FFFFFF"/>
        <w:adjustRightInd w:val="0"/>
        <w:snapToGrid w:val="0"/>
        <w:spacing w:before="0" w:beforeAutospacing="0" w:after="0" w:afterAutospacing="0" w:line="580" w:lineRule="exact"/>
        <w:ind w:firstLine="456" w:firstLineChars="200"/>
        <w:rPr>
          <w:rFonts w:hint="eastAsia" w:ascii="Times New Roman" w:hAnsi="Times New Roman" w:eastAsia="方正楷体_GBK" w:cs="Times New Roman"/>
          <w:b w:val="0"/>
          <w:bCs/>
          <w:color w:val="000000"/>
          <w:spacing w:val="-6"/>
          <w:lang w:val="en-US" w:eastAsia="zh-CN"/>
        </w:rPr>
      </w:pPr>
      <w:bookmarkStart w:id="176" w:name="_Toc18106"/>
      <w:bookmarkStart w:id="177" w:name="_Toc10946"/>
      <w:bookmarkStart w:id="178" w:name="_Toc31495"/>
      <w:bookmarkStart w:id="179" w:name="_Toc28501"/>
      <w:bookmarkStart w:id="180" w:name="_Toc28832"/>
      <w:bookmarkStart w:id="181" w:name="_Toc66101535"/>
      <w:bookmarkStart w:id="182" w:name="_Toc22348"/>
      <w:bookmarkStart w:id="183" w:name="_Toc66100892"/>
      <w:bookmarkStart w:id="184" w:name="_Toc66101724"/>
      <w:bookmarkStart w:id="185" w:name="_Toc25912"/>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default" w:ascii="Times New Roman" w:hAnsi="Times New Roman" w:eastAsia="方正楷体_GBK" w:cs="Times New Roman"/>
          <w:b w:val="0"/>
          <w:bCs/>
          <w:color w:val="000000"/>
          <w:spacing w:val="-6"/>
          <w:lang w:val="en-US" w:eastAsia="zh-CN"/>
        </w:rPr>
      </w:pPr>
      <w:r>
        <w:rPr>
          <w:rFonts w:hint="eastAsia" w:ascii="Times New Roman" w:hAnsi="Times New Roman" w:eastAsia="方正楷体_GBK" w:cs="Times New Roman"/>
          <w:b w:val="0"/>
          <w:bCs/>
          <w:color w:val="000000"/>
          <w:spacing w:val="-6"/>
          <w:lang w:val="en-US" w:eastAsia="zh-CN"/>
        </w:rPr>
        <w:t>第一节  强化组织协调</w:t>
      </w:r>
      <w:bookmarkEnd w:id="176"/>
      <w:bookmarkEnd w:id="177"/>
      <w:bookmarkEnd w:id="178"/>
      <w:bookmarkEnd w:id="179"/>
      <w:bookmarkEnd w:id="180"/>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eastAsia="zh-CN"/>
        </w:rPr>
      </w:pPr>
      <w:bookmarkStart w:id="186" w:name="_Toc22857"/>
      <w:bookmarkStart w:id="187" w:name="_Toc20475"/>
      <w:bookmarkStart w:id="188" w:name="_Toc2681"/>
      <w:bookmarkStart w:id="189" w:name="_Toc8008"/>
      <w:r>
        <w:rPr>
          <w:rFonts w:hint="eastAsia" w:ascii="Times New Roman" w:hAnsi="Times New Roman" w:eastAsia="方正仿宋_GBK" w:cs="方正仿宋_GBK"/>
          <w:i w:val="0"/>
          <w:iCs w:val="0"/>
          <w:caps w:val="0"/>
          <w:color w:val="auto"/>
          <w:spacing w:val="0"/>
          <w:sz w:val="32"/>
          <w:szCs w:val="32"/>
          <w:lang w:eastAsia="zh-CN"/>
        </w:rPr>
        <w:t>依托全市口岸物流发展工作联席会议机制，加强城乡冷链物流体系建设工作统筹协调，</w:t>
      </w:r>
      <w:r>
        <w:rPr>
          <w:rFonts w:hint="eastAsia" w:ascii="Times New Roman" w:hAnsi="Times New Roman" w:eastAsia="方正仿宋_GBK" w:cs="方正仿宋_GBK"/>
          <w:i w:val="0"/>
          <w:iCs w:val="0"/>
          <w:caps w:val="0"/>
          <w:color w:val="auto"/>
          <w:spacing w:val="0"/>
          <w:sz w:val="32"/>
          <w:szCs w:val="32"/>
          <w:lang w:val="en-US" w:eastAsia="zh-CN"/>
        </w:rPr>
        <w:t>强化评估督导，协调解决跨部门、跨区域问题，保障规划有序实施。推动将冷链产业纳入现代服务业和现代制造业重要内容。各区县（自治县）人民政府按照本规划确定主要目标和重点任务，结合发展实际，统筹制定本区域冷链物流发展规划或实施方案。</w:t>
      </w:r>
      <w:r>
        <w:rPr>
          <w:rFonts w:hint="eastAsia" w:ascii="Times New Roman" w:hAnsi="Times New Roman" w:eastAsia="方正仿宋_GBK" w:cs="方正仿宋_GBK"/>
          <w:i w:val="0"/>
          <w:iCs w:val="0"/>
          <w:caps w:val="0"/>
          <w:color w:val="auto"/>
          <w:spacing w:val="0"/>
          <w:sz w:val="32"/>
          <w:szCs w:val="32"/>
          <w:lang w:eastAsia="zh-CN"/>
        </w:rPr>
        <w:t>规划实施中涉及的重要政策、重大工程、重点项目要按程序报批，</w:t>
      </w:r>
      <w:r>
        <w:rPr>
          <w:rFonts w:hint="eastAsia" w:ascii="Times New Roman" w:hAnsi="Times New Roman" w:eastAsia="方正仿宋_GBK" w:cs="方正仿宋_GBK"/>
          <w:i w:val="0"/>
          <w:iCs w:val="0"/>
          <w:caps w:val="0"/>
          <w:color w:val="auto"/>
          <w:spacing w:val="0"/>
          <w:sz w:val="32"/>
          <w:szCs w:val="32"/>
          <w:lang w:val="en-US" w:eastAsia="zh-CN"/>
        </w:rPr>
        <w:t>同步报送全市口岸物流发展工作联席会议办公室</w:t>
      </w:r>
      <w:r>
        <w:rPr>
          <w:rFonts w:hint="eastAsia" w:ascii="Times New Roman" w:hAnsi="Times New Roman" w:eastAsia="方正仿宋_GBK" w:cs="方正仿宋_GBK"/>
          <w:i w:val="0"/>
          <w:iCs w:val="0"/>
          <w:caps w:val="0"/>
          <w:color w:val="auto"/>
          <w:spacing w:val="0"/>
          <w:sz w:val="32"/>
          <w:szCs w:val="32"/>
          <w:lang w:eastAsia="zh-CN"/>
        </w:rPr>
        <w:t>。重大问题及时向</w:t>
      </w:r>
      <w:r>
        <w:rPr>
          <w:rFonts w:hint="eastAsia" w:ascii="Times New Roman" w:hAnsi="Times New Roman" w:eastAsia="方正仿宋_GBK" w:cs="方正仿宋_GBK"/>
          <w:i w:val="0"/>
          <w:iCs w:val="0"/>
          <w:caps w:val="0"/>
          <w:color w:val="auto"/>
          <w:spacing w:val="0"/>
          <w:sz w:val="32"/>
          <w:szCs w:val="32"/>
          <w:lang w:val="en-US" w:eastAsia="zh-CN"/>
        </w:rPr>
        <w:t>市政府</w:t>
      </w:r>
      <w:r>
        <w:rPr>
          <w:rFonts w:hint="eastAsia" w:ascii="Times New Roman" w:hAnsi="Times New Roman" w:eastAsia="方正仿宋_GBK" w:cs="方正仿宋_GBK"/>
          <w:i w:val="0"/>
          <w:iCs w:val="0"/>
          <w:caps w:val="0"/>
          <w:color w:val="auto"/>
          <w:spacing w:val="0"/>
          <w:sz w:val="32"/>
          <w:szCs w:val="32"/>
          <w:lang w:eastAsia="zh-CN"/>
        </w:rPr>
        <w:t>报告。</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eastAsia="zh-CN"/>
        </w:rPr>
      </w:pPr>
    </w:p>
    <w:bookmarkEnd w:id="186"/>
    <w:bookmarkEnd w:id="187"/>
    <w:bookmarkEnd w:id="188"/>
    <w:bookmarkEnd w:id="189"/>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90" w:name="_Toc6298"/>
      <w:bookmarkStart w:id="191" w:name="_Toc23372"/>
      <w:bookmarkStart w:id="192" w:name="_Toc10927"/>
      <w:bookmarkStart w:id="193" w:name="_Toc25368"/>
      <w:bookmarkStart w:id="194" w:name="_Toc18917"/>
      <w:r>
        <w:rPr>
          <w:rFonts w:hint="eastAsia" w:ascii="Times New Roman" w:hAnsi="Times New Roman" w:eastAsia="方正楷体_GBK" w:cs="Times New Roman"/>
          <w:b w:val="0"/>
          <w:bCs/>
          <w:color w:val="000000"/>
          <w:spacing w:val="-6"/>
          <w:lang w:val="en-US" w:eastAsia="zh-CN"/>
        </w:rPr>
        <w:t>第二节  强化要素支撑</w:t>
      </w:r>
      <w:bookmarkEnd w:id="190"/>
      <w:bookmarkEnd w:id="191"/>
      <w:bookmarkEnd w:id="192"/>
      <w:bookmarkEnd w:id="193"/>
      <w:bookmarkEnd w:id="194"/>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bookmarkStart w:id="195" w:name="_Toc8133"/>
      <w:bookmarkStart w:id="196" w:name="_Toc26667"/>
      <w:bookmarkStart w:id="197" w:name="_Toc25851"/>
      <w:bookmarkStart w:id="198" w:name="_Toc2285"/>
      <w:r>
        <w:rPr>
          <w:rFonts w:hint="eastAsia" w:ascii="Times New Roman" w:hAnsi="Times New Roman" w:eastAsia="方正仿宋_GBK" w:cs="方正仿宋_GBK"/>
          <w:i w:val="0"/>
          <w:iCs w:val="0"/>
          <w:caps w:val="0"/>
          <w:color w:val="auto"/>
          <w:spacing w:val="0"/>
          <w:sz w:val="32"/>
          <w:szCs w:val="32"/>
          <w:lang w:val="en-US" w:eastAsia="zh-CN"/>
        </w:rPr>
        <w:t>强化资金要素保障，积极争取国家冷链物流发展政策和资金支持，落实物流企业冷库仓储用地税收优惠政策。优化市级冷链物流发展政策措施，通过口岸物流、农业、商务、工业和信息化等现有专项资金支持渠道，支持冷链装备研发生产、冷链物流标准化信息化和冷链体系建设等工作</w:t>
      </w:r>
      <w:r>
        <w:rPr>
          <w:rFonts w:hint="eastAsia" w:ascii="Times New Roman" w:hAnsi="Times New Roman" w:eastAsia="方正仿宋_GBK" w:cs="方正仿宋_GBK"/>
          <w:i w:val="0"/>
          <w:iCs w:val="0"/>
          <w:caps w:val="0"/>
          <w:color w:val="auto"/>
          <w:spacing w:val="0"/>
          <w:sz w:val="32"/>
          <w:szCs w:val="32"/>
          <w:lang w:eastAsia="zh-CN"/>
        </w:rPr>
        <w:t>。</w:t>
      </w:r>
      <w:r>
        <w:rPr>
          <w:rFonts w:hint="eastAsia" w:ascii="Times New Roman" w:hAnsi="Times New Roman" w:eastAsia="方正仿宋_GBK" w:cs="方正仿宋_GBK"/>
          <w:i w:val="0"/>
          <w:iCs w:val="0"/>
          <w:caps w:val="0"/>
          <w:color w:val="auto"/>
          <w:spacing w:val="0"/>
          <w:sz w:val="32"/>
          <w:szCs w:val="32"/>
          <w:lang w:val="en-US" w:eastAsia="zh-CN"/>
        </w:rPr>
        <w:t>鼓励各区县（自治县）根据实际情况出台配套政策</w:t>
      </w:r>
      <w:r>
        <w:rPr>
          <w:rFonts w:hint="eastAsia" w:ascii="Times New Roman" w:hAnsi="Times New Roman" w:eastAsia="方正仿宋_GBK" w:cs="方正仿宋_GBK"/>
          <w:i w:val="0"/>
          <w:iCs w:val="0"/>
          <w:caps w:val="0"/>
          <w:color w:val="auto"/>
          <w:spacing w:val="0"/>
          <w:sz w:val="32"/>
          <w:szCs w:val="32"/>
          <w:lang w:eastAsia="zh-CN"/>
        </w:rPr>
        <w:t>。</w:t>
      </w:r>
      <w:r>
        <w:rPr>
          <w:rFonts w:hint="eastAsia" w:ascii="Times New Roman" w:hAnsi="Times New Roman" w:eastAsia="方正仿宋_GBK" w:cs="方正仿宋_GBK"/>
          <w:i w:val="0"/>
          <w:iCs w:val="0"/>
          <w:caps w:val="0"/>
          <w:color w:val="auto"/>
          <w:spacing w:val="0"/>
          <w:sz w:val="32"/>
          <w:szCs w:val="32"/>
          <w:lang w:val="en-US" w:eastAsia="zh-CN"/>
        </w:rPr>
        <w:t>积极争取和用好</w:t>
      </w:r>
      <w:r>
        <w:rPr>
          <w:rFonts w:hint="eastAsia" w:ascii="Times New Roman" w:hAnsi="Times New Roman" w:eastAsia="方正仿宋_GBK" w:cs="方正仿宋_GBK"/>
          <w:i w:val="0"/>
          <w:iCs w:val="0"/>
          <w:caps w:val="0"/>
          <w:color w:val="auto"/>
          <w:spacing w:val="0"/>
          <w:sz w:val="32"/>
          <w:szCs w:val="32"/>
          <w:lang w:eastAsia="zh-CN"/>
        </w:rPr>
        <w:t>供销</w:t>
      </w:r>
      <w:r>
        <w:rPr>
          <w:rFonts w:hint="eastAsia" w:ascii="Times New Roman" w:hAnsi="Times New Roman" w:eastAsia="方正仿宋_GBK" w:cs="方正仿宋_GBK"/>
          <w:i w:val="0"/>
          <w:iCs w:val="0"/>
          <w:caps w:val="0"/>
          <w:color w:val="auto"/>
          <w:spacing w:val="0"/>
          <w:sz w:val="32"/>
          <w:szCs w:val="32"/>
          <w:lang w:val="en-US" w:eastAsia="zh-CN"/>
        </w:rPr>
        <w:t>系统资金，支持农产品冷链物流体系建设。引导银行等金融机构对冷链物流基础设施、信息平台等项目加大信贷支持力度，鼓励符合条件的企业上市和发债融资，鼓励产业发展基金以及股权投资、创业投资、信用担保等机构面向冷链物流企业开展业务。在严格落实永久基本农田、生态保护红线、城镇开发边界三条控制线基础上，强化冷链物流节点用地保障，由行业主管部门编制冷链物流节点专项规划后纳入国土空间规划予以保障。经行业主管部门认定的冷链物流项目且土地规划用途为物流仓储用地的，参照工业项目用地价格实行招拍挂出让，农村三级节点用地按照农用地流转并严格用于农产品临时仓储。</w:t>
      </w:r>
      <w:r>
        <w:rPr>
          <w:rFonts w:hint="default" w:ascii="Times New Roman" w:hAnsi="Times New Roman" w:eastAsia="方正仿宋_GBK" w:cs="方正仿宋_GBK"/>
          <w:i w:val="0"/>
          <w:iCs w:val="0"/>
          <w:caps w:val="0"/>
          <w:color w:val="auto"/>
          <w:spacing w:val="0"/>
          <w:sz w:val="32"/>
          <w:szCs w:val="32"/>
          <w:lang w:val="en-US" w:eastAsia="zh-CN"/>
        </w:rPr>
        <w:t>推进</w:t>
      </w:r>
      <w:r>
        <w:rPr>
          <w:rFonts w:hint="eastAsia" w:ascii="Times New Roman" w:hAnsi="Times New Roman" w:eastAsia="方正仿宋_GBK" w:cs="方正仿宋_GBK"/>
          <w:i w:val="0"/>
          <w:iCs w:val="0"/>
          <w:caps w:val="0"/>
          <w:color w:val="auto"/>
          <w:spacing w:val="0"/>
          <w:sz w:val="32"/>
          <w:szCs w:val="32"/>
          <w:lang w:val="en-US" w:eastAsia="zh-CN"/>
        </w:rPr>
        <w:t>社区</w:t>
      </w:r>
      <w:r>
        <w:rPr>
          <w:rFonts w:hint="default" w:ascii="Times New Roman" w:hAnsi="Times New Roman" w:eastAsia="方正仿宋_GBK" w:cs="方正仿宋_GBK"/>
          <w:i w:val="0"/>
          <w:iCs w:val="0"/>
          <w:caps w:val="0"/>
          <w:color w:val="auto"/>
          <w:spacing w:val="0"/>
          <w:sz w:val="32"/>
          <w:szCs w:val="32"/>
          <w:lang w:val="en-US" w:eastAsia="zh-CN"/>
        </w:rPr>
        <w:t>冷链快递服务点建设纳入社区公共服务建设规划。</w:t>
      </w:r>
      <w:r>
        <w:rPr>
          <w:rFonts w:hint="eastAsia" w:ascii="Times New Roman" w:hAnsi="Times New Roman" w:eastAsia="方正仿宋_GBK" w:cs="方正仿宋_GBK"/>
          <w:i w:val="0"/>
          <w:iCs w:val="0"/>
          <w:caps w:val="0"/>
          <w:color w:val="auto"/>
          <w:spacing w:val="0"/>
          <w:sz w:val="32"/>
          <w:szCs w:val="32"/>
          <w:lang w:val="en-US" w:eastAsia="zh-CN"/>
        </w:rPr>
        <w:t>降低用能成本，各节点生产性水电气用能与工业同价。</w:t>
      </w:r>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p>
    <w:bookmarkEnd w:id="195"/>
    <w:bookmarkEnd w:id="196"/>
    <w:bookmarkEnd w:id="197"/>
    <w:bookmarkEnd w:id="198"/>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199" w:name="_Toc29295"/>
      <w:r>
        <w:rPr>
          <w:rFonts w:hint="eastAsia" w:ascii="Times New Roman" w:hAnsi="Times New Roman" w:eastAsia="方正楷体_GBK" w:cs="Times New Roman"/>
          <w:b w:val="0"/>
          <w:bCs/>
          <w:color w:val="000000"/>
          <w:spacing w:val="-6"/>
          <w:lang w:val="en-US" w:eastAsia="zh-CN"/>
        </w:rPr>
        <w:t>第</w:t>
      </w:r>
      <w:r>
        <w:rPr>
          <w:rFonts w:hint="eastAsia" w:eastAsia="方正楷体_GBK" w:cs="Times New Roman"/>
          <w:b w:val="0"/>
          <w:bCs/>
          <w:color w:val="000000"/>
          <w:spacing w:val="-6"/>
          <w:lang w:val="en-US" w:eastAsia="zh-CN"/>
        </w:rPr>
        <w:t>三</w:t>
      </w:r>
      <w:r>
        <w:rPr>
          <w:rFonts w:hint="eastAsia" w:ascii="Times New Roman" w:hAnsi="Times New Roman" w:eastAsia="方正楷体_GBK" w:cs="Times New Roman"/>
          <w:b w:val="0"/>
          <w:bCs/>
          <w:color w:val="000000"/>
          <w:spacing w:val="-6"/>
          <w:lang w:val="en-US" w:eastAsia="zh-CN"/>
        </w:rPr>
        <w:t>节  发挥行业协会作用</w:t>
      </w:r>
      <w:bookmarkEnd w:id="199"/>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充分发挥重庆冷藏冷链行业协会在行业运行监测、标准实施与宣传推广、职业培训、行业自律、诚信体系建设等方面的作用，引导支持企业加快技术创新和服务创新，加强内部管理，共同打造和维护诚信合规的市场环境，提升冷链物流服务水平，推动行业规范有序发展。支持重庆冷藏冷链行业协会统筹冷链物流不同领域、不同环节市场主体需求，开展业务技能培训，提高行业发展质量。鼓励行业协会深入开展冷链物流行业自律建设，倡导诚信规范经营，树立良好行业风气。</w:t>
      </w:r>
    </w:p>
    <w:p>
      <w:pPr>
        <w:pStyle w:val="13"/>
        <w:shd w:val="clear" w:color="auto" w:fill="FFFFFF"/>
        <w:adjustRightInd w:val="0"/>
        <w:snapToGrid w:val="0"/>
        <w:spacing w:before="0" w:beforeAutospacing="0" w:after="0" w:afterAutospacing="0" w:line="580" w:lineRule="exact"/>
        <w:ind w:firstLine="640" w:firstLineChars="200"/>
        <w:rPr>
          <w:rFonts w:hint="default" w:ascii="Times New Roman" w:hAnsi="Times New Roman" w:eastAsia="方正仿宋_GBK" w:cs="方正仿宋_GBK"/>
          <w:i w:val="0"/>
          <w:iCs w:val="0"/>
          <w:caps w:val="0"/>
          <w:color w:val="auto"/>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before="0" w:after="0" w:line="580" w:lineRule="exact"/>
        <w:ind w:firstLine="0" w:firstLineChars="0"/>
        <w:jc w:val="center"/>
        <w:textAlignment w:val="auto"/>
        <w:outlineLvl w:val="1"/>
        <w:rPr>
          <w:rFonts w:hint="eastAsia" w:ascii="Times New Roman" w:hAnsi="Times New Roman" w:eastAsia="方正楷体_GBK" w:cs="Times New Roman"/>
          <w:b w:val="0"/>
          <w:bCs/>
          <w:color w:val="000000"/>
          <w:spacing w:val="-6"/>
          <w:lang w:val="en-US" w:eastAsia="zh-CN"/>
        </w:rPr>
      </w:pPr>
      <w:bookmarkStart w:id="200" w:name="_Toc20085"/>
      <w:r>
        <w:rPr>
          <w:rFonts w:hint="eastAsia" w:ascii="Times New Roman" w:hAnsi="Times New Roman" w:eastAsia="方正楷体_GBK" w:cs="Times New Roman"/>
          <w:b w:val="0"/>
          <w:bCs/>
          <w:color w:val="000000"/>
          <w:spacing w:val="-6"/>
          <w:lang w:val="en-US" w:eastAsia="zh-CN"/>
        </w:rPr>
        <w:t>第</w:t>
      </w:r>
      <w:r>
        <w:rPr>
          <w:rFonts w:hint="eastAsia" w:eastAsia="方正楷体_GBK" w:cs="Times New Roman"/>
          <w:b w:val="0"/>
          <w:bCs/>
          <w:color w:val="000000"/>
          <w:spacing w:val="-6"/>
          <w:lang w:val="en-US" w:eastAsia="zh-CN"/>
        </w:rPr>
        <w:t>四</w:t>
      </w:r>
      <w:r>
        <w:rPr>
          <w:rFonts w:hint="eastAsia" w:ascii="Times New Roman" w:hAnsi="Times New Roman" w:eastAsia="方正楷体_GBK" w:cs="Times New Roman"/>
          <w:b w:val="0"/>
          <w:bCs/>
          <w:color w:val="000000"/>
          <w:spacing w:val="-6"/>
          <w:lang w:val="en-US" w:eastAsia="zh-CN"/>
        </w:rPr>
        <w:t>节  强化宣传引导</w:t>
      </w:r>
      <w:bookmarkEnd w:id="200"/>
    </w:p>
    <w:p>
      <w:pPr>
        <w:pStyle w:val="13"/>
        <w:shd w:val="clear" w:color="auto" w:fill="FFFFFF"/>
        <w:adjustRightInd w:val="0"/>
        <w:snapToGrid w:val="0"/>
        <w:spacing w:before="0" w:beforeAutospacing="0" w:after="0" w:afterAutospacing="0" w:line="580" w:lineRule="exact"/>
        <w:ind w:firstLine="640" w:firstLineChars="200"/>
        <w:rPr>
          <w:rFonts w:hint="eastAsia" w:ascii="Times New Roman" w:hAnsi="Times New Roman" w:eastAsia="方正仿宋_GBK" w:cs="方正仿宋_GBK"/>
          <w:i w:val="0"/>
          <w:iCs w:val="0"/>
          <w:caps w:val="0"/>
          <w:color w:val="auto"/>
          <w:spacing w:val="0"/>
          <w:sz w:val="32"/>
          <w:szCs w:val="32"/>
          <w:lang w:val="en-US" w:eastAsia="zh-CN"/>
        </w:rPr>
      </w:pPr>
      <w:r>
        <w:rPr>
          <w:rFonts w:hint="eastAsia" w:ascii="Times New Roman" w:hAnsi="Times New Roman" w:eastAsia="方正仿宋_GBK" w:cs="方正仿宋_GBK"/>
          <w:i w:val="0"/>
          <w:iCs w:val="0"/>
          <w:caps w:val="0"/>
          <w:color w:val="auto"/>
          <w:spacing w:val="0"/>
          <w:sz w:val="32"/>
          <w:szCs w:val="32"/>
          <w:lang w:val="en-US" w:eastAsia="zh-CN"/>
        </w:rPr>
        <w:t>依托重庆城乡冷链物流信息平台，开放冷链数据，全面推广“扫码知冷”。开展面向市民、企业冷链宣讲活动，推进开展重庆“冷链进校园进社区”、“冷链沙龙”等活动。在报纸、电视、网络等新闻媒体设立专栏发表科普文章、举办讲座、投放公益广告，持续加强对食品冷链物流重要性的宣传，以政府采购公共服务方式，委托行业组织或第三方结构每年举办1-2次冷链物流相关培训。培养公民的冷链消费意识，优化消费环境，改变消费理念和生活习惯，提高公众对食品安全与冷链关联的认知度，从需求端倒逼全市冷链物流体系建设。</w:t>
      </w:r>
    </w:p>
    <w:bookmarkEnd w:id="181"/>
    <w:bookmarkEnd w:id="182"/>
    <w:bookmarkEnd w:id="183"/>
    <w:bookmarkEnd w:id="184"/>
    <w:bookmarkEnd w:id="185"/>
    <w:p>
      <w:pPr>
        <w:rPr>
          <w:rFonts w:hint="default" w:ascii="Times New Roman" w:hAnsi="Times New Roman"/>
          <w:lang w:val="en-US" w:eastAsia="zh-CN"/>
        </w:rPr>
        <w:sectPr>
          <w:footerReference r:id="rId6" w:type="default"/>
          <w:pgSz w:w="11906" w:h="16838"/>
          <w:pgMar w:top="2098" w:right="1474" w:bottom="1984" w:left="1587" w:header="851" w:footer="992" w:gutter="0"/>
          <w:pgNumType w:fmt="numberInDash" w:start="1"/>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left"/>
        <w:textAlignment w:val="auto"/>
        <w:rPr>
          <w:rFonts w:hint="default" w:ascii="Times New Roman" w:hAnsi="Times New Roman" w:eastAsia="方正黑体_GBK" w:cs="Times New Roman"/>
          <w:color w:val="000000"/>
          <w:sz w:val="32"/>
          <w:szCs w:val="32"/>
          <w:lang w:val="en-US" w:eastAsia="zh-CN"/>
        </w:rPr>
      </w:pPr>
      <w:bookmarkStart w:id="201" w:name="_Toc14916"/>
      <w:r>
        <w:rPr>
          <w:rFonts w:hint="eastAsia" w:ascii="Times New Roman" w:hAnsi="Times New Roman" w:eastAsia="方正黑体_GBK" w:cs="Times New Roman"/>
          <w:color w:val="000000"/>
          <w:sz w:val="32"/>
          <w:szCs w:val="32"/>
          <w:lang w:val="en-US" w:eastAsia="zh-CN"/>
        </w:rPr>
        <w:t>附图1：</w:t>
      </w:r>
      <w:r>
        <w:rPr>
          <w:rFonts w:hint="eastAsia" w:ascii="黑体" w:hAnsi="黑体" w:eastAsia="黑体" w:cs="黑体"/>
          <w:color w:val="191919"/>
          <w:sz w:val="32"/>
          <w:szCs w:val="32"/>
          <w:shd w:val="clear" w:color="auto" w:fill="FFFFFF"/>
          <w:lang w:val="en-US" w:eastAsia="zh-CN"/>
        </w:rPr>
        <w:t>重庆冷链物流网络节点布局图</w:t>
      </w:r>
      <w:bookmarkEnd w:id="201"/>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6628130" cy="5082540"/>
            <wp:effectExtent l="0" t="0" r="1270" b="3810"/>
            <wp:docPr id="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56"/>
                    <pic:cNvPicPr>
                      <a:picLocks noChangeAspect="1"/>
                    </pic:cNvPicPr>
                  </pic:nvPicPr>
                  <pic:blipFill>
                    <a:blip r:embed="rId12"/>
                    <a:stretch>
                      <a:fillRect/>
                    </a:stretch>
                  </pic:blipFill>
                  <pic:spPr>
                    <a:xfrm>
                      <a:off x="0" y="0"/>
                      <a:ext cx="6628130" cy="508254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left"/>
        <w:textAlignment w:val="auto"/>
        <w:rPr>
          <w:rFonts w:hint="eastAsia" w:ascii="Times New Roman" w:hAnsi="Times New Roman" w:eastAsia="方正黑体_GBK" w:cs="Times New Roman"/>
          <w:color w:val="000000"/>
          <w:sz w:val="32"/>
          <w:szCs w:val="32"/>
          <w:lang w:val="en-US" w:eastAsia="zh-CN"/>
        </w:rPr>
        <w:sectPr>
          <w:footerReference r:id="rId7" w:type="default"/>
          <w:pgSz w:w="16838" w:h="11906" w:orient="landscape"/>
          <w:pgMar w:top="1587" w:right="2098" w:bottom="1474" w:left="1984" w:header="851" w:footer="992" w:gutter="0"/>
          <w:pgNumType w:fmt="numberInDash"/>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left"/>
        <w:textAlignment w:val="auto"/>
        <w:rPr>
          <w:rFonts w:hint="eastAsia" w:ascii="Times New Roman" w:hAnsi="Times New Roman" w:eastAsia="方正黑体_GBK" w:cs="Times New Roman"/>
          <w:color w:val="000000"/>
          <w:sz w:val="32"/>
          <w:szCs w:val="32"/>
          <w:lang w:val="en-US" w:eastAsia="zh-CN"/>
        </w:rPr>
      </w:pPr>
      <w:bookmarkStart w:id="202" w:name="_Toc480"/>
      <w:r>
        <w:rPr>
          <w:rFonts w:hint="eastAsia" w:ascii="Times New Roman" w:hAnsi="Times New Roman" w:eastAsia="方正黑体_GBK" w:cs="Times New Roman"/>
          <w:color w:val="000000"/>
          <w:sz w:val="32"/>
          <w:szCs w:val="32"/>
          <w:lang w:val="en-US" w:eastAsia="zh-CN"/>
        </w:rPr>
        <w:t>附图2：</w:t>
      </w:r>
      <w:r>
        <w:rPr>
          <w:rFonts w:hint="eastAsia" w:ascii="黑体" w:hAnsi="黑体" w:eastAsia="黑体" w:cs="黑体"/>
          <w:color w:val="191919"/>
          <w:sz w:val="32"/>
          <w:szCs w:val="32"/>
          <w:shd w:val="clear" w:color="auto" w:fill="FFFFFF"/>
          <w:lang w:val="en-US" w:eastAsia="zh-CN"/>
        </w:rPr>
        <w:t>重庆畜禽区域性全链条冷链物流示范基地建设布局图</w:t>
      </w:r>
      <w:bookmarkEnd w:id="202"/>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7581900" cy="4686300"/>
            <wp:effectExtent l="0" t="0" r="0" b="0"/>
            <wp:docPr id="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IMG_256"/>
                    <pic:cNvPicPr>
                      <a:picLocks noChangeAspect="1"/>
                    </pic:cNvPicPr>
                  </pic:nvPicPr>
                  <pic:blipFill>
                    <a:blip r:embed="rId13"/>
                    <a:stretch>
                      <a:fillRect/>
                    </a:stretch>
                  </pic:blipFill>
                  <pic:spPr>
                    <a:xfrm>
                      <a:off x="0" y="0"/>
                      <a:ext cx="7581900" cy="4686300"/>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sectPr>
          <w:pgSz w:w="16838" w:h="11906" w:orient="landscape"/>
          <w:pgMar w:top="1587" w:right="2098" w:bottom="1474" w:left="1984" w:header="851" w:footer="992" w:gutter="0"/>
          <w:pgNumType w:fmt="numberInDash"/>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left"/>
        <w:textAlignment w:val="auto"/>
        <w:rPr>
          <w:rFonts w:hint="default"/>
          <w:lang w:val="en-US" w:eastAsia="zh-CN"/>
        </w:rPr>
      </w:pPr>
      <w:bookmarkStart w:id="203" w:name="_Toc10725"/>
      <w:r>
        <w:rPr>
          <w:rFonts w:hint="eastAsia" w:ascii="Times New Roman" w:hAnsi="Times New Roman" w:eastAsia="方正黑体_GBK" w:cs="Times New Roman"/>
          <w:color w:val="000000"/>
          <w:sz w:val="32"/>
          <w:szCs w:val="32"/>
          <w:lang w:val="en-US" w:eastAsia="zh-CN"/>
        </w:rPr>
        <w:t>附图3：</w:t>
      </w:r>
      <w:r>
        <w:rPr>
          <w:rFonts w:hint="eastAsia" w:ascii="黑体" w:hAnsi="黑体" w:eastAsia="黑体" w:cs="黑体"/>
          <w:color w:val="191919"/>
          <w:sz w:val="32"/>
          <w:szCs w:val="32"/>
          <w:shd w:val="clear" w:color="auto" w:fill="FFFFFF"/>
          <w:lang w:val="en-US" w:eastAsia="zh-CN"/>
        </w:rPr>
        <w:t>重庆蔬菜区域性全链条冷链物流示范基地建设布局图</w:t>
      </w:r>
      <w:bookmarkEnd w:id="203"/>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7731125" cy="4776470"/>
            <wp:effectExtent l="0" t="0" r="3175" b="5080"/>
            <wp:docPr id="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56"/>
                    <pic:cNvPicPr>
                      <a:picLocks noChangeAspect="1"/>
                    </pic:cNvPicPr>
                  </pic:nvPicPr>
                  <pic:blipFill>
                    <a:blip r:embed="rId14"/>
                    <a:stretch>
                      <a:fillRect/>
                    </a:stretch>
                  </pic:blipFill>
                  <pic:spPr>
                    <a:xfrm>
                      <a:off x="0" y="0"/>
                      <a:ext cx="7731125" cy="4776470"/>
                    </a:xfrm>
                    <a:prstGeom prst="rect">
                      <a:avLst/>
                    </a:prstGeom>
                    <a:noFill/>
                    <a:ln>
                      <a:noFill/>
                    </a:ln>
                  </pic:spPr>
                </pic:pic>
              </a:graphicData>
            </a:graphic>
          </wp:inline>
        </w:drawing>
      </w:r>
    </w:p>
    <w:p>
      <w:pPr>
        <w:pStyle w:val="2"/>
        <w:sectPr>
          <w:type w:val="continuous"/>
          <w:pgSz w:w="16838" w:h="11906" w:orient="landscape"/>
          <w:pgMar w:top="1587" w:right="2098" w:bottom="1474" w:left="1984" w:header="851" w:footer="992" w:gutter="0"/>
          <w:pgNumType w:fmt="numberInDash"/>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left"/>
        <w:textAlignment w:val="auto"/>
        <w:rPr>
          <w:rFonts w:hint="eastAsia" w:ascii="黑体" w:hAnsi="黑体" w:eastAsia="黑体" w:cs="黑体"/>
          <w:color w:val="191919"/>
          <w:sz w:val="32"/>
          <w:szCs w:val="32"/>
          <w:shd w:val="clear" w:color="auto" w:fill="FFFFFF"/>
          <w:lang w:val="en-US" w:eastAsia="zh-CN"/>
        </w:rPr>
      </w:pPr>
      <w:bookmarkStart w:id="204" w:name="_Toc5496"/>
      <w:r>
        <w:rPr>
          <w:rFonts w:hint="eastAsia" w:ascii="Times New Roman" w:hAnsi="Times New Roman" w:eastAsia="方正黑体_GBK" w:cs="Times New Roman"/>
          <w:color w:val="000000"/>
          <w:sz w:val="32"/>
          <w:szCs w:val="32"/>
          <w:lang w:val="en-US" w:eastAsia="zh-CN"/>
        </w:rPr>
        <w:t>附图4：</w:t>
      </w:r>
      <w:r>
        <w:rPr>
          <w:rFonts w:hint="eastAsia" w:ascii="黑体" w:hAnsi="黑体" w:eastAsia="黑体" w:cs="黑体"/>
          <w:color w:val="191919"/>
          <w:sz w:val="32"/>
          <w:szCs w:val="32"/>
          <w:shd w:val="clear" w:color="auto" w:fill="FFFFFF"/>
          <w:lang w:val="en-US" w:eastAsia="zh-CN"/>
        </w:rPr>
        <w:t>重庆水果区域性全链条冷链物流示范基地建设布局图</w:t>
      </w:r>
      <w:bookmarkEnd w:id="204"/>
    </w:p>
    <w:p>
      <w:pPr>
        <w:keepNext w:val="0"/>
        <w:keepLines w:val="0"/>
        <w:widowControl/>
        <w:suppressLineNumbers w:val="0"/>
        <w:jc w:val="left"/>
        <w:rPr>
          <w:rFonts w:hint="default"/>
          <w:lang w:val="en-US" w:eastAsia="zh-CN"/>
        </w:rPr>
      </w:pPr>
      <w:r>
        <w:rPr>
          <w:rFonts w:ascii="宋体" w:hAnsi="宋体" w:eastAsia="宋体" w:cs="宋体"/>
          <w:kern w:val="0"/>
          <w:sz w:val="24"/>
          <w:szCs w:val="24"/>
          <w:lang w:val="en-US" w:eastAsia="zh-CN" w:bidi="ar"/>
        </w:rPr>
        <w:drawing>
          <wp:inline distT="0" distB="0" distL="114300" distR="114300">
            <wp:extent cx="7816850" cy="4815840"/>
            <wp:effectExtent l="0" t="0" r="12700" b="3810"/>
            <wp:docPr id="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56"/>
                    <pic:cNvPicPr>
                      <a:picLocks noChangeAspect="1"/>
                    </pic:cNvPicPr>
                  </pic:nvPicPr>
                  <pic:blipFill>
                    <a:blip r:embed="rId15"/>
                    <a:stretch>
                      <a:fillRect/>
                    </a:stretch>
                  </pic:blipFill>
                  <pic:spPr>
                    <a:xfrm>
                      <a:off x="0" y="0"/>
                      <a:ext cx="7816850" cy="4815840"/>
                    </a:xfrm>
                    <a:prstGeom prst="rect">
                      <a:avLst/>
                    </a:prstGeom>
                    <a:noFill/>
                    <a:ln>
                      <a:noFill/>
                    </a:ln>
                  </pic:spPr>
                </pic:pic>
              </a:graphicData>
            </a:graphic>
          </wp:inline>
        </w:drawing>
      </w:r>
    </w:p>
    <w:p>
      <w:pPr>
        <w:sectPr>
          <w:pgSz w:w="16838" w:h="11906" w:orient="landscape"/>
          <w:pgMar w:top="1587" w:right="2098" w:bottom="1474" w:left="1984" w:header="851" w:footer="992" w:gutter="0"/>
          <w:pgNumType w:fmt="numberInDash"/>
          <w:cols w:space="720" w:num="1"/>
          <w:docGrid w:type="lines" w:linePitch="312" w:charSpace="0"/>
        </w:sectPr>
      </w:pPr>
    </w:p>
    <w:p>
      <w:pPr>
        <w:pStyle w:val="2"/>
      </w:pPr>
    </w:p>
    <w:p>
      <w:pPr>
        <w:pStyle w:val="3"/>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left"/>
        <w:textAlignment w:val="auto"/>
        <w:rPr>
          <w:rFonts w:hint="eastAsia" w:ascii="Times New Roman" w:hAnsi="Times New Roman" w:eastAsia="方正黑体_GBK" w:cs="Times New Roman"/>
          <w:color w:val="000000"/>
          <w:sz w:val="32"/>
          <w:szCs w:val="32"/>
          <w:lang w:val="en-US" w:eastAsia="zh-CN"/>
        </w:rPr>
      </w:pPr>
      <w:bookmarkStart w:id="205" w:name="_Toc18253"/>
      <w:r>
        <w:rPr>
          <w:rFonts w:hint="eastAsia" w:ascii="Times New Roman" w:hAnsi="Times New Roman" w:eastAsia="方正黑体_GBK" w:cs="Times New Roman"/>
          <w:color w:val="000000"/>
          <w:sz w:val="32"/>
          <w:szCs w:val="32"/>
          <w:lang w:val="en-US" w:eastAsia="zh-CN"/>
        </w:rPr>
        <w:t>附表1：重庆市“十四五”期间重点冷链物流项目表</w:t>
      </w:r>
      <w:bookmarkEnd w:id="205"/>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
        <w:gridCol w:w="816"/>
        <w:gridCol w:w="969"/>
        <w:gridCol w:w="3197"/>
        <w:gridCol w:w="2821"/>
        <w:gridCol w:w="782"/>
        <w:gridCol w:w="784"/>
        <w:gridCol w:w="787"/>
        <w:gridCol w:w="789"/>
        <w:gridCol w:w="776"/>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blHeader/>
        </w:trPr>
        <w:tc>
          <w:tcPr>
            <w:tcW w:w="17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序号</w:t>
            </w:r>
          </w:p>
        </w:tc>
        <w:tc>
          <w:tcPr>
            <w:tcW w:w="2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功能区</w:t>
            </w:r>
          </w:p>
        </w:tc>
        <w:tc>
          <w:tcPr>
            <w:tcW w:w="3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区县</w:t>
            </w:r>
          </w:p>
        </w:tc>
        <w:tc>
          <w:tcPr>
            <w:tcW w:w="1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项目名称</w:t>
            </w:r>
          </w:p>
        </w:tc>
        <w:tc>
          <w:tcPr>
            <w:tcW w:w="109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业主单位</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冷链项目占地面积(亩)</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总库容量(吨)</w:t>
            </w:r>
          </w:p>
        </w:tc>
        <w:tc>
          <w:tcPr>
            <w:tcW w:w="629"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其中</w:t>
            </w:r>
          </w:p>
        </w:tc>
        <w:tc>
          <w:tcPr>
            <w:tcW w:w="31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建设性质</w:t>
            </w:r>
          </w:p>
        </w:tc>
        <w:tc>
          <w:tcPr>
            <w:tcW w:w="3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投资规模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blHeader/>
        </w:trPr>
        <w:tc>
          <w:tcPr>
            <w:tcW w:w="17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1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109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高温库(吨)</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低温库(吨)</w:t>
            </w:r>
          </w:p>
        </w:tc>
        <w:tc>
          <w:tcPr>
            <w:tcW w:w="31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黑体_GBK" w:hAnsi="方正黑体_GBK" w:eastAsia="方正黑体_GBK" w:cs="方正黑体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15"/>
                <w:szCs w:val="15"/>
                <w:u w:val="none"/>
              </w:rPr>
            </w:pPr>
            <w:r>
              <w:rPr>
                <w:rFonts w:hint="eastAsia" w:ascii="方正黑体_GBK" w:hAnsi="方正黑体_GBK" w:eastAsia="方正黑体_GBK" w:cs="方正黑体_GBK"/>
                <w:i w:val="0"/>
                <w:iCs w:val="0"/>
                <w:color w:val="000000"/>
                <w:kern w:val="0"/>
                <w:sz w:val="15"/>
                <w:szCs w:val="15"/>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w:t>
            </w:r>
          </w:p>
        </w:tc>
        <w:tc>
          <w:tcPr>
            <w:tcW w:w="27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中心城区</w:t>
            </w: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高新区</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中国西部农产品冷链物流中心项目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重庆明品福物流有限责任公司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大渡口</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万吨商旅融合总部基地项目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重庆万吨冷储物流有限公司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240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巴南</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南彭冷链物流配送中心</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重庆市汽车运输集团南彭冷链物流有限公司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重报生鲜冷链物流园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重庆日报报业集团产业有限责任公司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58</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肉类食品加工厂及冷链物流配送中心</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重庆结义食品有限公司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11935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尚峰物流配送中心</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重庆尚峰实业有限公司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东盟国际食品产业园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北京新发地企业管理有限公司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巴南小计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985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143500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356500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419935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江北</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冰人冻库改扩建工程2期</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冰人制冰系统设备（重庆）有限公司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34</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新建永辉超市门店前后场冷链</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重庆永辉超市有限公司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江北小计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51</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两江新区</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果园港冷链物流项目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11</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沙坪坝</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国际物流枢纽园区冷链物流项目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国通（西南）智慧冷链产业园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重庆国通产融供应链管理有限公司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118</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德盛物流标准化冷库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重庆德盛物流公司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沙坪坝小计</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b/>
                <w:bCs/>
                <w:i w:val="0"/>
                <w:iCs w:val="0"/>
                <w:color w:val="000000"/>
                <w:sz w:val="15"/>
                <w:szCs w:val="15"/>
                <w:u w:val="none"/>
              </w:rPr>
            </w:pP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218</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75000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112080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667"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中心城区小计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1568</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870000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290500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579500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776985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w:t>
            </w:r>
          </w:p>
        </w:tc>
        <w:tc>
          <w:tcPr>
            <w:tcW w:w="27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主城新区</w:t>
            </w: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涪陵</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综合保税区一期（A区）基础设施工程（冷链仓库）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重庆市涪陵区新城区开发（集团）有限公司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胭脂萝卜储存冷链物流项目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重庆市丹青生物技术有限公司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16</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石沱镇烈火村果品初加工及仓储物流冷链项目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重庆市涪陵区茉科果蔬种植专业合作社</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涪陵小计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29</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32000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26000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10750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荣昌</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渝西国际商贸物流港</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重庆阿泊罗哈实业有限公司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54</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18</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永立城乡高效配送项目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重庆市永立百货超市有限公司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0.72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1100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荣昌小计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54.72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76200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21100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55100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19</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江津</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双福国际农贸城</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重庆交通运输控股(集团)有限公司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重庆远郑温控供应链产业园项目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重庆远郑仓储有限公司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399</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21</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江津区西部食谷创新创业园冷链物流中心项目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重庆德感科技创业投资有限公司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94</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62900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42900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先锋冷链仓储物流配送中心项目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重庆市江津区华信资产经营（集团）有限公司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23</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西部陆海新通道江津综保区冷链产业园项目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重庆江津综合保税区发展集团有限公司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23</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24</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重庆灏彤食品有限公司</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重庆腾驰食品有限公司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江津小计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721</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218400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50000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168400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104500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璧山</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琪金家畜肉食品加工园项目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重庆琪金食品集团有限公司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璧山小计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28</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万盛经开区</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冷冻食品生产线加工项目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重庆冠磊冷冻食品有限公司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6.76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29</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永川</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吉之汇农产品集散交易骨干冷链物流基地项目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重庆吉之汇农产品有限公司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长寿</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重庆东部国际农产品交易中心冷链仓储区</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重庆三科农产品市场有限公司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44500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31</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重庆丹枫智慧物流产业园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重庆丹枫实业有限责任公司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德庄农产品冷藏保鲜建设项目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重庆德庄云台农业科技发展有限公司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33</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农产品冷藏保鲜建设项目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重庆迈绿农业发展有限责任公司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4800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长寿小计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173</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69800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60500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9300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106680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34</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南川</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南川昌达智慧物流园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重庆市南川区丰昌汽车服务有限公司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84.97</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66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主城新区小计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1104.45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439900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147100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292800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282430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w:t>
            </w:r>
          </w:p>
        </w:tc>
        <w:tc>
          <w:tcPr>
            <w:tcW w:w="27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渝东北</w:t>
            </w:r>
          </w:p>
        </w:tc>
        <w:tc>
          <w:tcPr>
            <w:tcW w:w="3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万州</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万州冷链物流分拨中心</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重庆四行源物流有限公司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36</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白羊镇柠檬冷链仓储项目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重庆柠通农业发展有限公司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37</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三峡库区生猪肉制品冷链物流配送中心项目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重庆万州德康农牧科技有限公司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万州小计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247</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135000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110000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38</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开州</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渝东北农副产品物流商贸城</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重庆市开州区丰绿农产品批发物流市场有限公司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39</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重庆三品冷链物流项目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重庆三品冷链物流有限公司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开州小计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39000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18000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梁平</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梁平区冷链物流园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重庆市梁平区丰瑞建设开发有限公司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41</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丰都</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丰都冻库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巫溪</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水果冷库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巫溪县通城镇玉泉村</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3200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3200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43</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土城社区水果保鲜库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土城社区集体经济联合社</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44</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石安村冷库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石安村集体经济股份合作社</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45</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桐岭村冷库</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桐岭村集体经济股份合作社</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巫溪小计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9</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3400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3600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46</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云阳</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云阳中农智慧冷链物流港项目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重庆川云实业有限公司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360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47</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垫江</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中农联渝东国际农贸城冷链仓储中心</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垫江县中农联建设开发有限公司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667"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渝东北小计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956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371000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139400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231600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434850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48</w:t>
            </w:r>
          </w:p>
        </w:tc>
        <w:tc>
          <w:tcPr>
            <w:tcW w:w="27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渝东南</w:t>
            </w: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黔江</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渝东南冷链物流中心扩建项目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重庆三磊实业(集团)有限公司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37</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19309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49</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秀山</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秀山（武陵）冷链物流中心项目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秀山华渝置业有限公司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40000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彭水</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新城物流园区项目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城投公司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51</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武隆</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重庆市武隆区冷链物流基地建设项目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重庆市武隆区农业产业发展有限公司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石柱</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河嘴特色产业园冷藏库建设项目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石柱县河嘴乡人民政府</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1.01</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53</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龙沙特色产业园冷藏库建设项目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龙沙镇人民政府</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54</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石柱县特色农产品冷链物流电商产业服务中心</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县国资集团</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6.75</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55</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桥头镇特色产业园冷藏库建设项目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石柱县桥头镇人民政府</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56</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石家石龙村李子、核桃示范基地冻库建设</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重庆贝儿农业发展有限公司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石柱小计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13.32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11750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6750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57</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酉阳</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板溪综合物流市场（一期）项目冷链物流</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酉阳县华渝工业投资（集团）有限公司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4.6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5070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1690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3380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58</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板溪综合物流市场（二期）项目冷链物流</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酉阳县华渝工业投资（集团）有限公司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8.4</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14367</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14367</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酉阳小计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13</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19437</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1690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17747</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10645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59</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城口</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城口山地鸡及老腊肉全产业链-冷链物流项目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重庆美缀美物流有限公司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1800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在建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60</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农产品冷链仓储物流园</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城口县林之汇贸易有限公司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800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61</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天宝药业中药材、农副产品冷链物流项目</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重庆天宝药业有限公司</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3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城口小计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26</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7000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1500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5500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62</w:t>
            </w: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巫溪</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柑橘、蜜柚、椪柑、李子、红桔等农产品</w:t>
            </w: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蒲莲镇</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3</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2000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0</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拟建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5"/>
                <w:szCs w:val="15"/>
                <w:u w:val="none"/>
              </w:rPr>
            </w:pPr>
            <w:r>
              <w:rPr>
                <w:rFonts w:hint="eastAsia" w:ascii="方正仿宋_GBK" w:hAnsi="方正仿宋_GBK" w:eastAsia="方正仿宋_GBK" w:cs="方正仿宋_GBK"/>
                <w:i w:val="0"/>
                <w:iCs w:val="0"/>
                <w:color w:val="000000"/>
                <w:kern w:val="0"/>
                <w:sz w:val="15"/>
                <w:szCs w:val="15"/>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i w:val="0"/>
                <w:iCs w:val="0"/>
                <w:color w:val="000000"/>
                <w:sz w:val="15"/>
                <w:szCs w:val="15"/>
                <w:u w:val="none"/>
              </w:rPr>
            </w:pPr>
          </w:p>
        </w:tc>
        <w:tc>
          <w:tcPr>
            <w:tcW w:w="2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3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渝东南小计</w:t>
            </w:r>
          </w:p>
        </w:tc>
        <w:tc>
          <w:tcPr>
            <w:tcW w:w="124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b/>
                <w:bCs/>
                <w:i w:val="0"/>
                <w:iCs w:val="0"/>
                <w:color w:val="000000"/>
                <w:sz w:val="15"/>
                <w:szCs w:val="15"/>
                <w:u w:val="none"/>
              </w:rPr>
            </w:pPr>
          </w:p>
        </w:tc>
        <w:tc>
          <w:tcPr>
            <w:tcW w:w="1097"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b/>
                <w:bCs/>
                <w:i w:val="0"/>
                <w:iCs w:val="0"/>
                <w:color w:val="000000"/>
                <w:sz w:val="15"/>
                <w:szCs w:val="15"/>
                <w:u w:val="none"/>
              </w:rPr>
            </w:pP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772.32</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207187</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87940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119247</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181680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7"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i w:val="0"/>
                <w:iCs w:val="0"/>
                <w:color w:val="000000"/>
                <w:sz w:val="15"/>
                <w:szCs w:val="15"/>
                <w:u w:val="none"/>
              </w:rPr>
            </w:pPr>
          </w:p>
        </w:tc>
        <w:tc>
          <w:tcPr>
            <w:tcW w:w="2942"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合计</w:t>
            </w:r>
          </w:p>
        </w:tc>
        <w:tc>
          <w:tcPr>
            <w:tcW w:w="3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4400.77</w:t>
            </w:r>
          </w:p>
        </w:tc>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1888087</w:t>
            </w:r>
          </w:p>
        </w:tc>
        <w:tc>
          <w:tcPr>
            <w:tcW w:w="3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664940</w:t>
            </w:r>
          </w:p>
        </w:tc>
        <w:tc>
          <w:tcPr>
            <w:tcW w:w="3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1223147</w:t>
            </w:r>
          </w:p>
        </w:tc>
        <w:tc>
          <w:tcPr>
            <w:tcW w:w="31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b/>
                <w:bCs/>
                <w:i w:val="0"/>
                <w:iCs w:val="0"/>
                <w:color w:val="000000"/>
                <w:sz w:val="15"/>
                <w:szCs w:val="15"/>
                <w:u w:val="none"/>
              </w:rPr>
            </w:pPr>
          </w:p>
        </w:tc>
        <w:tc>
          <w:tcPr>
            <w:tcW w:w="3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15"/>
                <w:szCs w:val="15"/>
                <w:u w:val="none"/>
              </w:rPr>
            </w:pPr>
            <w:r>
              <w:rPr>
                <w:rFonts w:hint="eastAsia" w:ascii="方正仿宋_GBK" w:hAnsi="方正仿宋_GBK" w:eastAsia="方正仿宋_GBK" w:cs="方正仿宋_GBK"/>
                <w:b/>
                <w:bCs/>
                <w:i w:val="0"/>
                <w:iCs w:val="0"/>
                <w:color w:val="000000"/>
                <w:kern w:val="0"/>
                <w:sz w:val="15"/>
                <w:szCs w:val="15"/>
                <w:u w:val="none"/>
                <w:lang w:val="en-US" w:eastAsia="zh-CN" w:bidi="ar"/>
              </w:rPr>
              <w:t>1675945</w:t>
            </w:r>
          </w:p>
        </w:tc>
      </w:tr>
    </w:tbl>
    <w:p>
      <w:pPr>
        <w:rPr>
          <w:rFonts w:hint="eastAsia" w:ascii="Times New Roman" w:hAnsi="Times New Roman" w:eastAsia="方正黑体_GBK" w:cs="Times New Roman"/>
          <w:color w:val="000000"/>
          <w:sz w:val="32"/>
          <w:szCs w:val="32"/>
          <w:lang w:val="en-US" w:eastAsia="zh-CN"/>
        </w:rPr>
      </w:pPr>
    </w:p>
    <w:p>
      <w:pPr>
        <w:rPr>
          <w:rFonts w:hint="default" w:ascii="Times New Roman" w:hAnsi="Times New Roman" w:eastAsia="方正黑体_GBK" w:cs="Times New Roman"/>
          <w:color w:val="000000"/>
          <w:sz w:val="32"/>
          <w:szCs w:val="32"/>
          <w:lang w:val="en-US" w:eastAsia="zh-CN"/>
        </w:rPr>
      </w:pPr>
    </w:p>
    <w:sectPr>
      <w:pgSz w:w="16838" w:h="11906" w:orient="landscape"/>
      <w:pgMar w:top="1587" w:right="2098" w:bottom="1474" w:left="198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黑体_GBK">
    <w:panose1 w:val="03000509000000000000"/>
    <w:charset w:val="86"/>
    <w:family w:val="auto"/>
    <w:pitch w:val="default"/>
    <w:sig w:usb0="00000001" w:usb1="080E0000" w:usb2="00000000" w:usb3="00000000" w:csb0="00040000" w:csb1="00000000"/>
  </w:font>
  <w:font w:name="方正楷体_GBK">
    <w:panose1 w:val="02000000000000000000"/>
    <w:charset w:val="86"/>
    <w:family w:val="auto"/>
    <w:pitch w:val="default"/>
    <w:sig w:usb0="800002BF" w:usb1="38C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posOffset>2715260</wp:posOffset>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left:213.8pt;margin-top:0pt;height:144pt;width:144pt;mso-position-horizontal-relative:margin;mso-wrap-style:none;z-index:251663360;mso-width-relative:page;mso-height-relative:page;" filled="f" stroked="f" coordsize="21600,21600" o:gfxdata="UEsFBgAAAAAAAAAAAAAAAAAAAAAAAFBLAwQKAAAAAACHTuJAAAAAAAAAAAAAAAAABAAAAGRycy9Q&#10;SwMEFAAAAAgAh07iQD+0RCfUAAAACAEAAA8AAABkcnMvZG93bnJldi54bWxNjz9PwzAUxHckvoP1&#10;KrFROxE0UYjToRILGwUhsbnxaxzVfyLbTZNvz2OC8XSnu9+1+8VZNmNMY/ASiq0Ahr4PevSDhM+P&#10;18caWMrKa2WDRwkrJth393etanS4+Xecj3lgVOJToySYnKeG89QbdCptw4SevHOITmWSceA6qhuV&#10;O8tLIXbcqdHTglETHgz2l+PVSaiWr4BTwgN+n+c+mnGt7dsq5cOmEC/AMi75Lwy/+IQOHTGdwtXr&#10;xKyEp7LaUVQCPSK7Kp5JniSUdS2Ady3/f6D7AVBLAwQUAAAACACHTuJAeSHN4d4BAAC/AwAADgAA&#10;AGRycy9lMm9Eb2MueG1srVPNjtMwEL4j8Q6W7zTZSouqqOkKtlqEhABp4QFcx2ks+U8zbpPyAPAG&#10;nLhw57n6HIydpAvLZQ9ckvHM+Jv5vhmvbwZr2FEBau9qfrUoOVNO+ka7fc0/f7p7seIMo3CNMN6p&#10;mp8U8pvN82frPlRq6TtvGgWMQBxWfah5F2OoigJlp6zAhQ/KUbD1YEWkI+yLBkRP6NYUy7J8WfQe&#10;mgBeKkTybscgnxDhKYC+bbVUWy8PVrk4ooIyIhIl7HRAvsndtq2S8UPboorM1JyYxvylImTv0rfY&#10;rEW1BxE6LacWxFNaeMTJCu2o6AVqK6JgB9D/QFktwaNv40J6W4xEsiLE4qp8pM19J4LKXEhqDBfR&#10;8f/ByvfHj8B0Q5uw5MwJSxM/f/92/vHr/PMru0769AErSrsPlBiH136g3NmP5Ey0hxZs+hMhRnFS&#10;93RRVw2RyXRptVytSgpJis0Hwi8ergfA+EZ5y5JRc6DxZVXF8R3GMXVOSdWcv9PG5BEa95eDMJOn&#10;SL2PPSYrDrthIrTzzYn40DugOp2HL5z1tAU1d7T0nJm3jkROCzMbMBu72RBO0sWaR85G8zaOi3UI&#10;oPddXrXUFIZXh0idZgKpjbH21B3NNUsw7WBanD/POevh3W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D+0RCfUAAAACAEAAA8AAAAAAAAAAQAgAAAAOAAAAGRycy9kb3ducmV2LnhtbFBLAQIUABQA&#10;AAAIAIdO4kB5Ic3h3gEAAL8DAAAOAAAAAAAAAAEAIAAAADkBAABkcnMvZTJvRG9jLnhtbFBLBQYA&#10;AAAABgAGAFkBAACJBQAAAAA=&#10;">
              <v:fill on="f" focussize="0,0"/>
              <v:stroke on="f"/>
              <v:imagedata o:title=""/>
              <o:lock v:ext="edit" aspectratio="f"/>
              <v:textbox inset="0mm,0mm,0mm,0mm" style="mso-fit-shape-to-text:t;">
                <w:txbxContent>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sz w:val="28"/>
                              <w:szCs w:val="28"/>
                              <w:lang w:val="en-US" w:eastAsia="zh-CN"/>
                            </w:rPr>
                          </w:pP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rqnPLcAQAAvgMAAA4AAABkcnMv&#10;ZTJvRG9jLnhtbK1TzY7TMBC+I/EOlu80aQ+oipqugGoREgKkhQdwHaex5D/NuE3KA8AbcOLCnefq&#10;czB2ku6yXPbAJRnPjL+Z75vx5mawhp0UoPau5stFyZly0jfaHWr+5fPtizVnGIVrhPFO1fyskN9s&#10;nz/b9KFSK9950yhgBOKw6kPNuxhDVRQoO2UFLnxQjoKtBysiHeFQNCB6QremWJXly6L30ATwUiGS&#10;dzcG+YQITwH0baul2nl5tMrFERWUEZEoYacD8m3utm2VjB/bFlVkpubENOYvFSF7n77FdiOqA4jQ&#10;aTm1IJ7SwiNOVmhHRa9QOxEFO4L+B8pqCR59GxfS22IkkhUhFsvykTZ3nQgqcyGpMVxFx/8HKz+c&#10;PgHTTc1p7E5YGvjlx/fLz9+XX9/YMsnTB6wo6y5QXhxe+4GWZvYjORProQWb/sSHUZzEPV/FVUNk&#10;Ml1ar9brkkKSYvOB8Iv76wEwvlXesmTUHGh6WVRxeo9xTJ1TUjXnb7UxeYLG/eUgzOQpUu9jj8mK&#10;w36YCO19cyY+9AyoTufhK2c9LUHNHe08Z+adI43TvswGzMZ+NoSTdLHmkbPRfBPHvToG0Icub1pq&#10;CsOrY6ROM4HUxlh76o7GmiWYVjDtzcNzzrp/dt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zql5&#10;uc8AAAAFAQAADwAAAAAAAAABACAAAAA4AAAAZHJzL2Rvd25yZXYueG1sUEsBAhQAFAAAAAgAh07i&#10;QCrqnPLcAQAAvgMAAA4AAAAAAAAAAQAgAAAANAEAAGRycy9lMm9Eb2MueG1sUEsFBgAAAAAGAAYA&#10;WQEAAIIFAAAAAA==&#10;">
              <v:fill on="f" focussize="0,0"/>
              <v:stroke on="f"/>
              <v:imagedata o:title=""/>
              <o:lock v:ext="edit" aspectratio="f"/>
              <v:textbox inset="0mm,0mm,0mm,0mm" style="mso-fit-shape-to-text:t;">
                <w:txbxContent>
                  <w:p>
                    <w:pPr>
                      <w:pStyle w:val="8"/>
                      <w:rPr>
                        <w:rFonts w:hint="eastAsia" w:eastAsia="宋体"/>
                        <w:sz w:val="28"/>
                        <w:szCs w:val="28"/>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HO/LLdAQAAvwMAAA4AAABkcnMv&#10;ZTJvRG9jLnhtbK1TzY7TMBC+I/EOlu802a6EqqjpCrZahIQAaeEBXMdpLPlPnmmT8gDwBpy4cOe5&#10;+hyMnaQLy2UPXJLxePzN930er28Ga9hRRdDe1fxqUXKmnPSNdvuaf/5092LFGaBwjTDeqZqfFPCb&#10;zfNn6z5Uauk7bxoVGYE4qPpQ8w4xVEUBslNWwMIH5Wiz9dEKpGXcF00UPaFbUyzL8mXR+9iE6KUC&#10;oOx23OQTYnwKoG9bLdXWy4NVDkfUqIxAkgSdDsA3mW3bKokf2hYUMlNzUor5S00o3qVvsVmLah9F&#10;6LScKIinUHikyQrtqOkFaitQsEPU/0BZLaMH3+JCeluMQrIjpOKqfOTNfSeCylrIaggX0+H/wcr3&#10;x4+R6YYmgSxxwtKNn79/O//4df75lV0nf/oAFZXdByrE4bUfqHbOAyWT7KGNNv1JEKN9gjpd3FUD&#10;MpkOrZarVUlbkvbmBeEXD8dDBHyjvGUpqHmk68uuiuM7wLF0LkndnL/TxuQrNO6vBGGmTJG4jxxT&#10;hMNumATtfHMiPfQOqE/n4xfOepqCmjsaes7MW0cmE1ecgzgHuzkQTtLBmiNnY3iL42AdQtT7Lo9a&#10;IgXh1QGJaRaQaIy9J3Z0r9mCaQbT4Py5zlUP727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M6p&#10;ebnPAAAABQEAAA8AAAAAAAAAAQAgAAAAOAAAAGRycy9kb3ducmV2LnhtbFBLAQIUABQAAAAIAIdO&#10;4kBxzvyy3QEAAL8DAAAOAAAAAAAAAAEAIAAAADQBAABkcnMvZTJvRG9jLnhtbFBLBQYAAAAABgAG&#10;AFkBAACDBQAAAAA=&#10;">
              <v:fill on="f" focussize="0,0"/>
              <v:stroke on="f"/>
              <v:imagedata o:title=""/>
              <o:lock v:ext="edit" aspectratio="f"/>
              <v:textbox inset="0mm,0mm,0mm,0mm" style="mso-fit-shape-to-text:t;">
                <w:txbxContent>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IV</w:t>
                          </w:r>
                          <w:r>
                            <w:rPr>
                              <w:sz w:val="28"/>
                              <w:szCs w:val="28"/>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4dBNvdAQAAvgMAAA4AAABkcnMv&#10;ZTJvRG9jLnhtbK1TzY7TMBC+I/EOlu802R5WJWq6gq0WISFAWngA13EaS/7TeNqkPAC8AScu3Hmu&#10;PgdjJ+nCctkDl2Q8M/5mvm/G65vBGnZUELV3Nb9alJwpJ32j3b7mnz/dvVhxFlG4RhjvVM1PKvKb&#10;zfNn6z5Uauk7bxoFjEBcrPpQ8w4xVEURZaesiAsflKNg68EKpCPsiwZET+jWFMuyvC56D00AL1WM&#10;5N2OQT4hwlMAfdtqqbZeHqxyOKKCMgKJUux0iHyTu21bJfFD20aFzNScmGL+UhGyd+lbbNai2oMI&#10;nZZTC+IpLTziZIV2VPQCtRUo2AH0P1BWS/DRt7iQ3hYjkawIsbgqH2lz34mgMheSOoaL6PH/wcr3&#10;x4/AdFPzl5w5YWng5+/fzj9+nX9+ZcskTx9iRVn3gfJweO0HWprZH8mZWA8t2PQnPoziJO7pIq4a&#10;kMl0abVcrUoKSYrNB8IvHq4HiPhGecuSUXOg6WVRxfFdxDF1TknVnL/TxuQJGveXgzCTp0i9jz0m&#10;C4fdMBHa+eZEfOgZUJ3OwxfOelqCmjvaec7MW0cap32ZDZiN3WwIJ+lizZGz0bzFca8OAfS+y5uW&#10;morh1QGp00wgtTHWnrqjsWYJphVMe/PnOWc9PLv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M6p&#10;ebnPAAAABQEAAA8AAAAAAAAAAQAgAAAAOAAAAGRycy9kb3ducmV2LnhtbFBLAQIUABQAAAAIAIdO&#10;4kCuHQTb3QEAAL4DAAAOAAAAAAAAAAEAIAAAADQBAABkcnMvZTJvRG9jLnhtbFBLBQYAAAAABgAG&#10;AFkBAACDBQAAAAA=&#10;">
              <v:fill on="f" focussize="0,0"/>
              <v:stroke on="f"/>
              <v:imagedata o:title=""/>
              <o:lock v:ext="edit" aspectratio="f"/>
              <v:textbox inset="0mm,0mm,0mm,0mm" style="mso-fit-shape-to-text:t;">
                <w:txbxContent>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IV</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XL</w:t>
                          </w:r>
                          <w:r>
                            <w:rPr>
                              <w:sz w:val="28"/>
                              <w:szCs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Zoo9HdAQAAvwMAAA4AAABkcnMv&#10;ZTJvRG9jLnhtbK1TQa7TMBDdI3EHy3uatEKoipp+AdVHSAiQPhzAdZzGku2xPG6TcgC4ASs27DlX&#10;z8HYSfrhs/kLNsl4Zvxm3pvx5mawhp1UQA2u5stFyZlyEhrtDjX//On22ZozjMI1woBTNT8r5Dfb&#10;p082va/UCjowjQqMQBxWva95F6OvigJlp6zABXjlKNhCsCLSMRyKJoie0K0pVmX5oughND6AVIjk&#10;3Y1BPiGGxwBC22qpdiCPVrk4ogZlRCRK2GmPfJu7bVsl44e2RRWZqTkxjflLRcjep2+x3YjqEITv&#10;tJxaEI9p4QEnK7SjoleonYiCHYP+B8pqGQChjQsJthiJZEWIxbJ8oM1dJ7zKXEhq9FfR8f/Byven&#10;j4HphjZhyZkTliZ++f7t8uPX5edX9jzp03usKO3OU2IcXsFAubMfyZloD22w6U+EGMVJ3fNVXTVE&#10;JtOl9Wq9LikkKTYfCL+4v+4DxjcKLEtGzQONL6sqTu8wjqlzSqrm4FYbk0do3F8OwkyeIvU+9pis&#10;OOyHidAemjPxoXdAdToIXzjraQtq7mjpOTNvHYmcFmY2wmzsZ0M4SRdrHjkbzddxXKyjD/rQ5VVL&#10;TaF/eYzUaSaQ2hhrT93RXLME0w6mxfnznLPu393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M6p&#10;ebnPAAAABQEAAA8AAAAAAAAAAQAgAAAAOAAAAGRycy9kb3ducmV2LnhtbFBLAQIUABQAAAAIAIdO&#10;4kBWaKPR3QEAAL8DAAAOAAAAAAAAAAEAIAAAADQBAABkcnMvZTJvRG9jLnhtbFBLBQYAAAAABgAG&#10;AFkBAACDBQAAAAA=&#10;">
              <v:fill on="f" focussize="0,0"/>
              <v:stroke on="f"/>
              <v:imagedata o:title=""/>
              <o:lock v:ext="edit" aspectratio="f"/>
              <v:textbox inset="0mm,0mm,0mm,0mm" style="mso-fit-shape-to-text:t;">
                <w:txbxContent>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XL</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1"/>
        <w:snapToGrid w:val="0"/>
        <w:rPr>
          <w:rFonts w:hint="eastAsia" w:ascii="方正仿宋_GBK" w:hAnsi="方正仿宋_GBK" w:eastAsia="方正仿宋_GBK" w:cs="方正仿宋_GBK"/>
          <w:lang w:val="en-US" w:eastAsia="zh-CN"/>
        </w:rPr>
      </w:pPr>
      <w:r>
        <w:rPr>
          <w:rStyle w:val="25"/>
          <w:rFonts w:hint="eastAsia" w:ascii="方正仿宋_GBK" w:hAnsi="方正仿宋_GBK" w:eastAsia="方正仿宋_GBK" w:cs="方正仿宋_GBK"/>
        </w:rPr>
        <w:footnoteRef/>
      </w:r>
      <w:r>
        <w:rPr>
          <w:rFonts w:hint="eastAsia" w:ascii="方正仿宋_GBK" w:hAnsi="方正仿宋_GBK" w:eastAsia="方正仿宋_GBK" w:cs="方正仿宋_GBK"/>
        </w:rPr>
        <w:t xml:space="preserve"> </w:t>
      </w:r>
      <w:r>
        <w:rPr>
          <w:rFonts w:hint="eastAsia" w:ascii="方正仿宋_GBK" w:hAnsi="方正仿宋_GBK" w:eastAsia="方正仿宋_GBK" w:cs="方正仿宋_GBK"/>
          <w:lang w:val="en-US" w:eastAsia="zh-CN"/>
        </w:rPr>
        <w:t>本规划冷库容量的统计口径为100吨及以上项目。</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5EA"/>
    <w:rsid w:val="000E3DA0"/>
    <w:rsid w:val="002D3E46"/>
    <w:rsid w:val="00576CF0"/>
    <w:rsid w:val="00654538"/>
    <w:rsid w:val="006815EA"/>
    <w:rsid w:val="007354A3"/>
    <w:rsid w:val="00936FC0"/>
    <w:rsid w:val="009D70C2"/>
    <w:rsid w:val="00B67F0B"/>
    <w:rsid w:val="00C22123"/>
    <w:rsid w:val="01862AE3"/>
    <w:rsid w:val="021569D3"/>
    <w:rsid w:val="0293678E"/>
    <w:rsid w:val="02CB49F0"/>
    <w:rsid w:val="02DB1501"/>
    <w:rsid w:val="03484262"/>
    <w:rsid w:val="036440EF"/>
    <w:rsid w:val="03E734E4"/>
    <w:rsid w:val="04856F7C"/>
    <w:rsid w:val="048E0AF1"/>
    <w:rsid w:val="04921BCF"/>
    <w:rsid w:val="04B213C1"/>
    <w:rsid w:val="04C04528"/>
    <w:rsid w:val="05406BBB"/>
    <w:rsid w:val="056B6D7A"/>
    <w:rsid w:val="058250A7"/>
    <w:rsid w:val="05841235"/>
    <w:rsid w:val="058A64CC"/>
    <w:rsid w:val="058F1DFF"/>
    <w:rsid w:val="05E23798"/>
    <w:rsid w:val="05ED4DB9"/>
    <w:rsid w:val="05EE4FA8"/>
    <w:rsid w:val="06543AD9"/>
    <w:rsid w:val="0698658A"/>
    <w:rsid w:val="06EB3DCA"/>
    <w:rsid w:val="074019EB"/>
    <w:rsid w:val="076159BA"/>
    <w:rsid w:val="076A7EB1"/>
    <w:rsid w:val="07702542"/>
    <w:rsid w:val="079E47D6"/>
    <w:rsid w:val="07C92022"/>
    <w:rsid w:val="07EF6B9F"/>
    <w:rsid w:val="080D790D"/>
    <w:rsid w:val="08A35BC9"/>
    <w:rsid w:val="08B1198F"/>
    <w:rsid w:val="08D33FAB"/>
    <w:rsid w:val="09500695"/>
    <w:rsid w:val="095E0BFE"/>
    <w:rsid w:val="09894F61"/>
    <w:rsid w:val="09B84E91"/>
    <w:rsid w:val="09D82526"/>
    <w:rsid w:val="09E73B5F"/>
    <w:rsid w:val="09EC65DA"/>
    <w:rsid w:val="0AF413CB"/>
    <w:rsid w:val="0AFF64E5"/>
    <w:rsid w:val="0B022377"/>
    <w:rsid w:val="0B257130"/>
    <w:rsid w:val="0B406D9A"/>
    <w:rsid w:val="0B892A7B"/>
    <w:rsid w:val="0B96734D"/>
    <w:rsid w:val="0B977821"/>
    <w:rsid w:val="0B9E066D"/>
    <w:rsid w:val="0B9E269F"/>
    <w:rsid w:val="0BB867FD"/>
    <w:rsid w:val="0CC96255"/>
    <w:rsid w:val="0CCD7B18"/>
    <w:rsid w:val="0CE93FF8"/>
    <w:rsid w:val="0CEC48B7"/>
    <w:rsid w:val="0D080325"/>
    <w:rsid w:val="0D0B293E"/>
    <w:rsid w:val="0D1436DA"/>
    <w:rsid w:val="0D6F3515"/>
    <w:rsid w:val="0D8D1418"/>
    <w:rsid w:val="0D924F7E"/>
    <w:rsid w:val="0DAB4D78"/>
    <w:rsid w:val="0DDA252B"/>
    <w:rsid w:val="0DEC3802"/>
    <w:rsid w:val="0E091EFF"/>
    <w:rsid w:val="0E517907"/>
    <w:rsid w:val="0EE449DF"/>
    <w:rsid w:val="0F2A61ED"/>
    <w:rsid w:val="0F2D0DAA"/>
    <w:rsid w:val="0F5E6591"/>
    <w:rsid w:val="0F891A50"/>
    <w:rsid w:val="10352003"/>
    <w:rsid w:val="105B37B9"/>
    <w:rsid w:val="10732B79"/>
    <w:rsid w:val="10892B21"/>
    <w:rsid w:val="10AE7CB0"/>
    <w:rsid w:val="10C6313E"/>
    <w:rsid w:val="10DA2DF8"/>
    <w:rsid w:val="112368E1"/>
    <w:rsid w:val="113329E6"/>
    <w:rsid w:val="11586E4C"/>
    <w:rsid w:val="11B31469"/>
    <w:rsid w:val="122514B3"/>
    <w:rsid w:val="126D6851"/>
    <w:rsid w:val="129A4C85"/>
    <w:rsid w:val="12CB6957"/>
    <w:rsid w:val="13096909"/>
    <w:rsid w:val="130F1099"/>
    <w:rsid w:val="131D78A1"/>
    <w:rsid w:val="139C3ECE"/>
    <w:rsid w:val="13A77C69"/>
    <w:rsid w:val="13C93BBB"/>
    <w:rsid w:val="146100A7"/>
    <w:rsid w:val="14690782"/>
    <w:rsid w:val="14926565"/>
    <w:rsid w:val="14BC4724"/>
    <w:rsid w:val="153D4499"/>
    <w:rsid w:val="1551439A"/>
    <w:rsid w:val="157C4534"/>
    <w:rsid w:val="15A05265"/>
    <w:rsid w:val="15D92A2E"/>
    <w:rsid w:val="162C6944"/>
    <w:rsid w:val="163830A9"/>
    <w:rsid w:val="165A5590"/>
    <w:rsid w:val="170317C9"/>
    <w:rsid w:val="171F214B"/>
    <w:rsid w:val="1735378C"/>
    <w:rsid w:val="1789085B"/>
    <w:rsid w:val="17A07017"/>
    <w:rsid w:val="17B76144"/>
    <w:rsid w:val="17CD20B7"/>
    <w:rsid w:val="182A1339"/>
    <w:rsid w:val="18524416"/>
    <w:rsid w:val="18631721"/>
    <w:rsid w:val="186D28F6"/>
    <w:rsid w:val="186D66E4"/>
    <w:rsid w:val="1870080C"/>
    <w:rsid w:val="18835BD6"/>
    <w:rsid w:val="18954430"/>
    <w:rsid w:val="18B45D44"/>
    <w:rsid w:val="18E261F3"/>
    <w:rsid w:val="191B6514"/>
    <w:rsid w:val="195F19D0"/>
    <w:rsid w:val="19883341"/>
    <w:rsid w:val="19D31747"/>
    <w:rsid w:val="1A58610F"/>
    <w:rsid w:val="1A6B09AA"/>
    <w:rsid w:val="1AD84AB6"/>
    <w:rsid w:val="1AED288B"/>
    <w:rsid w:val="1AED73FB"/>
    <w:rsid w:val="1B097322"/>
    <w:rsid w:val="1B483B61"/>
    <w:rsid w:val="1BAE584D"/>
    <w:rsid w:val="1BF73CF2"/>
    <w:rsid w:val="1C0348C7"/>
    <w:rsid w:val="1C183C75"/>
    <w:rsid w:val="1C2A5429"/>
    <w:rsid w:val="1C415FCC"/>
    <w:rsid w:val="1C8E71FE"/>
    <w:rsid w:val="1C9F1DD3"/>
    <w:rsid w:val="1D34559C"/>
    <w:rsid w:val="1D9E14D5"/>
    <w:rsid w:val="1DBC32EE"/>
    <w:rsid w:val="1DDF60ED"/>
    <w:rsid w:val="1DE747D5"/>
    <w:rsid w:val="1E5D6D0E"/>
    <w:rsid w:val="1E9341CD"/>
    <w:rsid w:val="1EEE0A48"/>
    <w:rsid w:val="1F182A53"/>
    <w:rsid w:val="1F3861A3"/>
    <w:rsid w:val="1F66325C"/>
    <w:rsid w:val="1F6B2F92"/>
    <w:rsid w:val="1F8331E0"/>
    <w:rsid w:val="1F9A3926"/>
    <w:rsid w:val="1FD42006"/>
    <w:rsid w:val="1FFE6040"/>
    <w:rsid w:val="20263FB0"/>
    <w:rsid w:val="205058CB"/>
    <w:rsid w:val="20A93A22"/>
    <w:rsid w:val="20CC73B0"/>
    <w:rsid w:val="20E43B84"/>
    <w:rsid w:val="20F74EDA"/>
    <w:rsid w:val="20FB0697"/>
    <w:rsid w:val="2185295E"/>
    <w:rsid w:val="21965BFB"/>
    <w:rsid w:val="223F3741"/>
    <w:rsid w:val="225B4E09"/>
    <w:rsid w:val="22883B92"/>
    <w:rsid w:val="232C3B87"/>
    <w:rsid w:val="23B74EAB"/>
    <w:rsid w:val="246C0F8F"/>
    <w:rsid w:val="247B093F"/>
    <w:rsid w:val="24D57659"/>
    <w:rsid w:val="251B2CDC"/>
    <w:rsid w:val="251D31B0"/>
    <w:rsid w:val="25240C12"/>
    <w:rsid w:val="25261D1A"/>
    <w:rsid w:val="25311A36"/>
    <w:rsid w:val="254078AB"/>
    <w:rsid w:val="25841915"/>
    <w:rsid w:val="25974190"/>
    <w:rsid w:val="25983DF8"/>
    <w:rsid w:val="25FB3FA8"/>
    <w:rsid w:val="2653332F"/>
    <w:rsid w:val="26676618"/>
    <w:rsid w:val="267B0BFA"/>
    <w:rsid w:val="26881587"/>
    <w:rsid w:val="26F37A87"/>
    <w:rsid w:val="26F879AB"/>
    <w:rsid w:val="271A1D00"/>
    <w:rsid w:val="27447A2A"/>
    <w:rsid w:val="27AC2CDC"/>
    <w:rsid w:val="27DC0DC5"/>
    <w:rsid w:val="283F64AC"/>
    <w:rsid w:val="284407DC"/>
    <w:rsid w:val="285C144C"/>
    <w:rsid w:val="288C165B"/>
    <w:rsid w:val="289A2B83"/>
    <w:rsid w:val="29336CEC"/>
    <w:rsid w:val="293857EB"/>
    <w:rsid w:val="295A1994"/>
    <w:rsid w:val="2A7D348A"/>
    <w:rsid w:val="2A96625A"/>
    <w:rsid w:val="2AEE4518"/>
    <w:rsid w:val="2B0A0ECE"/>
    <w:rsid w:val="2B385936"/>
    <w:rsid w:val="2B576145"/>
    <w:rsid w:val="2B773340"/>
    <w:rsid w:val="2B877A1C"/>
    <w:rsid w:val="2BD40676"/>
    <w:rsid w:val="2BDD6669"/>
    <w:rsid w:val="2C0024C1"/>
    <w:rsid w:val="2C337BA2"/>
    <w:rsid w:val="2C436CEB"/>
    <w:rsid w:val="2C6F0234"/>
    <w:rsid w:val="2C90633E"/>
    <w:rsid w:val="2CA8185F"/>
    <w:rsid w:val="2CF6521F"/>
    <w:rsid w:val="2D13662B"/>
    <w:rsid w:val="2D260B48"/>
    <w:rsid w:val="2D3F612D"/>
    <w:rsid w:val="2DE7303B"/>
    <w:rsid w:val="2E1641C9"/>
    <w:rsid w:val="2E1F581F"/>
    <w:rsid w:val="2E864864"/>
    <w:rsid w:val="2EB413AF"/>
    <w:rsid w:val="2EBB7C4E"/>
    <w:rsid w:val="2EEE7A37"/>
    <w:rsid w:val="2F28224F"/>
    <w:rsid w:val="2F464078"/>
    <w:rsid w:val="2F4C0B00"/>
    <w:rsid w:val="2F5F0C3F"/>
    <w:rsid w:val="2F826D5D"/>
    <w:rsid w:val="2F8E521F"/>
    <w:rsid w:val="2FDF779C"/>
    <w:rsid w:val="2FE269CC"/>
    <w:rsid w:val="304B5D2F"/>
    <w:rsid w:val="30665188"/>
    <w:rsid w:val="308E6BFC"/>
    <w:rsid w:val="3092529D"/>
    <w:rsid w:val="30954841"/>
    <w:rsid w:val="30A9631F"/>
    <w:rsid w:val="30B051D7"/>
    <w:rsid w:val="30BE5EE7"/>
    <w:rsid w:val="31721B27"/>
    <w:rsid w:val="317A2501"/>
    <w:rsid w:val="31955E7B"/>
    <w:rsid w:val="31BC57CA"/>
    <w:rsid w:val="31F01959"/>
    <w:rsid w:val="32384051"/>
    <w:rsid w:val="32441B4C"/>
    <w:rsid w:val="324B7BEB"/>
    <w:rsid w:val="3259439E"/>
    <w:rsid w:val="32B94148"/>
    <w:rsid w:val="32C76E19"/>
    <w:rsid w:val="32E3797E"/>
    <w:rsid w:val="333F267A"/>
    <w:rsid w:val="33856D74"/>
    <w:rsid w:val="339421EB"/>
    <w:rsid w:val="33AA0F74"/>
    <w:rsid w:val="33B00F21"/>
    <w:rsid w:val="341D74ED"/>
    <w:rsid w:val="343002F3"/>
    <w:rsid w:val="343C3F54"/>
    <w:rsid w:val="34701E7E"/>
    <w:rsid w:val="34B9782A"/>
    <w:rsid w:val="34E32E96"/>
    <w:rsid w:val="350C4FC8"/>
    <w:rsid w:val="356964C9"/>
    <w:rsid w:val="35705498"/>
    <w:rsid w:val="357111D2"/>
    <w:rsid w:val="357132C1"/>
    <w:rsid w:val="35742486"/>
    <w:rsid w:val="35A7571F"/>
    <w:rsid w:val="35F87AA3"/>
    <w:rsid w:val="362B4CB0"/>
    <w:rsid w:val="362D1D5C"/>
    <w:rsid w:val="36856714"/>
    <w:rsid w:val="36AB7A91"/>
    <w:rsid w:val="37187DAC"/>
    <w:rsid w:val="378960D9"/>
    <w:rsid w:val="37E00C34"/>
    <w:rsid w:val="37E2531B"/>
    <w:rsid w:val="38187B10"/>
    <w:rsid w:val="382C79DC"/>
    <w:rsid w:val="38337CDA"/>
    <w:rsid w:val="38A049A9"/>
    <w:rsid w:val="38D837A3"/>
    <w:rsid w:val="38EF4557"/>
    <w:rsid w:val="38FF2E30"/>
    <w:rsid w:val="391412FF"/>
    <w:rsid w:val="39310BB9"/>
    <w:rsid w:val="394E2069"/>
    <w:rsid w:val="3961478E"/>
    <w:rsid w:val="397B4FFA"/>
    <w:rsid w:val="397F349F"/>
    <w:rsid w:val="39A86D37"/>
    <w:rsid w:val="39C61BF8"/>
    <w:rsid w:val="39E80883"/>
    <w:rsid w:val="3A3B5398"/>
    <w:rsid w:val="3A416363"/>
    <w:rsid w:val="3A660401"/>
    <w:rsid w:val="3A7D68D2"/>
    <w:rsid w:val="3A8124DB"/>
    <w:rsid w:val="3A934F17"/>
    <w:rsid w:val="3AAD26B9"/>
    <w:rsid w:val="3ABF1CCB"/>
    <w:rsid w:val="3B3376E4"/>
    <w:rsid w:val="3B485EE0"/>
    <w:rsid w:val="3B8B7064"/>
    <w:rsid w:val="3BA603DC"/>
    <w:rsid w:val="3BB12B11"/>
    <w:rsid w:val="3BED5BA8"/>
    <w:rsid w:val="3BF1511D"/>
    <w:rsid w:val="3C8D44C5"/>
    <w:rsid w:val="3CA52E45"/>
    <w:rsid w:val="3CB75D24"/>
    <w:rsid w:val="3CD03421"/>
    <w:rsid w:val="3CEA0AE7"/>
    <w:rsid w:val="3D1573A9"/>
    <w:rsid w:val="3D1D1A17"/>
    <w:rsid w:val="3D4153CC"/>
    <w:rsid w:val="3D42082D"/>
    <w:rsid w:val="3E4660FB"/>
    <w:rsid w:val="3EDC2904"/>
    <w:rsid w:val="3EF44497"/>
    <w:rsid w:val="3EFE13C0"/>
    <w:rsid w:val="3F635944"/>
    <w:rsid w:val="3F965055"/>
    <w:rsid w:val="3FE3513B"/>
    <w:rsid w:val="40247812"/>
    <w:rsid w:val="40AD0717"/>
    <w:rsid w:val="40AF43DC"/>
    <w:rsid w:val="40E215B6"/>
    <w:rsid w:val="410B7D2E"/>
    <w:rsid w:val="4122463E"/>
    <w:rsid w:val="414A3A07"/>
    <w:rsid w:val="416210FE"/>
    <w:rsid w:val="41681978"/>
    <w:rsid w:val="41783069"/>
    <w:rsid w:val="42020043"/>
    <w:rsid w:val="420D5200"/>
    <w:rsid w:val="423257F6"/>
    <w:rsid w:val="42455A1D"/>
    <w:rsid w:val="424F3C45"/>
    <w:rsid w:val="42692D49"/>
    <w:rsid w:val="42A824A0"/>
    <w:rsid w:val="42B01B23"/>
    <w:rsid w:val="42FF2D1C"/>
    <w:rsid w:val="43035415"/>
    <w:rsid w:val="430E60F0"/>
    <w:rsid w:val="4316247C"/>
    <w:rsid w:val="4326468F"/>
    <w:rsid w:val="43330E56"/>
    <w:rsid w:val="435505AF"/>
    <w:rsid w:val="440675EF"/>
    <w:rsid w:val="44227FE3"/>
    <w:rsid w:val="44274C34"/>
    <w:rsid w:val="44372033"/>
    <w:rsid w:val="445B2AF4"/>
    <w:rsid w:val="447716BF"/>
    <w:rsid w:val="44E56DAB"/>
    <w:rsid w:val="44FE6712"/>
    <w:rsid w:val="451B1749"/>
    <w:rsid w:val="451B6EC2"/>
    <w:rsid w:val="45354CD3"/>
    <w:rsid w:val="45397503"/>
    <w:rsid w:val="45631D20"/>
    <w:rsid w:val="45F62BED"/>
    <w:rsid w:val="461A7EC0"/>
    <w:rsid w:val="461C7BB4"/>
    <w:rsid w:val="462A4F4A"/>
    <w:rsid w:val="465259B7"/>
    <w:rsid w:val="467C4D6F"/>
    <w:rsid w:val="46967412"/>
    <w:rsid w:val="46D1275F"/>
    <w:rsid w:val="473A34FF"/>
    <w:rsid w:val="47513E2B"/>
    <w:rsid w:val="478269BE"/>
    <w:rsid w:val="47910278"/>
    <w:rsid w:val="47A41734"/>
    <w:rsid w:val="47AF1EC2"/>
    <w:rsid w:val="47E33014"/>
    <w:rsid w:val="481C453F"/>
    <w:rsid w:val="48A04B34"/>
    <w:rsid w:val="48FA6780"/>
    <w:rsid w:val="49000F5A"/>
    <w:rsid w:val="491245DC"/>
    <w:rsid w:val="492A4FFE"/>
    <w:rsid w:val="493D1461"/>
    <w:rsid w:val="4988056E"/>
    <w:rsid w:val="49895334"/>
    <w:rsid w:val="49C74D6B"/>
    <w:rsid w:val="49D62255"/>
    <w:rsid w:val="49E230B7"/>
    <w:rsid w:val="4A374C03"/>
    <w:rsid w:val="4A3E01C6"/>
    <w:rsid w:val="4A4B7F94"/>
    <w:rsid w:val="4A63022A"/>
    <w:rsid w:val="4A6B7716"/>
    <w:rsid w:val="4AF84BC2"/>
    <w:rsid w:val="4AFB5DAB"/>
    <w:rsid w:val="4B005948"/>
    <w:rsid w:val="4B0553EA"/>
    <w:rsid w:val="4B1357AC"/>
    <w:rsid w:val="4B36149A"/>
    <w:rsid w:val="4B364FC6"/>
    <w:rsid w:val="4B4A33E9"/>
    <w:rsid w:val="4B530846"/>
    <w:rsid w:val="4B534441"/>
    <w:rsid w:val="4BF367E4"/>
    <w:rsid w:val="4BFC21F5"/>
    <w:rsid w:val="4C1F0235"/>
    <w:rsid w:val="4C697931"/>
    <w:rsid w:val="4C8E45E5"/>
    <w:rsid w:val="4CBB63BD"/>
    <w:rsid w:val="4CC27B82"/>
    <w:rsid w:val="4D1646A9"/>
    <w:rsid w:val="4D645E96"/>
    <w:rsid w:val="4D672D0D"/>
    <w:rsid w:val="4D6B1E9B"/>
    <w:rsid w:val="4DAE5BB7"/>
    <w:rsid w:val="4DAE5DDF"/>
    <w:rsid w:val="4DB14F0D"/>
    <w:rsid w:val="4DB363C6"/>
    <w:rsid w:val="4DE27EAC"/>
    <w:rsid w:val="4DE704BE"/>
    <w:rsid w:val="4DFE101E"/>
    <w:rsid w:val="4E5B6D45"/>
    <w:rsid w:val="4EC85425"/>
    <w:rsid w:val="4ECB7381"/>
    <w:rsid w:val="4ED322C0"/>
    <w:rsid w:val="4F4946E8"/>
    <w:rsid w:val="4F644FBC"/>
    <w:rsid w:val="4FA106C8"/>
    <w:rsid w:val="4FBA5928"/>
    <w:rsid w:val="50016F49"/>
    <w:rsid w:val="500956F1"/>
    <w:rsid w:val="5049018C"/>
    <w:rsid w:val="511D2A90"/>
    <w:rsid w:val="514A35D4"/>
    <w:rsid w:val="51586C5C"/>
    <w:rsid w:val="52045B7B"/>
    <w:rsid w:val="52095304"/>
    <w:rsid w:val="5222474B"/>
    <w:rsid w:val="5224763E"/>
    <w:rsid w:val="524E3163"/>
    <w:rsid w:val="5256680F"/>
    <w:rsid w:val="527C121A"/>
    <w:rsid w:val="52A630D7"/>
    <w:rsid w:val="52AE4350"/>
    <w:rsid w:val="53556230"/>
    <w:rsid w:val="53596E0E"/>
    <w:rsid w:val="536467AF"/>
    <w:rsid w:val="53760D72"/>
    <w:rsid w:val="537F1FCB"/>
    <w:rsid w:val="538D7B6E"/>
    <w:rsid w:val="53C451C0"/>
    <w:rsid w:val="54AA207F"/>
    <w:rsid w:val="54B847CC"/>
    <w:rsid w:val="54F41009"/>
    <w:rsid w:val="54FD6B85"/>
    <w:rsid w:val="551509B7"/>
    <w:rsid w:val="552F4891"/>
    <w:rsid w:val="555748BC"/>
    <w:rsid w:val="55595A17"/>
    <w:rsid w:val="555E4940"/>
    <w:rsid w:val="5567412B"/>
    <w:rsid w:val="557A5580"/>
    <w:rsid w:val="557E0686"/>
    <w:rsid w:val="55D7094C"/>
    <w:rsid w:val="55E055A3"/>
    <w:rsid w:val="55EF6C72"/>
    <w:rsid w:val="56297A7E"/>
    <w:rsid w:val="5643229F"/>
    <w:rsid w:val="56A84B12"/>
    <w:rsid w:val="56BA488E"/>
    <w:rsid w:val="56C8194B"/>
    <w:rsid w:val="57955E17"/>
    <w:rsid w:val="57A700EE"/>
    <w:rsid w:val="57A77617"/>
    <w:rsid w:val="57D155CF"/>
    <w:rsid w:val="57E30548"/>
    <w:rsid w:val="57E45DDA"/>
    <w:rsid w:val="57F67621"/>
    <w:rsid w:val="57FE3E5C"/>
    <w:rsid w:val="58260E55"/>
    <w:rsid w:val="582E551A"/>
    <w:rsid w:val="586B1D6C"/>
    <w:rsid w:val="58720CD9"/>
    <w:rsid w:val="58817AAD"/>
    <w:rsid w:val="59C85BBB"/>
    <w:rsid w:val="5A524BA3"/>
    <w:rsid w:val="5ABE2DEB"/>
    <w:rsid w:val="5B886337"/>
    <w:rsid w:val="5C101C12"/>
    <w:rsid w:val="5C3C4423"/>
    <w:rsid w:val="5C7119B6"/>
    <w:rsid w:val="5CA74967"/>
    <w:rsid w:val="5CD235A1"/>
    <w:rsid w:val="5D141953"/>
    <w:rsid w:val="5D2750E7"/>
    <w:rsid w:val="5D3C281B"/>
    <w:rsid w:val="5D6F2C11"/>
    <w:rsid w:val="5D891ECF"/>
    <w:rsid w:val="5DBB657B"/>
    <w:rsid w:val="5DD144F6"/>
    <w:rsid w:val="5DD5439D"/>
    <w:rsid w:val="5E0F6F72"/>
    <w:rsid w:val="5E1D3DF4"/>
    <w:rsid w:val="5E2B16BD"/>
    <w:rsid w:val="5E410C4E"/>
    <w:rsid w:val="5E467051"/>
    <w:rsid w:val="5EBC2808"/>
    <w:rsid w:val="5EC16357"/>
    <w:rsid w:val="5EEB374F"/>
    <w:rsid w:val="5F130E87"/>
    <w:rsid w:val="5F3351D2"/>
    <w:rsid w:val="5F400207"/>
    <w:rsid w:val="5FA404D1"/>
    <w:rsid w:val="5FD830F7"/>
    <w:rsid w:val="6015724B"/>
    <w:rsid w:val="60231DA9"/>
    <w:rsid w:val="603F799A"/>
    <w:rsid w:val="608D22B3"/>
    <w:rsid w:val="60C610AD"/>
    <w:rsid w:val="61073AA6"/>
    <w:rsid w:val="61556C6D"/>
    <w:rsid w:val="61675BC3"/>
    <w:rsid w:val="618C310C"/>
    <w:rsid w:val="618D6CB2"/>
    <w:rsid w:val="61A06FB3"/>
    <w:rsid w:val="62142D5E"/>
    <w:rsid w:val="62510486"/>
    <w:rsid w:val="62F21916"/>
    <w:rsid w:val="631D2381"/>
    <w:rsid w:val="63444519"/>
    <w:rsid w:val="63997B38"/>
    <w:rsid w:val="63DE4C1E"/>
    <w:rsid w:val="646B709F"/>
    <w:rsid w:val="648B550D"/>
    <w:rsid w:val="64AC50D2"/>
    <w:rsid w:val="64B26D3E"/>
    <w:rsid w:val="64F40AEB"/>
    <w:rsid w:val="64FA4B78"/>
    <w:rsid w:val="65026AF5"/>
    <w:rsid w:val="654C5778"/>
    <w:rsid w:val="655A041C"/>
    <w:rsid w:val="657B727C"/>
    <w:rsid w:val="659B72F7"/>
    <w:rsid w:val="659D3372"/>
    <w:rsid w:val="65B52A35"/>
    <w:rsid w:val="65DF3CE5"/>
    <w:rsid w:val="661D51F9"/>
    <w:rsid w:val="6631054A"/>
    <w:rsid w:val="66526BD3"/>
    <w:rsid w:val="67545D14"/>
    <w:rsid w:val="675C76A4"/>
    <w:rsid w:val="67EE073B"/>
    <w:rsid w:val="68223FC2"/>
    <w:rsid w:val="682F112A"/>
    <w:rsid w:val="68616DB6"/>
    <w:rsid w:val="68697A8C"/>
    <w:rsid w:val="687B6BE4"/>
    <w:rsid w:val="68A73C06"/>
    <w:rsid w:val="68CA612C"/>
    <w:rsid w:val="69443F84"/>
    <w:rsid w:val="69D22FDB"/>
    <w:rsid w:val="69DD2798"/>
    <w:rsid w:val="69E41797"/>
    <w:rsid w:val="69EC6A0A"/>
    <w:rsid w:val="6A214742"/>
    <w:rsid w:val="6AA16B3D"/>
    <w:rsid w:val="6ABC0151"/>
    <w:rsid w:val="6AFC07BA"/>
    <w:rsid w:val="6B147D4D"/>
    <w:rsid w:val="6B195A66"/>
    <w:rsid w:val="6B476FC4"/>
    <w:rsid w:val="6BA874DF"/>
    <w:rsid w:val="6BD26DBB"/>
    <w:rsid w:val="6BD36B3F"/>
    <w:rsid w:val="6C2610B8"/>
    <w:rsid w:val="6C612AE6"/>
    <w:rsid w:val="6C752D9C"/>
    <w:rsid w:val="6C7F119A"/>
    <w:rsid w:val="6C9352CF"/>
    <w:rsid w:val="6C9630F3"/>
    <w:rsid w:val="6C974E3C"/>
    <w:rsid w:val="6CB1719B"/>
    <w:rsid w:val="6CFA1F29"/>
    <w:rsid w:val="6D134B58"/>
    <w:rsid w:val="6D501721"/>
    <w:rsid w:val="6DA60268"/>
    <w:rsid w:val="6DB6261E"/>
    <w:rsid w:val="6DC85A93"/>
    <w:rsid w:val="6DD754D3"/>
    <w:rsid w:val="6DDF2729"/>
    <w:rsid w:val="6DE94A66"/>
    <w:rsid w:val="6DF21ACD"/>
    <w:rsid w:val="6DF35C61"/>
    <w:rsid w:val="6E237E75"/>
    <w:rsid w:val="6E5F494B"/>
    <w:rsid w:val="6E6B7B9F"/>
    <w:rsid w:val="6E6D10F7"/>
    <w:rsid w:val="6ED30915"/>
    <w:rsid w:val="6ED66E80"/>
    <w:rsid w:val="6EF063C2"/>
    <w:rsid w:val="6F3F1CB9"/>
    <w:rsid w:val="6F653C3E"/>
    <w:rsid w:val="6F957C4D"/>
    <w:rsid w:val="6FC73322"/>
    <w:rsid w:val="6FDB7CC3"/>
    <w:rsid w:val="70276991"/>
    <w:rsid w:val="70942CA3"/>
    <w:rsid w:val="709466D7"/>
    <w:rsid w:val="70971821"/>
    <w:rsid w:val="709D1170"/>
    <w:rsid w:val="70A85673"/>
    <w:rsid w:val="70C07AAC"/>
    <w:rsid w:val="70D14464"/>
    <w:rsid w:val="70EC36ED"/>
    <w:rsid w:val="715644EE"/>
    <w:rsid w:val="71AB6907"/>
    <w:rsid w:val="71DA0522"/>
    <w:rsid w:val="71F51DD5"/>
    <w:rsid w:val="723836B2"/>
    <w:rsid w:val="7255104C"/>
    <w:rsid w:val="725527D7"/>
    <w:rsid w:val="72620A4E"/>
    <w:rsid w:val="72826DEA"/>
    <w:rsid w:val="72C214EC"/>
    <w:rsid w:val="72C924A2"/>
    <w:rsid w:val="73025FCF"/>
    <w:rsid w:val="739B156D"/>
    <w:rsid w:val="73C72E7C"/>
    <w:rsid w:val="73F476EA"/>
    <w:rsid w:val="74072BAD"/>
    <w:rsid w:val="741732F9"/>
    <w:rsid w:val="742277D3"/>
    <w:rsid w:val="745B224D"/>
    <w:rsid w:val="745F1EB9"/>
    <w:rsid w:val="74641419"/>
    <w:rsid w:val="749A0C5E"/>
    <w:rsid w:val="74C91AC2"/>
    <w:rsid w:val="75502B27"/>
    <w:rsid w:val="75590445"/>
    <w:rsid w:val="75DF050B"/>
    <w:rsid w:val="76565C7A"/>
    <w:rsid w:val="76574B27"/>
    <w:rsid w:val="76A955C2"/>
    <w:rsid w:val="76B10FDE"/>
    <w:rsid w:val="76D6740A"/>
    <w:rsid w:val="76E77F8E"/>
    <w:rsid w:val="77871EAD"/>
    <w:rsid w:val="77EE1871"/>
    <w:rsid w:val="784B614E"/>
    <w:rsid w:val="786F678F"/>
    <w:rsid w:val="78AD07F1"/>
    <w:rsid w:val="78BE4C01"/>
    <w:rsid w:val="791F4AE2"/>
    <w:rsid w:val="792A0D82"/>
    <w:rsid w:val="79E024B6"/>
    <w:rsid w:val="79F3139E"/>
    <w:rsid w:val="7A187412"/>
    <w:rsid w:val="7A251FAA"/>
    <w:rsid w:val="7A6F0629"/>
    <w:rsid w:val="7A733B43"/>
    <w:rsid w:val="7AE30C5C"/>
    <w:rsid w:val="7B6177B8"/>
    <w:rsid w:val="7B800EC1"/>
    <w:rsid w:val="7B812AFC"/>
    <w:rsid w:val="7BA357F4"/>
    <w:rsid w:val="7BD1443C"/>
    <w:rsid w:val="7C0864AC"/>
    <w:rsid w:val="7C1112D6"/>
    <w:rsid w:val="7C137D53"/>
    <w:rsid w:val="7C467AEB"/>
    <w:rsid w:val="7C825419"/>
    <w:rsid w:val="7C922399"/>
    <w:rsid w:val="7CC43973"/>
    <w:rsid w:val="7CF62C51"/>
    <w:rsid w:val="7D043810"/>
    <w:rsid w:val="7D1A1D1E"/>
    <w:rsid w:val="7D595AE2"/>
    <w:rsid w:val="7D9E1DA8"/>
    <w:rsid w:val="7DA862E5"/>
    <w:rsid w:val="7DAE3433"/>
    <w:rsid w:val="7E134378"/>
    <w:rsid w:val="7E2D279B"/>
    <w:rsid w:val="7E3B0479"/>
    <w:rsid w:val="7E445C93"/>
    <w:rsid w:val="7E4D6A3F"/>
    <w:rsid w:val="7E6B006D"/>
    <w:rsid w:val="7EB224E6"/>
    <w:rsid w:val="7EBB4D4E"/>
    <w:rsid w:val="7EF930F5"/>
    <w:rsid w:val="7F27645F"/>
    <w:rsid w:val="7F2A7EB6"/>
    <w:rsid w:val="7F972198"/>
    <w:rsid w:val="7FA959B8"/>
    <w:rsid w:val="7FC46B9D"/>
    <w:rsid w:val="7FE34362"/>
    <w:rsid w:val="7FF37C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uiPriority w:val="99"/>
    <w:pPr>
      <w:ind w:leftChars="200" w:hanging="200" w:hangingChars="200"/>
    </w:pPr>
  </w:style>
  <w:style w:type="paragraph" w:styleId="5">
    <w:name w:val="annotation text"/>
    <w:basedOn w:val="1"/>
    <w:uiPriority w:val="0"/>
    <w:pPr>
      <w:jc w:val="left"/>
    </w:pPr>
  </w:style>
  <w:style w:type="paragraph" w:styleId="6">
    <w:name w:val="Body Text"/>
    <w:basedOn w:val="1"/>
    <w:next w:val="7"/>
    <w:uiPriority w:val="0"/>
    <w:rPr>
      <w:rFonts w:ascii="仿宋_GB2312" w:eastAsia="仿宋_GB2312"/>
      <w:sz w:val="32"/>
    </w:rPr>
  </w:style>
  <w:style w:type="paragraph" w:styleId="7">
    <w:name w:val="toc 5"/>
    <w:basedOn w:val="1"/>
    <w:next w:val="1"/>
    <w:uiPriority w:val="39"/>
    <w:pPr>
      <w:ind w:left="1680" w:leftChars="800"/>
    </w:p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footnote text"/>
    <w:basedOn w:val="1"/>
    <w:uiPriority w:val="0"/>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uiPriority w:val="0"/>
    <w:pPr>
      <w:widowControl/>
      <w:spacing w:before="100" w:beforeLines="0" w:beforeAutospacing="1" w:after="100" w:afterLines="0" w:afterAutospacing="1"/>
      <w:jc w:val="left"/>
    </w:pPr>
    <w:rPr>
      <w:rFonts w:ascii="宋体" w:hAnsi="宋体"/>
      <w:kern w:val="0"/>
      <w:sz w:val="24"/>
    </w:rPr>
  </w:style>
  <w:style w:type="table" w:styleId="15">
    <w:name w:val="Table Grid"/>
    <w:basedOn w:val="1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style>
  <w:style w:type="character" w:styleId="18">
    <w:name w:val="FollowedHyperlink"/>
    <w:basedOn w:val="16"/>
    <w:qFormat/>
    <w:uiPriority w:val="0"/>
    <w:rPr>
      <w:color w:val="000000"/>
      <w:u w:val="none"/>
    </w:rPr>
  </w:style>
  <w:style w:type="character" w:styleId="19">
    <w:name w:val="Emphasis"/>
    <w:basedOn w:val="16"/>
    <w:qFormat/>
    <w:uiPriority w:val="0"/>
  </w:style>
  <w:style w:type="character" w:styleId="20">
    <w:name w:val="HTML Definition"/>
    <w:basedOn w:val="16"/>
    <w:uiPriority w:val="0"/>
  </w:style>
  <w:style w:type="character" w:styleId="21">
    <w:name w:val="HTML Variable"/>
    <w:basedOn w:val="16"/>
    <w:uiPriority w:val="0"/>
  </w:style>
  <w:style w:type="character" w:styleId="22">
    <w:name w:val="Hyperlink"/>
    <w:basedOn w:val="16"/>
    <w:uiPriority w:val="0"/>
    <w:rPr>
      <w:color w:val="000000"/>
      <w:u w:val="none"/>
    </w:rPr>
  </w:style>
  <w:style w:type="character" w:styleId="23">
    <w:name w:val="HTML Code"/>
    <w:basedOn w:val="16"/>
    <w:uiPriority w:val="0"/>
    <w:rPr>
      <w:rFonts w:ascii="Courier New" w:hAnsi="Courier New"/>
      <w:sz w:val="20"/>
    </w:rPr>
  </w:style>
  <w:style w:type="character" w:styleId="24">
    <w:name w:val="HTML Cite"/>
    <w:basedOn w:val="16"/>
    <w:uiPriority w:val="0"/>
  </w:style>
  <w:style w:type="character" w:styleId="25">
    <w:name w:val="footnote reference"/>
    <w:basedOn w:val="16"/>
    <w:uiPriority w:val="0"/>
    <w:rPr>
      <w:vertAlign w:val="superscript"/>
    </w:rPr>
  </w:style>
  <w:style w:type="character" w:customStyle="1" w:styleId="26">
    <w:name w:val="font31"/>
    <w:basedOn w:val="16"/>
    <w:uiPriority w:val="0"/>
    <w:rPr>
      <w:rFonts w:hint="eastAsia" w:ascii="宋体" w:hAnsi="宋体" w:eastAsia="宋体" w:cs="宋体"/>
      <w:color w:val="000000"/>
      <w:sz w:val="20"/>
      <w:szCs w:val="20"/>
      <w:u w:val="none"/>
    </w:rPr>
  </w:style>
  <w:style w:type="character" w:customStyle="1" w:styleId="27">
    <w:name w:val="font21"/>
    <w:basedOn w:val="16"/>
    <w:uiPriority w:val="0"/>
    <w:rPr>
      <w:rFonts w:hint="default" w:ascii="Times New Roman" w:hAnsi="Times New Roman" w:cs="Times New Roman"/>
      <w:color w:val="000000"/>
      <w:sz w:val="20"/>
      <w:szCs w:val="20"/>
      <w:u w:val="none"/>
    </w:rPr>
  </w:style>
  <w:style w:type="paragraph" w:styleId="28">
    <w:name w:val="Quote"/>
    <w:basedOn w:val="1"/>
    <w:next w:val="1"/>
    <w:qFormat/>
    <w:uiPriority w:val="29"/>
    <w:pPr>
      <w:adjustRightInd w:val="0"/>
      <w:snapToGrid w:val="0"/>
      <w:spacing w:before="200" w:after="160" w:line="240" w:lineRule="auto"/>
      <w:jc w:val="center"/>
    </w:pPr>
    <w:rPr>
      <w:rFonts w:ascii="Calibri" w:hAnsi="Calibri" w:eastAsia="方正仿宋_GBK"/>
      <w:b/>
      <w:iCs/>
      <w:color w:val="404040"/>
      <w:kern w:val="0"/>
      <w:sz w:val="32"/>
      <w:szCs w:val="20"/>
    </w:rPr>
  </w:style>
  <w:style w:type="character" w:customStyle="1" w:styleId="29">
    <w:name w:val="font101"/>
    <w:basedOn w:val="16"/>
    <w:uiPriority w:val="0"/>
    <w:rPr>
      <w:rFonts w:hint="default" w:ascii="Times New Roman" w:hAnsi="Times New Roman" w:cs="Times New Roman"/>
      <w:color w:val="000000"/>
      <w:sz w:val="20"/>
      <w:szCs w:val="20"/>
      <w:u w:val="none"/>
    </w:rPr>
  </w:style>
  <w:style w:type="character" w:customStyle="1" w:styleId="30">
    <w:name w:val="font41"/>
    <w:basedOn w:val="16"/>
    <w:uiPriority w:val="0"/>
    <w:rPr>
      <w:rFonts w:hint="eastAsia" w:ascii="宋体" w:hAnsi="宋体" w:eastAsia="宋体" w:cs="宋体"/>
      <w:color w:val="000000"/>
      <w:sz w:val="20"/>
      <w:szCs w:val="20"/>
      <w:u w:val="none"/>
    </w:rPr>
  </w:style>
  <w:style w:type="character" w:customStyle="1" w:styleId="31">
    <w:name w:val="font11"/>
    <w:basedOn w:val="16"/>
    <w:uiPriority w:val="0"/>
    <w:rPr>
      <w:rFonts w:hint="default" w:ascii="Times New Roman" w:hAnsi="Times New Roman" w:cs="Times New Roman"/>
      <w:color w:val="000000"/>
      <w:sz w:val="20"/>
      <w:szCs w:val="20"/>
      <w:u w:val="none"/>
    </w:rPr>
  </w:style>
  <w:style w:type="character" w:customStyle="1" w:styleId="32">
    <w:name w:val="NormalCharacter"/>
    <w:qFormat/>
    <w:uiPriority w:val="0"/>
  </w:style>
  <w:style w:type="paragraph" w:customStyle="1" w:styleId="33">
    <w:name w:val="WPSOffice手动目录 1"/>
    <w:uiPriority w:val="0"/>
    <w:pPr>
      <w:ind w:leftChars="0"/>
    </w:pPr>
    <w:rPr>
      <w:rFonts w:ascii="Times New Roman" w:hAnsi="Times New Roman" w:eastAsia="宋体" w:cs="Times New Roman"/>
      <w:sz w:val="20"/>
      <w:szCs w:val="20"/>
    </w:rPr>
  </w:style>
  <w:style w:type="paragraph" w:customStyle="1" w:styleId="34">
    <w:name w:val="WPSOffice手动目录 2"/>
    <w:uiPriority w:val="0"/>
    <w:pPr>
      <w:ind w:leftChars="200"/>
    </w:pPr>
    <w:rPr>
      <w:rFonts w:ascii="Times New Roman" w:hAnsi="Times New Roman" w:eastAsia="宋体" w:cs="Times New Roman"/>
      <w:sz w:val="20"/>
      <w:szCs w:val="20"/>
    </w:rPr>
  </w:style>
  <w:style w:type="character" w:customStyle="1" w:styleId="35">
    <w:name w:val="current"/>
    <w:basedOn w:val="16"/>
    <w:uiPriority w:val="0"/>
    <w:rPr>
      <w:b/>
      <w:bCs/>
      <w:color w:val="FFFFFF"/>
      <w:bdr w:val="single" w:color="000099" w:sz="6" w:space="0"/>
      <w:shd w:val="clear" w:color="auto" w:fill="000099"/>
    </w:rPr>
  </w:style>
  <w:style w:type="character" w:customStyle="1" w:styleId="36">
    <w:name w:val="next3"/>
    <w:basedOn w:val="16"/>
    <w:uiPriority w:val="0"/>
    <w:rPr>
      <w:shd w:val="clear" w:color="auto" w:fill="FF0000"/>
    </w:rPr>
  </w:style>
  <w:style w:type="character" w:customStyle="1" w:styleId="37">
    <w:name w:val="disabled"/>
    <w:basedOn w:val="16"/>
    <w:uiPriority w:val="0"/>
    <w:rPr>
      <w:color w:val="DDDDDD"/>
      <w:bdr w:val="single" w:color="EEEEEE" w:sz="6" w:space="0"/>
    </w:rPr>
  </w:style>
  <w:style w:type="character" w:customStyle="1" w:styleId="38">
    <w:name w:val="next21"/>
    <w:basedOn w:val="16"/>
    <w:uiPriority w:val="0"/>
    <w:rPr>
      <w:shd w:val="clear" w:color="auto" w:fill="FF0000"/>
    </w:rPr>
  </w:style>
  <w:style w:type="character" w:customStyle="1" w:styleId="39">
    <w:name w:val="prev11"/>
    <w:basedOn w:val="16"/>
    <w:uiPriority w:val="0"/>
    <w:rPr>
      <w:shd w:val="clear" w:color="auto" w:fill="336699"/>
    </w:rPr>
  </w:style>
  <w:style w:type="character" w:customStyle="1" w:styleId="40">
    <w:name w:val="prev21"/>
    <w:basedOn w:val="16"/>
    <w:uiPriority w:val="0"/>
    <w:rPr>
      <w:shd w:val="clear" w:color="auto" w:fill="336699"/>
    </w:rPr>
  </w:style>
  <w:style w:type="character" w:customStyle="1" w:styleId="41">
    <w:name w:val="next11"/>
    <w:basedOn w:val="16"/>
    <w:uiPriority w:val="0"/>
    <w:rPr>
      <w:shd w:val="clear" w:color="auto" w:fill="FF0000"/>
    </w:rPr>
  </w:style>
  <w:style w:type="character" w:customStyle="1" w:styleId="42">
    <w:name w:val="prev31"/>
    <w:basedOn w:val="16"/>
    <w:uiPriority w:val="0"/>
    <w:rPr>
      <w:shd w:val="clear" w:color="auto" w:fill="336699"/>
    </w:rPr>
  </w:style>
  <w:style w:type="character" w:customStyle="1" w:styleId="43">
    <w:name w:val="bsharetext"/>
    <w:basedOn w:val="16"/>
    <w:uiPriority w:val="0"/>
  </w:style>
  <w:style w:type="character" w:customStyle="1" w:styleId="44">
    <w:name w:val="current1"/>
    <w:basedOn w:val="16"/>
    <w:uiPriority w:val="0"/>
    <w:rPr>
      <w:b/>
      <w:bCs/>
      <w:color w:val="FFFFFF"/>
      <w:bdr w:val="single" w:color="000099" w:sz="6" w:space="0"/>
      <w:shd w:val="clear" w:color="auto" w:fill="000099"/>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0</Words>
  <Characters>0</Characters>
  <Lines>0</Lines>
  <Paragraphs>0</Paragraphs>
  <TotalTime>26</TotalTime>
  <ScaleCrop>false</ScaleCrop>
  <LinksUpToDate>false</LinksUpToDate>
  <CharactersWithSpaces>0</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2021-04-25T09:52:00Z</dcterms:created>
  <dc:creator>哈理小波</dc:creator>
  <cp:lastModifiedBy>刘小小呀</cp:lastModifiedBy>
  <dcterms:modified xsi:type="dcterms:W3CDTF">2024-12-24T10:29:09Z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4D5F06CCC3364A52BA880A3636A9AECC</vt:lpwstr>
  </property>
</Properties>
</file>