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C6A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ascii="Times New Roman" w:hAnsi="Times New Roman"/>
        </w:rPr>
      </w:pPr>
    </w:p>
    <w:p w14:paraId="75D00D1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ascii="Times New Roman" w:hAnsi="Times New Roman"/>
        </w:rPr>
      </w:pPr>
    </w:p>
    <w:p w14:paraId="29690226">
      <w:pPr>
        <w:ind w:left="0" w:leftChars="0" w:right="0" w:rightChars="0" w:firstLine="0" w:firstLineChars="0"/>
        <w:jc w:val="center"/>
        <w:rPr>
          <w:rFonts w:hint="eastAsia" w:ascii="Times New Roman" w:hAnsi="Times New Roman"/>
        </w:rPr>
      </w:pPr>
      <w:bookmarkStart w:id="0" w:name="OLE_LINK1"/>
      <w:r>
        <w:rPr>
          <w:rFonts w:hint="eastAsia" w:ascii="Times New Roman" w:hAnsi="Times New Roman"/>
          <w:lang w:eastAsia="zh-CN"/>
        </w:rPr>
        <w:t>（</w:t>
      </w:r>
      <w:r>
        <w:rPr>
          <w:rFonts w:hint="default" w:ascii="Times New Roman" w:hAnsi="Times New Roman"/>
        </w:rPr>
        <w:t>202</w:t>
      </w:r>
      <w:r>
        <w:rPr>
          <w:rFonts w:hint="eastAsia" w:ascii="Times New Roman" w:hAnsi="Times New Roman"/>
          <w:lang w:val="en-US" w:eastAsia="zh-CN"/>
        </w:rPr>
        <w:t>6</w:t>
      </w:r>
      <w:r>
        <w:rPr>
          <w:rFonts w:hint="default" w:ascii="Times New Roman" w:hAnsi="Times New Roman"/>
        </w:rPr>
        <w:t>年第</w:t>
      </w:r>
      <w:r>
        <w:rPr>
          <w:rFonts w:hint="eastAsia" w:ascii="Times New Roman" w:hAnsi="Times New Roman"/>
          <w:lang w:val="en-US" w:eastAsia="zh-CN"/>
        </w:rPr>
        <w:t>2</w:t>
      </w:r>
      <w:r>
        <w:rPr>
          <w:rFonts w:hint="default" w:ascii="Times New Roman" w:hAnsi="Times New Roman"/>
        </w:rPr>
        <w:t>号</w:t>
      </w:r>
      <w:r>
        <w:rPr>
          <w:rFonts w:hint="eastAsia" w:ascii="Times New Roman" w:hAnsi="Times New Roman"/>
          <w:lang w:eastAsia="zh-CN"/>
        </w:rPr>
        <w:t>）</w:t>
      </w:r>
    </w:p>
    <w:p w14:paraId="501D2B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ascii="Times New Roman" w:hAnsi="Times New Roman"/>
        </w:rPr>
      </w:pPr>
    </w:p>
    <w:p w14:paraId="53B127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ascii="Times New Roman" w:hAnsi="Times New Roman"/>
        </w:rPr>
      </w:pPr>
    </w:p>
    <w:bookmarkEnd w:id="0"/>
    <w:p w14:paraId="42EF7DFB">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重庆市人民政府口岸和物流办公室</w:t>
      </w:r>
    </w:p>
    <w:p w14:paraId="52DF2A88">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关于公开征求《支持重庆市物流枢纽经济区</w:t>
      </w:r>
    </w:p>
    <w:p w14:paraId="5007073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高质量发展若干政策措施（征求意见稿）》</w:t>
      </w:r>
    </w:p>
    <w:p w14:paraId="59773B7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意见的公告</w:t>
      </w:r>
    </w:p>
    <w:p w14:paraId="25178377">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p>
    <w:p w14:paraId="2FF7697B">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为深入贯彻习近平总书记视察重庆重要讲话重要指示精神，落实党中央、国务院关于建设现代流通体系、降低全社会物流成本的决策部署，按照重庆市委、市政府打造内陆开放综合枢纽的整体安排以及建设物流枢纽经济区的相关要求，重庆市人民政府口岸和物流办公室牵头起草了《支持重庆市物流枢纽经济区高质量发展若干政策措施（征求意见稿）》，现面向社会公开征求意见。欢迎社会各界于2026年9月1</w:t>
      </w:r>
      <w:r>
        <w:rPr>
          <w:rFonts w:hint="eastAsia"/>
          <w:lang w:val="en-US" w:eastAsia="zh-CN"/>
        </w:rPr>
        <w:t>2</w:t>
      </w:r>
      <w:r>
        <w:rPr>
          <w:rFonts w:hint="eastAsia" w:ascii="Times New Roman" w:hAnsi="Times New Roman"/>
          <w:lang w:eastAsia="zh-CN"/>
        </w:rPr>
        <w:t>日前，通过以下途径和方式反馈意见和建议：</w:t>
      </w:r>
    </w:p>
    <w:p w14:paraId="3DBD2754">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一、通过信函方式将意见寄至：重庆市渝北区大竹林街道青竹东路16号（市政府口岸物流办）。</w:t>
      </w:r>
    </w:p>
    <w:p w14:paraId="57EFF572">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二、通过电子邮件将意见发送至1048801168@qq.com。</w:t>
      </w:r>
    </w:p>
    <w:p w14:paraId="66602F41">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imes New Roman" w:hAnsi="Times New Roman"/>
          <w:spacing w:val="-6"/>
          <w:lang w:eastAsia="zh-CN"/>
        </w:rPr>
      </w:pPr>
      <w:r>
        <w:rPr>
          <w:rFonts w:hint="eastAsia" w:ascii="Times New Roman" w:hAnsi="Times New Roman"/>
          <w:spacing w:val="-6"/>
          <w:lang w:eastAsia="zh-CN"/>
        </w:rPr>
        <w:t>感谢社会各界人士对重庆市物流枢纽经济区建设工作的支持！</w:t>
      </w:r>
    </w:p>
    <w:p w14:paraId="33E6AC9B">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特此公告。</w:t>
      </w:r>
    </w:p>
    <w:p w14:paraId="2C15B5D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p>
    <w:p w14:paraId="3B4CF456">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附件：支持重庆市物流枢纽经济区高质量发展若干政策措施</w:t>
      </w:r>
    </w:p>
    <w:p w14:paraId="17F6B16F">
      <w:pPr>
        <w:keepNext w:val="0"/>
        <w:keepLines w:val="0"/>
        <w:pageBreakBefore w:val="0"/>
        <w:widowControl w:val="0"/>
        <w:kinsoku/>
        <w:wordWrap/>
        <w:overflowPunct/>
        <w:topLinePunct w:val="0"/>
        <w:autoSpaceDE/>
        <w:autoSpaceDN/>
        <w:bidi w:val="0"/>
        <w:adjustRightInd/>
        <w:snapToGrid/>
        <w:ind w:firstLine="1580" w:firstLineChars="500"/>
        <w:textAlignment w:val="auto"/>
        <w:rPr>
          <w:rFonts w:hint="eastAsia" w:ascii="Times New Roman" w:hAnsi="Times New Roman"/>
          <w:lang w:eastAsia="zh-CN"/>
        </w:rPr>
      </w:pPr>
      <w:r>
        <w:rPr>
          <w:rFonts w:hint="eastAsia" w:ascii="Times New Roman" w:hAnsi="Times New Roman"/>
          <w:lang w:eastAsia="zh-CN"/>
        </w:rPr>
        <w:t>（征求意见稿）</w:t>
      </w:r>
    </w:p>
    <w:p w14:paraId="7CC60218">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p>
    <w:p w14:paraId="2ED4B61B">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p>
    <w:p w14:paraId="0D4846F9">
      <w:pPr>
        <w:keepNext w:val="0"/>
        <w:keepLines w:val="0"/>
        <w:pageBreakBefore w:val="0"/>
        <w:widowControl w:val="0"/>
        <w:kinsoku/>
        <w:wordWrap/>
        <w:overflowPunct/>
        <w:topLinePunct w:val="0"/>
        <w:autoSpaceDE/>
        <w:autoSpaceDN/>
        <w:bidi w:val="0"/>
        <w:adjustRightInd/>
        <w:snapToGrid/>
        <w:ind w:right="101" w:rightChars="32" w:firstLine="632" w:firstLineChars="200"/>
        <w:jc w:val="right"/>
        <w:textAlignment w:val="auto"/>
        <w:rPr>
          <w:rFonts w:hint="eastAsia" w:ascii="Times New Roman" w:hAnsi="Times New Roman"/>
          <w:lang w:eastAsia="zh-CN"/>
        </w:rPr>
      </w:pPr>
      <w:r>
        <w:rPr>
          <w:rFonts w:hint="eastAsia" w:ascii="Times New Roman" w:hAnsi="Times New Roman"/>
          <w:lang w:eastAsia="zh-CN"/>
        </w:rPr>
        <w:t>重庆市人民政府口岸和物流办公室</w:t>
      </w:r>
    </w:p>
    <w:p w14:paraId="7E694422">
      <w:pPr>
        <w:keepNext w:val="0"/>
        <w:keepLines w:val="0"/>
        <w:pageBreakBefore w:val="0"/>
        <w:widowControl w:val="0"/>
        <w:kinsoku/>
        <w:wordWrap/>
        <w:overflowPunct/>
        <w:topLinePunct w:val="0"/>
        <w:autoSpaceDE/>
        <w:autoSpaceDN/>
        <w:bidi w:val="0"/>
        <w:adjustRightInd/>
        <w:snapToGrid/>
        <w:ind w:right="1264" w:rightChars="400" w:firstLine="1264" w:firstLineChars="400"/>
        <w:jc w:val="right"/>
        <w:textAlignment w:val="auto"/>
        <w:rPr>
          <w:rFonts w:hint="eastAsia" w:ascii="Times New Roman" w:hAnsi="Times New Roman"/>
          <w:lang w:eastAsia="zh-CN"/>
        </w:rPr>
      </w:pPr>
      <w:r>
        <w:rPr>
          <w:rFonts w:hint="eastAsia" w:ascii="Times New Roman" w:hAnsi="Times New Roman"/>
          <w:lang w:eastAsia="zh-CN"/>
        </w:rPr>
        <w:t>2026年9月</w:t>
      </w:r>
      <w:r>
        <w:rPr>
          <w:rFonts w:hint="eastAsia"/>
          <w:lang w:val="en-US" w:eastAsia="zh-CN"/>
        </w:rPr>
        <w:t>4</w:t>
      </w:r>
      <w:bookmarkStart w:id="1" w:name="_GoBack"/>
      <w:bookmarkEnd w:id="1"/>
      <w:r>
        <w:rPr>
          <w:rFonts w:hint="eastAsia" w:ascii="Times New Roman" w:hAnsi="Times New Roman"/>
          <w:lang w:eastAsia="zh-CN"/>
        </w:rPr>
        <w:t>日</w:t>
      </w:r>
    </w:p>
    <w:p w14:paraId="021C7054">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（联系人：孙老师；联系电话：19922835585）</w:t>
      </w:r>
    </w:p>
    <w:p w14:paraId="5490285D">
      <w:pPr>
        <w:rPr>
          <w:rFonts w:hint="eastAsia" w:ascii="Times New Roman" w:hAnsi="Times New Roman"/>
          <w:lang w:eastAsia="zh-CN"/>
        </w:rPr>
      </w:pPr>
      <w:r>
        <w:rPr>
          <w:rFonts w:hint="eastAsia" w:ascii="Times New Roman" w:hAnsi="Times New Roman"/>
          <w:lang w:eastAsia="zh-CN"/>
        </w:rPr>
        <w:br w:type="page"/>
      </w:r>
    </w:p>
    <w:p w14:paraId="5E205619">
      <w:pPr>
        <w:rPr>
          <w:rFonts w:hint="eastAsia" w:ascii="Times New Roman" w:hAnsi="Times New Roman" w:eastAsia="方正黑体_GBK" w:cs="方正黑体_GBK"/>
          <w:lang w:eastAsia="zh-CN"/>
        </w:rPr>
      </w:pPr>
      <w:r>
        <w:rPr>
          <w:rFonts w:hint="eastAsia" w:ascii="Times New Roman" w:hAnsi="Times New Roman" w:eastAsia="方正黑体_GBK" w:cs="方正黑体_GBK"/>
          <w:lang w:eastAsia="zh-CN"/>
        </w:rPr>
        <w:t>附件</w:t>
      </w:r>
    </w:p>
    <w:p w14:paraId="6227129A">
      <w:pPr>
        <w:rPr>
          <w:rFonts w:hint="eastAsia" w:ascii="Times New Roman" w:hAnsi="Times New Roman" w:eastAsia="方正黑体_GBK" w:cs="方正黑体_GBK"/>
          <w:lang w:eastAsia="zh-CN"/>
        </w:rPr>
      </w:pPr>
    </w:p>
    <w:p w14:paraId="5C50850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支持重庆市物流枢纽经济区高质量发展</w:t>
      </w:r>
    </w:p>
    <w:p w14:paraId="6DA8147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若干政策措施</w:t>
      </w:r>
    </w:p>
    <w:p w14:paraId="691C5745">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（征求意见稿）</w:t>
      </w:r>
    </w:p>
    <w:p w14:paraId="36B2CC7B">
      <w:pPr>
        <w:rPr>
          <w:rFonts w:hint="eastAsia" w:ascii="Times New Roman" w:hAnsi="Times New Roman" w:eastAsia="方正黑体_GBK" w:cs="方正黑体_GBK"/>
          <w:lang w:eastAsia="zh-CN"/>
        </w:rPr>
      </w:pPr>
    </w:p>
    <w:p w14:paraId="34A4A5C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为深入贯彻落实习近平总书记视察重庆重要讲话重要指示精神，持续放大西部陆海新通道牵引作用，加快构建“通道+枢纽+产业”融合互促、协同发展格局，推动建设具有全国影响力和重庆辨识度的物流枢纽经济区，支撑重庆打造内陆开放综合枢纽，制定以下政策措施。</w:t>
      </w:r>
    </w:p>
    <w:p w14:paraId="6887B908">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黑体_GBK" w:cs="方正黑体_GBK"/>
          <w:lang w:eastAsia="zh-CN"/>
        </w:rPr>
      </w:pPr>
      <w:r>
        <w:rPr>
          <w:rFonts w:hint="eastAsia" w:ascii="Times New Roman" w:hAnsi="Times New Roman" w:eastAsia="方正黑体_GBK" w:cs="方正黑体_GBK"/>
          <w:lang w:eastAsia="zh-CN"/>
        </w:rPr>
        <w:t>一、壮大产业集群，提升产业链供应链韧性</w:t>
      </w:r>
    </w:p>
    <w:p w14:paraId="2A823508">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lang w:eastAsia="zh-CN"/>
        </w:rPr>
        <w:t>1．支持新一代电子信息制造业延链增值。</w:t>
      </w:r>
      <w:r>
        <w:rPr>
          <w:rFonts w:hint="eastAsia" w:ascii="Times New Roman" w:hAnsi="Times New Roman"/>
          <w:lang w:eastAsia="zh-CN"/>
        </w:rPr>
        <w:t>重点围绕智能终端、集成电路等领域，强化上下游协同攻关与供需对接，支持存储芯片生产企业向智能终端企业提供紧缺产品，支持从基础元器件、核心部件研发生产到终端产品设计制造全链条产业发展。支持集成电路设计企业加快流片验证，构建“芯片设计—晶圆制造—封装测试—原材料配套”全链条生态。</w:t>
      </w:r>
      <w:r>
        <w:rPr>
          <w:rFonts w:hint="eastAsia" w:ascii="Times New Roman" w:hAnsi="Times New Roman" w:eastAsia="方正楷体_GBK" w:cs="方正楷体_GBK"/>
          <w:szCs w:val="22"/>
          <w:lang w:eastAsia="zh-CN"/>
        </w:rPr>
        <w:t>（责任单位：市经济信息委、市政府口岸物流办）</w:t>
      </w:r>
    </w:p>
    <w:p w14:paraId="69751DF8">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2．支持先进材料产业提质扩能。</w:t>
      </w:r>
      <w:r>
        <w:rPr>
          <w:rFonts w:hint="eastAsia" w:ascii="Times New Roman" w:hAnsi="Times New Roman"/>
          <w:lang w:eastAsia="zh-CN"/>
        </w:rPr>
        <w:t>重点围绕轻合金、铜材料、新能源材料三大领域，支持以应用需求为牵引，打造从先进材料研发生产到终端应用的特色新材料产业。支持企业通过“人工智能+新材料研发制造”新模式在合金材料、纤维及复合材料开展全环节落地应用，形成新材料标志性产业成果。支持企业关键技术、高端设备及零部件免征进口关税。</w:t>
      </w:r>
      <w:r>
        <w:rPr>
          <w:rFonts w:hint="eastAsia" w:ascii="Times New Roman" w:hAnsi="Times New Roman" w:eastAsia="方正楷体_GBK" w:cs="方正楷体_GBK"/>
          <w:szCs w:val="22"/>
          <w:lang w:eastAsia="zh-CN"/>
        </w:rPr>
        <w:t>（责任单位：市经济信息委、市政府口岸物流办、重庆海关）</w:t>
      </w:r>
    </w:p>
    <w:p w14:paraId="6E818EF7">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3．支持智能制造及装备产业补链成群。</w:t>
      </w:r>
      <w:r>
        <w:rPr>
          <w:rFonts w:hint="eastAsia" w:ascii="Times New Roman" w:hAnsi="Times New Roman"/>
          <w:lang w:eastAsia="zh-CN"/>
        </w:rPr>
        <w:t>重点围绕低碳智能冶金、通机农机、内河船舶、能源装备、特色空天、光伏及医疗器械等领域，支持打造从核心零部件到成套设备的智能制造及装备产业集群。支持经认定的首台（套）产品首购首用。</w:t>
      </w:r>
      <w:r>
        <w:rPr>
          <w:rFonts w:hint="eastAsia" w:ascii="Times New Roman" w:hAnsi="Times New Roman" w:eastAsia="方正楷体_GBK" w:cs="方正楷体_GBK"/>
          <w:szCs w:val="22"/>
          <w:lang w:eastAsia="zh-CN"/>
        </w:rPr>
        <w:t>（责任单位：市经济信息委、市政府口岸物流办）</w:t>
      </w:r>
    </w:p>
    <w:p w14:paraId="081BC6FA">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4．支持汽车摩托车产业提质转型。</w:t>
      </w:r>
      <w:r>
        <w:rPr>
          <w:rFonts w:hint="eastAsia" w:ascii="Times New Roman" w:hAnsi="Times New Roman"/>
          <w:lang w:eastAsia="zh-CN"/>
        </w:rPr>
        <w:t>鼓励围绕智能网联新能源汽车和高端摩托车，推动关键核心技术攻关和产品结构优化升级。支持商用车企向智能网联新能源方向转型升级，推动新能源商用车整车及其关键零部件获得出口目标国家（地区）认证。</w:t>
      </w:r>
      <w:r>
        <w:rPr>
          <w:rFonts w:hint="eastAsia" w:ascii="Times New Roman" w:hAnsi="Times New Roman" w:eastAsia="方正楷体_GBK" w:cs="方正楷体_GBK"/>
          <w:szCs w:val="22"/>
          <w:lang w:eastAsia="zh-CN"/>
        </w:rPr>
        <w:t>（责任单位：市经济信息委、市政府口岸物流办）</w:t>
      </w:r>
    </w:p>
    <w:p w14:paraId="1E0C92BA">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5．支持现代物流与供应链产业集聚壮大。</w:t>
      </w:r>
      <w:r>
        <w:rPr>
          <w:rFonts w:hint="eastAsia" w:ascii="Times New Roman" w:hAnsi="Times New Roman"/>
          <w:lang w:eastAsia="zh-CN"/>
        </w:rPr>
        <w:t>支持引进和培育具备门到门全程服务能力的物流及供应链龙头企业，带动上下游企业协同集聚。鼓励制造业企业剥离物流业务，成立专业化物流公司，开展进出项物流服务。支持产品出海，提升集并分拨能力，鼓励商品车公共共享班轮开行，强化运力保障。</w:t>
      </w:r>
      <w:r>
        <w:rPr>
          <w:rFonts w:hint="eastAsia" w:ascii="Times New Roman" w:hAnsi="Times New Roman" w:eastAsia="方正楷体_GBK" w:cs="方正楷体_GBK"/>
          <w:szCs w:val="22"/>
          <w:lang w:eastAsia="zh-CN"/>
        </w:rPr>
        <w:t>（责任单位：市政府口岸物流办、市发展改革委、市经济信息委）</w:t>
      </w:r>
    </w:p>
    <w:p w14:paraId="33726309">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6．支持产业链供应链协同场景建设。</w:t>
      </w:r>
      <w:r>
        <w:rPr>
          <w:rFonts w:hint="eastAsia" w:ascii="Times New Roman" w:hAnsi="Times New Roman"/>
          <w:lang w:eastAsia="zh-CN"/>
        </w:rPr>
        <w:t>支持紧扣产业进出项物流需求，通过新产品、新技术、新模式的应用搭建应用场景，带动上下游补链强链、降低进出项物流成本。支持具备条件的市场主体开放场景资源和场景机会，促进场景开放协同共享。支持综保区发展保税租赁、维修、检测、研发，整车及KD件集散分拨等新业态，丰富场景建设内涵。支持各片区将临空、临港、临铁等枢纽优势转化为场景资源，大力发展具有区域特色的枢纽偏好型产业。</w:t>
      </w:r>
      <w:r>
        <w:rPr>
          <w:rFonts w:hint="eastAsia" w:ascii="Times New Roman" w:hAnsi="Times New Roman" w:eastAsia="方正楷体_GBK" w:cs="方正楷体_GBK"/>
          <w:szCs w:val="22"/>
          <w:lang w:eastAsia="zh-CN"/>
        </w:rPr>
        <w:t>（责任单位：市政府口岸物流办、重庆海关）</w:t>
      </w:r>
    </w:p>
    <w:p w14:paraId="0646DBBE">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黑体_GBK" w:cs="方正黑体_GBK"/>
          <w:szCs w:val="22"/>
          <w:lang w:eastAsia="zh-CN"/>
        </w:rPr>
      </w:pPr>
      <w:r>
        <w:rPr>
          <w:rFonts w:hint="eastAsia" w:ascii="Times New Roman" w:hAnsi="Times New Roman" w:eastAsia="方正黑体_GBK" w:cs="方正黑体_GBK"/>
          <w:szCs w:val="22"/>
          <w:lang w:eastAsia="zh-CN"/>
        </w:rPr>
        <w:t>二、强化科技创新策源，促进成果高效转化</w:t>
      </w:r>
    </w:p>
    <w:p w14:paraId="048CFCE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7．支持优质创新资源集聚。</w:t>
      </w:r>
      <w:r>
        <w:rPr>
          <w:rFonts w:hint="eastAsia" w:ascii="Times New Roman" w:hAnsi="Times New Roman"/>
          <w:lang w:eastAsia="zh-CN"/>
        </w:rPr>
        <w:t>重点对接“20+”战略引领创新平台布局，支持各类高能级创新平台建设，推动数智科技、生命健康、新材料和绿色低碳发展领域创新资源聚集。在项目审批、人才引进、资源保障、数据调用、资金配套等方面提供一站式集成服务、全要素精准匹配。</w:t>
      </w:r>
      <w:r>
        <w:rPr>
          <w:rFonts w:hint="eastAsia" w:ascii="Times New Roman" w:hAnsi="Times New Roman" w:eastAsia="方正楷体_GBK" w:cs="方正楷体_GBK"/>
          <w:szCs w:val="22"/>
          <w:lang w:eastAsia="zh-CN"/>
        </w:rPr>
        <w:t>（责任单位：市科技局、市经济信息委、市政府口岸物流办）</w:t>
      </w:r>
    </w:p>
    <w:p w14:paraId="0CE86F1C">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8．支持核心技术攻关突破。</w:t>
      </w:r>
      <w:r>
        <w:rPr>
          <w:rFonts w:hint="eastAsia" w:ascii="Times New Roman" w:hAnsi="Times New Roman"/>
          <w:lang w:eastAsia="zh-CN"/>
        </w:rPr>
        <w:t>重点对接“30+”关键突破方向，围绕主导产业集群体系技术痛点堵点，鼓励推广应用“揭榜挂帅”、链主制等项目组织方式，实施关键核心共性技术攻关。鼓励产业技术协同攻关、科技成果转化应用、智能化改造等，推动科技创新与产业创新深度融合。对有望产出重大标志性成果的项目，推荐申报国家重大科技专项并按规定给予支持。支持科研主体用好进口科研仪器税收优惠政策，允许进口享惠科研仪器在不同主体间共用，提升使用效率。</w:t>
      </w:r>
      <w:r>
        <w:rPr>
          <w:rFonts w:hint="eastAsia" w:ascii="Times New Roman" w:hAnsi="Times New Roman" w:eastAsia="方正楷体_GBK" w:cs="方正楷体_GBK"/>
          <w:szCs w:val="22"/>
          <w:lang w:eastAsia="zh-CN"/>
        </w:rPr>
        <w:t>（责任单位：市科技局、市经济信息委、市政府口岸物流办、重庆海关）</w:t>
      </w:r>
    </w:p>
    <w:p w14:paraId="76FE4513">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9．支持科技成果转化孵化。</w:t>
      </w:r>
      <w:r>
        <w:rPr>
          <w:rFonts w:hint="eastAsia" w:ascii="Times New Roman" w:hAnsi="Times New Roman"/>
          <w:lang w:eastAsia="zh-CN"/>
        </w:rPr>
        <w:t>重点对接“60+”重大标志性成果产出要求，推广“楼上创新、楼下创业”模式，支持概念验证中心、中试验证基地为各类主体提供工程化与产品化熟化验证服务。支持“产业大脑+未来工厂”建设。</w:t>
      </w:r>
      <w:r>
        <w:rPr>
          <w:rFonts w:hint="eastAsia" w:ascii="Times New Roman" w:hAnsi="Times New Roman" w:eastAsia="方正楷体_GBK" w:cs="方正楷体_GBK"/>
          <w:szCs w:val="22"/>
          <w:lang w:eastAsia="zh-CN"/>
        </w:rPr>
        <w:t>（责任单位：市科技局、市经济信息委、市政府口岸物流办）</w:t>
      </w:r>
    </w:p>
    <w:p w14:paraId="1942846E">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黑体_GBK" w:cs="方正黑体_GBK"/>
          <w:szCs w:val="22"/>
          <w:lang w:eastAsia="zh-CN"/>
        </w:rPr>
      </w:pPr>
      <w:r>
        <w:rPr>
          <w:rFonts w:hint="eastAsia" w:ascii="Times New Roman" w:hAnsi="Times New Roman" w:eastAsia="方正黑体_GBK" w:cs="方正黑体_GBK"/>
          <w:szCs w:val="22"/>
          <w:lang w:eastAsia="zh-CN"/>
        </w:rPr>
        <w:t>三、构建现代化集疏运体系，加快融入国家物流网建设</w:t>
      </w:r>
    </w:p>
    <w:p w14:paraId="293BAAE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10．支持集疏运基础设施补短提能。</w:t>
      </w:r>
      <w:r>
        <w:rPr>
          <w:rFonts w:hint="eastAsia" w:ascii="Times New Roman" w:hAnsi="Times New Roman"/>
          <w:lang w:eastAsia="zh-CN"/>
        </w:rPr>
        <w:t>积极争取地方政府专项债券、超长期特别国债、中央预算内投资等资金支持，用于集疏运基础设施补短板和关键产业培育。支持港口铁路专用线、集疏运道路、货运衔接通道、园区产业专线等物流网“最后一公里”项目建设，推动物流枢纽节点组网运行。支持物流枢纽能级提升及基础设施改造。</w:t>
      </w:r>
      <w:r>
        <w:rPr>
          <w:rFonts w:hint="eastAsia" w:ascii="Times New Roman" w:hAnsi="Times New Roman" w:eastAsia="方正楷体_GBK" w:cs="方正楷体_GBK"/>
          <w:szCs w:val="22"/>
          <w:lang w:eastAsia="zh-CN"/>
        </w:rPr>
        <w:t>（责任单位：市发展改革委、市财政局、市交通运输委、市政府口岸物流办）</w:t>
      </w:r>
    </w:p>
    <w:p w14:paraId="63354B1D">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11．支持物流通道建设与运营增效。</w:t>
      </w:r>
      <w:r>
        <w:rPr>
          <w:rFonts w:hint="eastAsia" w:ascii="Times New Roman" w:hAnsi="Times New Roman"/>
          <w:lang w:eastAsia="zh-CN"/>
        </w:rPr>
        <w:t>鼓励培育“一单制”提单签发企业，支持“一单制”国际联运专线示范推广。支持水水中转、铁水联运、“小改大”业务，鼓励推广进出口货物海铁联运和水水中转多式联运监管模式。支持“公转水”“公转铁”等运输结构优化，打造沪渝快线、江海直达航线等长江精品航线产品。鼓励推行长江多式联运产品，保障三峡水运新通道工程实施期间运力畅通。支持无水港标准化、系统化建设。支持开行渝甬班列。支持企业设立外贸集装箱提还箱点，提升集装箱调度组织能力。</w:t>
      </w:r>
      <w:r>
        <w:rPr>
          <w:rFonts w:hint="eastAsia" w:ascii="Times New Roman" w:hAnsi="Times New Roman" w:eastAsia="方正楷体_GBK" w:cs="方正楷体_GBK"/>
          <w:szCs w:val="22"/>
          <w:lang w:eastAsia="zh-CN"/>
        </w:rPr>
        <w:t>（责任单位：市政府口岸物流办、重庆海关）</w:t>
      </w:r>
    </w:p>
    <w:p w14:paraId="6242AAE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12．支持物流装备智能化绿色化转型。</w:t>
      </w:r>
      <w:r>
        <w:rPr>
          <w:rFonts w:hint="eastAsia" w:ascii="Times New Roman" w:hAnsi="Times New Roman"/>
          <w:lang w:eastAsia="zh-CN"/>
        </w:rPr>
        <w:t>支持智能化仓储及物流装备的推广应用和改造。支持布局标准化、大功率充换电站和加氢站，推动重卡充换电站及加氢设施有效覆盖。</w:t>
      </w:r>
      <w:r>
        <w:rPr>
          <w:rFonts w:hint="eastAsia" w:ascii="Times New Roman" w:hAnsi="Times New Roman" w:eastAsia="方正楷体_GBK" w:cs="方正楷体_GBK"/>
          <w:szCs w:val="22"/>
          <w:lang w:eastAsia="zh-CN"/>
        </w:rPr>
        <w:t>（责任单位：市政府口岸物流办、市经济信息委）</w:t>
      </w:r>
    </w:p>
    <w:p w14:paraId="4D2A560B">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黑体_GBK" w:cs="方正黑体_GBK"/>
          <w:szCs w:val="22"/>
          <w:lang w:eastAsia="zh-CN"/>
        </w:rPr>
      </w:pPr>
      <w:r>
        <w:rPr>
          <w:rFonts w:hint="eastAsia" w:ascii="Times New Roman" w:hAnsi="Times New Roman" w:eastAsia="方正黑体_GBK" w:cs="方正黑体_GBK"/>
          <w:szCs w:val="22"/>
          <w:lang w:eastAsia="zh-CN"/>
        </w:rPr>
        <w:t>四、优化综合服务供给，打造国际一流营商环境</w:t>
      </w:r>
    </w:p>
    <w:p w14:paraId="22D4216A">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13．支持金融服务提级增能。</w:t>
      </w:r>
      <w:r>
        <w:rPr>
          <w:rFonts w:hint="eastAsia" w:ascii="Times New Roman" w:hAnsi="Times New Roman"/>
          <w:lang w:eastAsia="zh-CN"/>
        </w:rPr>
        <w:t>用好金融支持加快西部陆海新通道建设及财政金融联动政策，支持金融对外开放创新政策在物流枢纽经济区先行先试，鼓励金融机构创新产品和服务，加大对物流枢纽经济区企业融资支持力度，持续完善信贷、担保、保险、租赁等配套金融服务体系。深入开展跨境人民币贸易投资便利化试点，支持物流枢纽经济区企业扩大人民币跨境使用规模。支持“一单制”提单融资贴息，拓展“一单制”金融属性，鼓励将符合条件的“一单制”贷款纳入“政银担”风险补偿资金池支持范围。支持符合条件的生产贸易企业申请设立大宗商品交割仓（厂）库。</w:t>
      </w:r>
      <w:r>
        <w:rPr>
          <w:rFonts w:hint="eastAsia" w:ascii="Times New Roman" w:hAnsi="Times New Roman" w:eastAsia="方正楷体_GBK" w:cs="方正楷体_GBK"/>
          <w:szCs w:val="22"/>
          <w:lang w:eastAsia="zh-CN"/>
        </w:rPr>
        <w:t>（责任单位：市委金融办、市财政局、市经济信息委、市政府口岸物流办、重庆金融监管局、人行重庆市分行）</w:t>
      </w:r>
    </w:p>
    <w:p w14:paraId="6C392E01">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14．支持外贸综合服务功能提质扩面。</w:t>
      </w:r>
      <w:r>
        <w:rPr>
          <w:rFonts w:hint="eastAsia" w:ascii="Times New Roman" w:hAnsi="Times New Roman"/>
          <w:lang w:eastAsia="zh-CN"/>
        </w:rPr>
        <w:t>优化口岸通关服务效能，鼓励监管模式创新，推广出口拼箱“先查验后装运”等通关便利化新模式。支持引导口岸场所经营单位降低口岸作业费用，对在重庆口岸海关查验无问题的外贸企业，免除吊装、移位、仓储费用等。支持打造“物流枢纽经济区”品牌，对外以品牌名义参加重大展会、论坛，对内以品牌名义为企业提供诉求处置和综合服务，提升品牌影响力和产业吸引力。鼓励企业深化与境外经贸园区合作，支持在重点国别布局海外服务体系，建设中间品贸易枢纽、进口分拨体系。</w:t>
      </w:r>
      <w:r>
        <w:rPr>
          <w:rFonts w:hint="eastAsia" w:ascii="Times New Roman" w:hAnsi="Times New Roman" w:eastAsia="方正楷体_GBK" w:cs="方正楷体_GBK"/>
          <w:szCs w:val="22"/>
          <w:lang w:eastAsia="zh-CN"/>
        </w:rPr>
        <w:t>（责任单位：市政府口岸物流办、市商务委、重庆海关）</w:t>
      </w:r>
    </w:p>
    <w:p w14:paraId="4907DEEA">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楷体_GBK" w:cs="方正楷体_GBK"/>
          <w:szCs w:val="22"/>
          <w:lang w:eastAsia="zh-CN"/>
        </w:rPr>
      </w:pPr>
      <w:r>
        <w:rPr>
          <w:rFonts w:hint="eastAsia" w:ascii="Times New Roman" w:hAnsi="Times New Roman" w:eastAsia="方正楷体_GBK" w:cs="方正楷体_GBK"/>
          <w:szCs w:val="22"/>
          <w:lang w:eastAsia="zh-CN"/>
        </w:rPr>
        <w:t>15．支持平台经济赋能产业发展。</w:t>
      </w:r>
      <w:r>
        <w:rPr>
          <w:rFonts w:hint="eastAsia" w:ascii="Times New Roman" w:hAnsi="Times New Roman"/>
          <w:lang w:eastAsia="zh-CN"/>
        </w:rPr>
        <w:t>支持市场主体打造产业链供应链协同平台，解决产业共性问题。支持发展国际市场开拓、检验检测、管理咨询、跨境财税、法律合规、知识产权等第三方专业服务平台，为企业提供全生命周期支撑。支持西部陆海新通道综合服务体系建设，引导国家级、区域级、企业级相关场景或数据接入数字陆海新通道应用，鼓励AI+应用场景建设、支持航贸数字化等区块链存证流转。</w:t>
      </w:r>
      <w:r>
        <w:rPr>
          <w:rFonts w:hint="eastAsia" w:ascii="Times New Roman" w:hAnsi="Times New Roman" w:eastAsia="方正楷体_GBK" w:cs="方正楷体_GBK"/>
          <w:szCs w:val="22"/>
          <w:lang w:eastAsia="zh-CN"/>
        </w:rPr>
        <w:t>（责任单位：市政府口岸物流办、市经济信息委）</w:t>
      </w:r>
    </w:p>
    <w:p w14:paraId="42136074">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黑体_GBK" w:cs="方正黑体_GBK"/>
          <w:szCs w:val="22"/>
          <w:lang w:eastAsia="zh-CN"/>
        </w:rPr>
      </w:pPr>
      <w:r>
        <w:rPr>
          <w:rFonts w:hint="eastAsia" w:ascii="Times New Roman" w:hAnsi="Times New Roman" w:eastAsia="方正黑体_GBK" w:cs="方正黑体_GBK"/>
          <w:szCs w:val="22"/>
          <w:lang w:eastAsia="zh-CN"/>
        </w:rPr>
        <w:t>五、强化要素精准保障，夯实枢纽经济承载能力</w:t>
      </w:r>
    </w:p>
    <w:p w14:paraId="04EE6FD4">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楷体_GBK" w:cs="方正楷体_GBK"/>
          <w:lang w:eastAsia="zh-CN"/>
        </w:rPr>
      </w:pPr>
      <w:r>
        <w:rPr>
          <w:rFonts w:hint="eastAsia" w:ascii="Times New Roman" w:hAnsi="Times New Roman" w:eastAsia="方正楷体_GBK" w:cs="方正楷体_GBK"/>
          <w:szCs w:val="22"/>
          <w:lang w:eastAsia="zh-CN"/>
        </w:rPr>
        <w:t>16．支持探索财政资金赋能枢纽发展。</w:t>
      </w:r>
      <w:r>
        <w:rPr>
          <w:rFonts w:hint="eastAsia" w:ascii="Times New Roman" w:hAnsi="Times New Roman"/>
          <w:lang w:eastAsia="zh-CN"/>
        </w:rPr>
        <w:t>创新财政资金投入方式，充分发挥财政资金的杠杆撬动效应，引导带动社会资本参与物流枢纽经济区重点产业、重大项目投资布局，构建多元化投融资支撑体系。</w:t>
      </w:r>
      <w:r>
        <w:rPr>
          <w:rFonts w:hint="eastAsia" w:ascii="Times New Roman" w:hAnsi="Times New Roman" w:eastAsia="方正楷体_GBK" w:cs="方正楷体_GBK"/>
          <w:lang w:eastAsia="zh-CN"/>
        </w:rPr>
        <w:t>（责任单位：市财政局、市政府口岸物流办）</w:t>
      </w:r>
    </w:p>
    <w:p w14:paraId="1918CF9F">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方正楷体_GBK" w:cs="方正楷体_GBK"/>
          <w:szCs w:val="22"/>
          <w:lang w:eastAsia="zh-CN"/>
        </w:rPr>
      </w:pPr>
      <w:r>
        <w:rPr>
          <w:rFonts w:hint="eastAsia" w:ascii="Times New Roman" w:hAnsi="Times New Roman" w:eastAsia="方正楷体_GBK" w:cs="方正楷体_GBK"/>
          <w:szCs w:val="22"/>
          <w:lang w:eastAsia="zh-CN"/>
        </w:rPr>
        <w:t>17．支持载体要素高效供给。</w:t>
      </w:r>
      <w:r>
        <w:rPr>
          <w:rFonts w:hint="eastAsia" w:ascii="Times New Roman" w:hAnsi="Times New Roman"/>
          <w:lang w:eastAsia="zh-CN"/>
        </w:rPr>
        <w:t>鼓励各片区强化用地保障，提速重点项目落地。推行工业用地弹性年期出让、先租后让、租让结合等灵活供地方式，将“标准地”模式推广至物流仓储用地。鼓励各片区梳理盘活闲置土地、厂房、仓库、楼宇等存量载体。探索工业、物流配套费分类定标征收。</w:t>
      </w:r>
      <w:r>
        <w:rPr>
          <w:rFonts w:hint="eastAsia" w:ascii="Times New Roman" w:hAnsi="Times New Roman" w:eastAsia="方正楷体_GBK" w:cs="方正楷体_GBK"/>
          <w:szCs w:val="22"/>
          <w:lang w:eastAsia="zh-CN"/>
        </w:rPr>
        <w:t>（责任单位：市规划自然资源局、市财政局、市住房城乡建委、市政府口岸物流办）</w:t>
      </w:r>
    </w:p>
    <w:p w14:paraId="0C7F3929">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eastAsia="方正楷体_GBK" w:cs="方正楷体_GBK"/>
          <w:szCs w:val="22"/>
          <w:lang w:eastAsia="zh-CN"/>
        </w:rPr>
        <w:t>18．支持人才服务体系建设。</w:t>
      </w:r>
      <w:r>
        <w:rPr>
          <w:rFonts w:hint="eastAsia" w:ascii="Times New Roman" w:hAnsi="Times New Roman"/>
          <w:lang w:eastAsia="zh-CN"/>
        </w:rPr>
        <w:t>支持符合条件的人才申报市级人才计划，依法依规落实生活补助、科研经费等待遇。支持重点用人单位开展人才自主认定试点。对认定为新重庆人才的，按规定可享受医疗、旅游等人才服务。</w:t>
      </w:r>
      <w:r>
        <w:rPr>
          <w:rFonts w:hint="eastAsia" w:ascii="Times New Roman" w:hAnsi="Times New Roman" w:eastAsia="方正楷体_GBK" w:cs="方正楷体_GBK"/>
          <w:szCs w:val="22"/>
          <w:lang w:eastAsia="zh-CN"/>
        </w:rPr>
        <w:t>（责任单位：市人力社保局、市委组织部）</w:t>
      </w:r>
    </w:p>
    <w:p w14:paraId="3AF5FEE7">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lang w:eastAsia="zh-CN"/>
        </w:rPr>
      </w:pPr>
      <w:r>
        <w:rPr>
          <w:rFonts w:hint="eastAsia" w:ascii="Times New Roman" w:hAnsi="Times New Roman"/>
          <w:lang w:eastAsia="zh-CN"/>
        </w:rPr>
        <w:t>本政策执行范围为重庆市物流枢纽经济区相关片区，自印发之日起施行，有效期三年。统筹安排专项资金，综合考虑场景建设、补链强链、要素保障、平台搭建等因素，根据评价结果加大支持力度。市级有关部门和相关区依法依规细化出台支持重庆市物流枢纽经济区的针对性政策。本政策与市级其他扶持政策重复、类同的，同一主体、同一项目按照“就高不就低、不重复享受”的原则执行。</w:t>
      </w:r>
    </w:p>
    <w:p w14:paraId="4F54183E">
      <w:pPr>
        <w:rPr>
          <w:rFonts w:hint="eastAsia" w:ascii="Times New Roman" w:hAnsi="Times New Roman"/>
          <w:lang w:eastAsia="zh-CN"/>
        </w:rPr>
      </w:pPr>
      <w:r>
        <w:rPr>
          <w:rFonts w:hint="eastAsia" w:ascii="Times New Roman" w:hAnsi="Times New Roman"/>
          <w:lang w:eastAsia="zh-CN"/>
        </w:rPr>
        <w:br w:type="page"/>
      </w:r>
    </w:p>
    <w:p w14:paraId="30470E2F">
      <w:pPr>
        <w:rPr>
          <w:rFonts w:hint="eastAsia" w:ascii="Times New Roman" w:hAnsi="Times New Roman"/>
          <w:lang w:val="en-US" w:eastAsia="zh-CN"/>
        </w:rPr>
      </w:pPr>
    </w:p>
    <w:p w14:paraId="3C67E6E5">
      <w:pPr>
        <w:pStyle w:val="14"/>
        <w:rPr>
          <w:rFonts w:hint="eastAsia" w:ascii="Times New Roman" w:hAnsi="Times New Roman"/>
          <w:lang w:val="en-US" w:eastAsia="zh-CN"/>
        </w:rPr>
      </w:pPr>
    </w:p>
    <w:p w14:paraId="6A253F43">
      <w:pPr>
        <w:rPr>
          <w:rFonts w:hint="eastAsia" w:ascii="Times New Roman" w:hAnsi="Times New Roman"/>
          <w:lang w:val="en-US" w:eastAsia="zh-CN"/>
        </w:rPr>
      </w:pPr>
    </w:p>
    <w:p w14:paraId="4F3A774A">
      <w:pPr>
        <w:pStyle w:val="14"/>
        <w:rPr>
          <w:rFonts w:hint="eastAsia" w:ascii="Times New Roman" w:hAnsi="Times New Roman"/>
          <w:lang w:val="en-US" w:eastAsia="zh-CN"/>
        </w:rPr>
      </w:pPr>
    </w:p>
    <w:p w14:paraId="6455BF1D">
      <w:pPr>
        <w:rPr>
          <w:rFonts w:hint="eastAsia" w:ascii="Times New Roman" w:hAnsi="Times New Roman"/>
          <w:lang w:val="en-US" w:eastAsia="zh-CN"/>
        </w:rPr>
      </w:pPr>
    </w:p>
    <w:p w14:paraId="1BD3CD56">
      <w:pPr>
        <w:pStyle w:val="14"/>
        <w:rPr>
          <w:rFonts w:hint="eastAsia" w:ascii="Times New Roman" w:hAnsi="Times New Roman"/>
          <w:lang w:val="en-US" w:eastAsia="zh-CN"/>
        </w:rPr>
      </w:pPr>
    </w:p>
    <w:p w14:paraId="00472B62">
      <w:pPr>
        <w:rPr>
          <w:rFonts w:hint="eastAsia" w:ascii="Times New Roman" w:hAnsi="Times New Roman"/>
          <w:lang w:val="en-US" w:eastAsia="zh-CN"/>
        </w:rPr>
      </w:pPr>
    </w:p>
    <w:p w14:paraId="53D7DA3B">
      <w:pPr>
        <w:pStyle w:val="14"/>
        <w:rPr>
          <w:rFonts w:hint="eastAsia" w:ascii="Times New Roman" w:hAnsi="Times New Roman"/>
          <w:lang w:val="en-US" w:eastAsia="zh-CN"/>
        </w:rPr>
      </w:pPr>
    </w:p>
    <w:p w14:paraId="5B00EAFB">
      <w:pPr>
        <w:rPr>
          <w:rFonts w:hint="eastAsia" w:ascii="Times New Roman" w:hAnsi="Times New Roman"/>
          <w:lang w:val="en-US" w:eastAsia="zh-CN"/>
        </w:rPr>
      </w:pPr>
    </w:p>
    <w:p w14:paraId="05DAFF4E">
      <w:pPr>
        <w:pStyle w:val="14"/>
        <w:rPr>
          <w:rFonts w:hint="eastAsia" w:ascii="Times New Roman" w:hAnsi="Times New Roman"/>
          <w:lang w:val="en-US" w:eastAsia="zh-CN"/>
        </w:rPr>
      </w:pPr>
    </w:p>
    <w:p w14:paraId="0AEEDEF3">
      <w:pPr>
        <w:rPr>
          <w:rFonts w:hint="eastAsia" w:ascii="Times New Roman" w:hAnsi="Times New Roman"/>
          <w:lang w:val="en-US" w:eastAsia="zh-CN"/>
        </w:rPr>
      </w:pPr>
    </w:p>
    <w:p w14:paraId="34359905">
      <w:pPr>
        <w:pStyle w:val="14"/>
        <w:rPr>
          <w:rFonts w:hint="eastAsia" w:ascii="Times New Roman" w:hAnsi="Times New Roman"/>
          <w:lang w:val="en-US" w:eastAsia="zh-CN"/>
        </w:rPr>
      </w:pPr>
    </w:p>
    <w:p w14:paraId="4DB4342E">
      <w:pPr>
        <w:rPr>
          <w:rFonts w:hint="eastAsia" w:ascii="Times New Roman" w:hAnsi="Times New Roman"/>
          <w:lang w:val="en-US" w:eastAsia="zh-CN"/>
        </w:rPr>
      </w:pPr>
    </w:p>
    <w:p w14:paraId="2B08926F">
      <w:pPr>
        <w:pStyle w:val="14"/>
        <w:rPr>
          <w:rFonts w:hint="eastAsia" w:ascii="Times New Roman" w:hAnsi="Times New Roman"/>
          <w:lang w:val="en-US" w:eastAsia="zh-CN"/>
        </w:rPr>
      </w:pPr>
    </w:p>
    <w:p w14:paraId="7E3BEA99">
      <w:pPr>
        <w:rPr>
          <w:rFonts w:hint="eastAsia" w:ascii="Times New Roman" w:hAnsi="Times New Roman"/>
          <w:lang w:val="en-US" w:eastAsia="zh-CN"/>
        </w:rPr>
      </w:pPr>
    </w:p>
    <w:p w14:paraId="0A03C9E8">
      <w:pPr>
        <w:pStyle w:val="14"/>
        <w:rPr>
          <w:rFonts w:hint="eastAsia" w:ascii="Times New Roman" w:hAnsi="Times New Roman"/>
          <w:lang w:val="en-US" w:eastAsia="zh-CN"/>
        </w:rPr>
      </w:pPr>
    </w:p>
    <w:p w14:paraId="0C14F799">
      <w:pPr>
        <w:rPr>
          <w:rFonts w:hint="eastAsia" w:ascii="Times New Roman" w:hAnsi="Times New Roman"/>
          <w:lang w:val="en-US" w:eastAsia="zh-CN"/>
        </w:rPr>
      </w:pPr>
    </w:p>
    <w:p w14:paraId="7A2829F9">
      <w:pPr>
        <w:pStyle w:val="14"/>
        <w:rPr>
          <w:rFonts w:hint="eastAsia" w:ascii="Times New Roman" w:hAnsi="Times New Roman"/>
          <w:lang w:val="en-US" w:eastAsia="zh-CN"/>
        </w:rPr>
      </w:pPr>
    </w:p>
    <w:p w14:paraId="47D682DC">
      <w:pPr>
        <w:pStyle w:val="14"/>
        <w:rPr>
          <w:rFonts w:hint="eastAsia" w:ascii="Times New Roman" w:hAnsi="Times New Roman"/>
          <w:lang w:val="en-US" w:eastAsia="zh-CN"/>
        </w:rPr>
      </w:pPr>
    </w:p>
    <w:p w14:paraId="007C5A34">
      <w:pPr>
        <w:pStyle w:val="2"/>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ascii="Times New Roman" w:hAnsi="Times New Roman"/>
          <w:lang w:val="en-US" w:eastAsia="zh-CN"/>
        </w:rPr>
      </w:pPr>
    </w:p>
    <w:p w14:paraId="35851FBB">
      <w:pPr>
        <w:pBdr>
          <w:top w:val="single" w:color="auto" w:sz="8" w:space="1"/>
          <w:left w:val="none" w:color="auto" w:sz="0" w:space="4"/>
          <w:bottom w:val="single" w:color="auto" w:sz="8" w:space="1"/>
          <w:right w:val="none" w:color="auto" w:sz="0" w:space="4"/>
          <w:between w:val="single" w:color="auto" w:sz="8" w:space="0"/>
        </w:pBdr>
        <w:adjustRightInd w:val="0"/>
        <w:ind w:firstLine="276" w:firstLineChars="100"/>
        <w:rPr>
          <w:rFonts w:hint="eastAsia" w:ascii="Times New Roman" w:hAnsi="Times New Roman"/>
          <w:lang w:eastAsia="zh-CN"/>
        </w:rPr>
      </w:pPr>
      <w:r>
        <w:rPr>
          <w:rFonts w:hint="default" w:ascii="Times New Roman" w:hAnsi="Times New Roman" w:cs="Times New Roman"/>
          <w:sz w:val="28"/>
          <w:szCs w:val="28"/>
          <w:u w:val="none"/>
        </w:rPr>
        <w:t xml:space="preserve">重庆市人民政府口岸和物流办公室     </w:t>
      </w:r>
      <w:r>
        <w:rPr>
          <w:rFonts w:hint="eastAsia" w:ascii="Times New Roman" w:hAnsi="Times New Roman" w:cs="Times New Roman"/>
          <w:sz w:val="28"/>
          <w:szCs w:val="28"/>
          <w:u w:val="none"/>
          <w:lang w:val="en-US" w:eastAsia="zh-CN"/>
        </w:rPr>
        <w:t xml:space="preserve"> </w:t>
      </w:r>
      <w:r>
        <w:rPr>
          <w:rFonts w:hint="default" w:ascii="Times New Roman" w:hAnsi="Times New Roman" w:cs="Times New Roman"/>
          <w:sz w:val="28"/>
          <w:szCs w:val="28"/>
          <w:u w:val="none"/>
        </w:rPr>
        <w:t xml:space="preserve">  </w:t>
      </w:r>
      <w:r>
        <w:rPr>
          <w:rFonts w:hint="eastAsia" w:ascii="Times New Roman" w:hAnsi="Times New Roman" w:cs="Times New Roman"/>
          <w:sz w:val="28"/>
          <w:szCs w:val="28"/>
          <w:u w:val="none"/>
          <w:lang w:val="en-US" w:eastAsia="zh-CN"/>
        </w:rPr>
        <w:t xml:space="preserve"> </w:t>
      </w:r>
      <w:r>
        <w:rPr>
          <w:rFonts w:hint="default" w:ascii="Times New Roman" w:hAnsi="Times New Roman" w:cs="Times New Roman"/>
          <w:sz w:val="28"/>
          <w:szCs w:val="28"/>
          <w:u w:val="none"/>
          <w:lang w:val="en-US" w:eastAsia="zh-CN"/>
        </w:rPr>
        <w:t xml:space="preserve"> </w:t>
      </w:r>
      <w:r>
        <w:rPr>
          <w:rFonts w:hint="eastAsia" w:ascii="Times New Roman" w:hAnsi="Times New Roman" w:cs="Times New Roman"/>
          <w:sz w:val="28"/>
          <w:szCs w:val="28"/>
          <w:u w:val="none"/>
          <w:lang w:val="en-US" w:eastAsia="zh-CN"/>
        </w:rPr>
        <w:t xml:space="preserve">  </w:t>
      </w:r>
      <w:r>
        <w:rPr>
          <w:rFonts w:hint="default" w:ascii="Times New Roman" w:hAnsi="Times New Roman" w:cs="Times New Roman"/>
          <w:sz w:val="28"/>
          <w:szCs w:val="28"/>
          <w:u w:val="none"/>
        </w:rPr>
        <w:t>202</w:t>
      </w:r>
      <w:r>
        <w:rPr>
          <w:rFonts w:hint="eastAsia" w:ascii="Times New Roman" w:hAnsi="Times New Roman" w:cs="Times New Roman"/>
          <w:sz w:val="28"/>
          <w:szCs w:val="28"/>
          <w:u w:val="none"/>
          <w:lang w:val="en-US" w:eastAsia="zh-CN"/>
        </w:rPr>
        <w:t>5</w:t>
      </w:r>
      <w:r>
        <w:rPr>
          <w:rFonts w:hint="default" w:ascii="Times New Roman" w:hAnsi="Times New Roman" w:cs="Times New Roman"/>
          <w:sz w:val="28"/>
          <w:szCs w:val="28"/>
          <w:u w:val="none"/>
        </w:rPr>
        <w:t>年</w:t>
      </w:r>
      <w:r>
        <w:rPr>
          <w:rFonts w:hint="eastAsia" w:ascii="Times New Roman" w:hAnsi="Times New Roman" w:cs="Times New Roman"/>
          <w:sz w:val="28"/>
          <w:szCs w:val="28"/>
          <w:u w:val="none"/>
          <w:lang w:val="en-US" w:eastAsia="zh-CN"/>
        </w:rPr>
        <w:t>9</w:t>
      </w:r>
      <w:r>
        <w:rPr>
          <w:rFonts w:hint="default" w:ascii="Times New Roman" w:hAnsi="Times New Roman" w:cs="Times New Roman"/>
          <w:sz w:val="28"/>
          <w:szCs w:val="28"/>
          <w:u w:val="none"/>
        </w:rPr>
        <w:t>月</w:t>
      </w:r>
      <w:r>
        <w:rPr>
          <w:rFonts w:hint="eastAsia" w:ascii="Times New Roman" w:hAnsi="Times New Roman" w:cs="Times New Roman"/>
          <w:sz w:val="28"/>
          <w:szCs w:val="28"/>
          <w:u w:val="none"/>
          <w:lang w:val="en-US" w:eastAsia="zh-CN"/>
        </w:rPr>
        <w:t>3</w:t>
      </w:r>
      <w:r>
        <w:rPr>
          <w:rFonts w:hint="default" w:ascii="Times New Roman" w:hAnsi="Times New Roman" w:cs="Times New Roman"/>
          <w:sz w:val="28"/>
          <w:szCs w:val="28"/>
          <w:u w:val="none"/>
        </w:rPr>
        <w:t>日印发</w:t>
      </w:r>
    </w:p>
    <w:sectPr>
      <w:footerReference r:id="rId3" w:type="default"/>
      <w:footerReference r:id="rId4" w:type="even"/>
      <w:pgSz w:w="11906" w:h="16838"/>
      <w:pgMar w:top="2098" w:right="1531" w:bottom="1985" w:left="1531" w:header="851" w:footer="1474"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1" w:fontKey="{D2B5CF7E-A2A7-4071-8672-B88176E6C705}"/>
  </w:font>
  <w:font w:name="方正黑体_GBK">
    <w:panose1 w:val="03000509000000000000"/>
    <w:charset w:val="86"/>
    <w:family w:val="auto"/>
    <w:pitch w:val="default"/>
    <w:sig w:usb0="00000001" w:usb1="080E0000" w:usb2="00000000" w:usb3="00000000" w:csb0="00040000" w:csb1="00000000"/>
    <w:embedRegular r:id="rId2" w:fontKey="{A4C5BB03-36BA-4600-BE3F-B075038C375A}"/>
  </w:font>
  <w:font w:name="方正楷体_GBK">
    <w:panose1 w:val="02000000000000000000"/>
    <w:charset w:val="86"/>
    <w:family w:val="auto"/>
    <w:pitch w:val="default"/>
    <w:sig w:usb0="00000001" w:usb1="080E0000" w:usb2="00000000" w:usb3="00000000" w:csb0="00040000" w:csb1="00000000"/>
    <w:embedRegular r:id="rId3" w:fontKey="{B22770F0-82A8-4582-AE00-9C7B2FA012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AA78D">
    <w:pPr>
      <w:pStyle w:val="6"/>
      <w:ind w:right="360" w:firstLine="360"/>
      <w:jc w:val="right"/>
      <w:rPr>
        <w:sz w:val="28"/>
      </w:rPr>
    </w:pPr>
    <w:r>
      <w:rPr>
        <w:rStyle w:val="13"/>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w:t>
    </w:r>
    <w:r>
      <w:rPr>
        <w:kern w:val="0"/>
        <w:sz w:val="28"/>
      </w:rPr>
      <w:fldChar w:fldCharType="end"/>
    </w:r>
    <w:r>
      <w:rPr>
        <w:kern w:val="0"/>
        <w:sz w:val="28"/>
      </w:rPr>
      <w:t xml:space="preserve"> </w:t>
    </w:r>
    <w:r>
      <w:rPr>
        <w:rStyle w:val="13"/>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9B3E1">
    <w:pPr>
      <w:pStyle w:val="6"/>
      <w:ind w:right="360" w:firstLine="360"/>
      <w:rPr>
        <w:sz w:val="28"/>
      </w:rPr>
    </w:pPr>
    <w:r>
      <w:rPr>
        <w:rStyle w:val="13"/>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2</w:t>
    </w:r>
    <w:r>
      <w:rPr>
        <w:kern w:val="0"/>
        <w:sz w:val="28"/>
      </w:rPr>
      <w:fldChar w:fldCharType="end"/>
    </w:r>
    <w:r>
      <w:rPr>
        <w:kern w:val="0"/>
        <w:sz w:val="28"/>
      </w:rPr>
      <w:t xml:space="preserve"> </w:t>
    </w:r>
    <w:r>
      <w:rPr>
        <w:rStyle w:val="13"/>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5"/>
  <w:hyphenationZone w:val="360"/>
  <w:evenAndOddHeaders w:val="1"/>
  <w:drawingGridHorizontalSpacing w:val="315"/>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47588"/>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1529"/>
    <w:rsid w:val="0009670D"/>
    <w:rsid w:val="00096AB3"/>
    <w:rsid w:val="000A4164"/>
    <w:rsid w:val="000A7420"/>
    <w:rsid w:val="000A79DD"/>
    <w:rsid w:val="000B1CE9"/>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696"/>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200EFD"/>
    <w:rsid w:val="002010BC"/>
    <w:rsid w:val="0020136C"/>
    <w:rsid w:val="002045EA"/>
    <w:rsid w:val="00204C4A"/>
    <w:rsid w:val="002052BE"/>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223F"/>
    <w:rsid w:val="0026233C"/>
    <w:rsid w:val="0026342D"/>
    <w:rsid w:val="00264224"/>
    <w:rsid w:val="00265878"/>
    <w:rsid w:val="002669DB"/>
    <w:rsid w:val="002678DD"/>
    <w:rsid w:val="00267B54"/>
    <w:rsid w:val="00270AF8"/>
    <w:rsid w:val="00271879"/>
    <w:rsid w:val="00275090"/>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5DAC"/>
    <w:rsid w:val="003C730F"/>
    <w:rsid w:val="003D010F"/>
    <w:rsid w:val="003D3543"/>
    <w:rsid w:val="003D3ABF"/>
    <w:rsid w:val="003D5597"/>
    <w:rsid w:val="003D5CA0"/>
    <w:rsid w:val="003D61DD"/>
    <w:rsid w:val="003D7775"/>
    <w:rsid w:val="003E0FD8"/>
    <w:rsid w:val="003E4469"/>
    <w:rsid w:val="003F0225"/>
    <w:rsid w:val="003F4E5F"/>
    <w:rsid w:val="003F5E8A"/>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6F3A"/>
    <w:rsid w:val="00451491"/>
    <w:rsid w:val="00452A7D"/>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55AE"/>
    <w:rsid w:val="00544048"/>
    <w:rsid w:val="0054409A"/>
    <w:rsid w:val="00552ABE"/>
    <w:rsid w:val="00553517"/>
    <w:rsid w:val="005537DE"/>
    <w:rsid w:val="005550A0"/>
    <w:rsid w:val="0055528E"/>
    <w:rsid w:val="00555808"/>
    <w:rsid w:val="00555C9A"/>
    <w:rsid w:val="005633B2"/>
    <w:rsid w:val="005645AA"/>
    <w:rsid w:val="00564F93"/>
    <w:rsid w:val="00566C60"/>
    <w:rsid w:val="00567AB2"/>
    <w:rsid w:val="00567E6D"/>
    <w:rsid w:val="00572219"/>
    <w:rsid w:val="0057299E"/>
    <w:rsid w:val="005735B2"/>
    <w:rsid w:val="00575FE2"/>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4305"/>
    <w:rsid w:val="00594FC3"/>
    <w:rsid w:val="00595909"/>
    <w:rsid w:val="00595EB6"/>
    <w:rsid w:val="005A1AB2"/>
    <w:rsid w:val="005A36D7"/>
    <w:rsid w:val="005A64F6"/>
    <w:rsid w:val="005B030E"/>
    <w:rsid w:val="005B0E4B"/>
    <w:rsid w:val="005B2CD4"/>
    <w:rsid w:val="005B3681"/>
    <w:rsid w:val="005C176B"/>
    <w:rsid w:val="005C31F3"/>
    <w:rsid w:val="005C361D"/>
    <w:rsid w:val="005C3DA5"/>
    <w:rsid w:val="005C5515"/>
    <w:rsid w:val="005C771F"/>
    <w:rsid w:val="005D06DD"/>
    <w:rsid w:val="005D765C"/>
    <w:rsid w:val="005D78D1"/>
    <w:rsid w:val="005E2129"/>
    <w:rsid w:val="005E4D94"/>
    <w:rsid w:val="005F01D9"/>
    <w:rsid w:val="005F2796"/>
    <w:rsid w:val="005F4EF1"/>
    <w:rsid w:val="005F6171"/>
    <w:rsid w:val="005F7336"/>
    <w:rsid w:val="005F7C32"/>
    <w:rsid w:val="00601AEE"/>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1D7F"/>
    <w:rsid w:val="006C36C2"/>
    <w:rsid w:val="006C6213"/>
    <w:rsid w:val="006C6C44"/>
    <w:rsid w:val="006C7961"/>
    <w:rsid w:val="006D1279"/>
    <w:rsid w:val="006D210F"/>
    <w:rsid w:val="006D2A94"/>
    <w:rsid w:val="006D3E0D"/>
    <w:rsid w:val="006D3FE7"/>
    <w:rsid w:val="006D4CBB"/>
    <w:rsid w:val="006D6265"/>
    <w:rsid w:val="006D7E39"/>
    <w:rsid w:val="006E35BD"/>
    <w:rsid w:val="006E3745"/>
    <w:rsid w:val="006E644B"/>
    <w:rsid w:val="006E65FF"/>
    <w:rsid w:val="006E75A6"/>
    <w:rsid w:val="006E794F"/>
    <w:rsid w:val="006F0ECC"/>
    <w:rsid w:val="006F1165"/>
    <w:rsid w:val="006F2093"/>
    <w:rsid w:val="006F292D"/>
    <w:rsid w:val="006F42C2"/>
    <w:rsid w:val="006F5B19"/>
    <w:rsid w:val="00700DB7"/>
    <w:rsid w:val="00701690"/>
    <w:rsid w:val="0070368B"/>
    <w:rsid w:val="007069B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5ADA"/>
    <w:rsid w:val="00746629"/>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7B1F"/>
    <w:rsid w:val="007916DF"/>
    <w:rsid w:val="0079195B"/>
    <w:rsid w:val="007919A3"/>
    <w:rsid w:val="00791C06"/>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EFC"/>
    <w:rsid w:val="00900F59"/>
    <w:rsid w:val="009010D0"/>
    <w:rsid w:val="00905624"/>
    <w:rsid w:val="0090597F"/>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B0912"/>
    <w:rsid w:val="009B3011"/>
    <w:rsid w:val="009B3F6C"/>
    <w:rsid w:val="009B4213"/>
    <w:rsid w:val="009B51B7"/>
    <w:rsid w:val="009B5AB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607D0"/>
    <w:rsid w:val="00A60EDC"/>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1210"/>
    <w:rsid w:val="00A81B04"/>
    <w:rsid w:val="00A8279C"/>
    <w:rsid w:val="00A82ACC"/>
    <w:rsid w:val="00A83961"/>
    <w:rsid w:val="00A86D2B"/>
    <w:rsid w:val="00A879E4"/>
    <w:rsid w:val="00A87BCF"/>
    <w:rsid w:val="00A92905"/>
    <w:rsid w:val="00A93088"/>
    <w:rsid w:val="00A9318A"/>
    <w:rsid w:val="00A94393"/>
    <w:rsid w:val="00A95E83"/>
    <w:rsid w:val="00A961F2"/>
    <w:rsid w:val="00A9736E"/>
    <w:rsid w:val="00AA037D"/>
    <w:rsid w:val="00AA3A50"/>
    <w:rsid w:val="00AA5DCF"/>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F0302"/>
    <w:rsid w:val="00AF05BC"/>
    <w:rsid w:val="00AF1F6F"/>
    <w:rsid w:val="00AF241B"/>
    <w:rsid w:val="00AF3B5C"/>
    <w:rsid w:val="00AF4B25"/>
    <w:rsid w:val="00AF515F"/>
    <w:rsid w:val="00B005D1"/>
    <w:rsid w:val="00B010DC"/>
    <w:rsid w:val="00B04492"/>
    <w:rsid w:val="00B1012C"/>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271C"/>
    <w:rsid w:val="00CB2D6D"/>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30C6E"/>
    <w:rsid w:val="00E31A4F"/>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D46"/>
    <w:rsid w:val="00E75662"/>
    <w:rsid w:val="00E76B34"/>
    <w:rsid w:val="00E7720F"/>
    <w:rsid w:val="00E81D50"/>
    <w:rsid w:val="00E834CC"/>
    <w:rsid w:val="00E84742"/>
    <w:rsid w:val="00E8643F"/>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60282"/>
    <w:rsid w:val="00F654FA"/>
    <w:rsid w:val="00F66E71"/>
    <w:rsid w:val="00F67769"/>
    <w:rsid w:val="00F67AF9"/>
    <w:rsid w:val="00F7023B"/>
    <w:rsid w:val="00F7348A"/>
    <w:rsid w:val="00F73653"/>
    <w:rsid w:val="00F758DF"/>
    <w:rsid w:val="00F76DF5"/>
    <w:rsid w:val="00F7733F"/>
    <w:rsid w:val="00F81A1F"/>
    <w:rsid w:val="00F82061"/>
    <w:rsid w:val="00F82C7D"/>
    <w:rsid w:val="00F85A25"/>
    <w:rsid w:val="00F85BAC"/>
    <w:rsid w:val="00F87669"/>
    <w:rsid w:val="00F87913"/>
    <w:rsid w:val="00F90088"/>
    <w:rsid w:val="00F92D15"/>
    <w:rsid w:val="00F92DC1"/>
    <w:rsid w:val="00F93083"/>
    <w:rsid w:val="00F93C6E"/>
    <w:rsid w:val="00F95BF4"/>
    <w:rsid w:val="00F97404"/>
    <w:rsid w:val="00FA043E"/>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2E65040"/>
    <w:rsid w:val="03DB1133"/>
    <w:rsid w:val="0ABA2D7D"/>
    <w:rsid w:val="0CE5310D"/>
    <w:rsid w:val="103B5882"/>
    <w:rsid w:val="104355C3"/>
    <w:rsid w:val="17437BC3"/>
    <w:rsid w:val="18483263"/>
    <w:rsid w:val="191A70DD"/>
    <w:rsid w:val="1C186BFD"/>
    <w:rsid w:val="1E491091"/>
    <w:rsid w:val="20351BD0"/>
    <w:rsid w:val="21E97F4D"/>
    <w:rsid w:val="23071CD9"/>
    <w:rsid w:val="28577A06"/>
    <w:rsid w:val="28E57D51"/>
    <w:rsid w:val="29055F31"/>
    <w:rsid w:val="2F647588"/>
    <w:rsid w:val="2F9F0596"/>
    <w:rsid w:val="309007BF"/>
    <w:rsid w:val="3488233B"/>
    <w:rsid w:val="38B14F10"/>
    <w:rsid w:val="38EC479A"/>
    <w:rsid w:val="395835DE"/>
    <w:rsid w:val="3A8B4BB7"/>
    <w:rsid w:val="3C891A53"/>
    <w:rsid w:val="3F102CF3"/>
    <w:rsid w:val="3F9812EE"/>
    <w:rsid w:val="44A95C3F"/>
    <w:rsid w:val="45300013"/>
    <w:rsid w:val="48E83308"/>
    <w:rsid w:val="497304E9"/>
    <w:rsid w:val="4A343254"/>
    <w:rsid w:val="4FD76686"/>
    <w:rsid w:val="4FF02177"/>
    <w:rsid w:val="56195D33"/>
    <w:rsid w:val="589D302F"/>
    <w:rsid w:val="59BB7545"/>
    <w:rsid w:val="5AD07B4F"/>
    <w:rsid w:val="5B616A95"/>
    <w:rsid w:val="5EF3152F"/>
    <w:rsid w:val="62523504"/>
    <w:rsid w:val="64B228EC"/>
    <w:rsid w:val="64EB2760"/>
    <w:rsid w:val="6B59506C"/>
    <w:rsid w:val="6B701639"/>
    <w:rsid w:val="6BC02DEE"/>
    <w:rsid w:val="6DF07D8C"/>
    <w:rsid w:val="6DFD5E37"/>
    <w:rsid w:val="6E4C5E20"/>
    <w:rsid w:val="76D37CA7"/>
    <w:rsid w:val="76DD5560"/>
    <w:rsid w:val="7894554F"/>
    <w:rsid w:val="7BDA1655"/>
    <w:rsid w:val="7CC3033B"/>
    <w:rsid w:val="7CFB3D38"/>
    <w:rsid w:val="7FED37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1">
    <w:name w:val="Default Paragraph Font"/>
    <w:link w:val="12"/>
    <w:semiHidden/>
    <w:qFormat/>
    <w:uiPriority w:val="0"/>
    <w:rPr>
      <w:szCs w:val="21"/>
    </w:rPr>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仿宋_GB2312"/>
    </w:rPr>
  </w:style>
  <w:style w:type="paragraph" w:styleId="3">
    <w:name w:val="toc 5"/>
    <w:basedOn w:val="1"/>
    <w:next w:val="1"/>
    <w:qFormat/>
    <w:uiPriority w:val="0"/>
    <w:pPr>
      <w:ind w:left="1680" w:leftChars="800"/>
    </w:pPr>
    <w:rPr>
      <w:rFonts w:ascii="Times New Roman" w:hAnsi="Times New Roman" w:eastAsia="方正仿宋_GBK" w:cs="Times New Roman"/>
      <w:sz w:val="32"/>
    </w:rPr>
  </w:style>
  <w:style w:type="paragraph" w:styleId="4">
    <w:name w:val="Plain Text"/>
    <w:basedOn w:val="1"/>
    <w:next w:val="5"/>
    <w:qFormat/>
    <w:uiPriority w:val="0"/>
    <w:rPr>
      <w:rFonts w:ascii="宋体" w:hAnsi="Courier New"/>
    </w:rPr>
  </w:style>
  <w:style w:type="paragraph" w:styleId="5">
    <w:name w:val="header"/>
    <w:basedOn w:val="1"/>
    <w:next w:val="1"/>
    <w:qFormat/>
    <w:uiPriority w:val="0"/>
    <w:pPr>
      <w:pBdr>
        <w:bottom w:val="single" w:color="auto" w:sz="6" w:space="1"/>
      </w:pBdr>
      <w:tabs>
        <w:tab w:val="center" w:pos="4153"/>
        <w:tab w:val="right" w:pos="8306"/>
      </w:tabs>
      <w:snapToGrid w:val="0"/>
      <w:jc w:val="center"/>
    </w:pPr>
    <w:rPr>
      <w:sz w:val="18"/>
    </w:r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索引 5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8">
    <w:name w:val="index 7"/>
    <w:basedOn w:val="1"/>
    <w:next w:val="1"/>
    <w:qFormat/>
    <w:uiPriority w:val="0"/>
    <w:pPr>
      <w:ind w:left="25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Char"/>
    <w:basedOn w:val="1"/>
    <w:link w:val="11"/>
    <w:qFormat/>
    <w:uiPriority w:val="0"/>
    <w:pPr>
      <w:pageBreakBefore/>
      <w:spacing w:line="360" w:lineRule="auto"/>
    </w:pPr>
    <w:rPr>
      <w:szCs w:val="21"/>
    </w:rPr>
  </w:style>
  <w:style w:type="character" w:styleId="13">
    <w:name w:val="page number"/>
    <w:basedOn w:val="11"/>
    <w:qFormat/>
    <w:uiPriority w:val="0"/>
  </w:style>
  <w:style w:type="paragraph" w:customStyle="1" w:styleId="14">
    <w:name w:val="Default"/>
    <w:basedOn w:val="4"/>
    <w:next w:val="1"/>
    <w:qFormat/>
    <w:uiPriority w:val="0"/>
    <w:pPr>
      <w:autoSpaceDE w:val="0"/>
      <w:autoSpaceDN w:val="0"/>
      <w:adjustRightInd w:val="0"/>
    </w:pPr>
    <w:rPr>
      <w:rFonts w:ascii="Arial" w:hAnsi="Arial" w:eastAsia="宋体" w:cs="Arial"/>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4064</Words>
  <Characters>4122</Characters>
  <Lines>1</Lines>
  <Paragraphs>1</Paragraphs>
  <TotalTime>2</TotalTime>
  <ScaleCrop>false</ScaleCrop>
  <LinksUpToDate>false</LinksUpToDate>
  <CharactersWithSpaces>4134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2023-10-11T02:52:00Z</dcterms:created>
  <dc:creator>Administrator</dc:creator>
  <cp:lastModifiedBy>刘小小呀</cp:lastModifiedBy>
  <cp:lastPrinted>2026-08-24T09:11:00Z</cp:lastPrinted>
  <dcterms:modified xsi:type="dcterms:W3CDTF">2026-09-04T08:56:40Z</dcterms:modified>
  <cp:revision>6320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eyJoZGlkIjoiMmI0ODg4MDVkZmE5N2JkMDUxNDQyOWZiZmFjMzU1OWUiLCJ1c2VySWQiOiIzMDQwNzk4OTgifQ==</vt:lpwstr>
  </property>
  <property fmtid="{D5CDD505-2E9C-101B-9397-08002B2CF9AE}" pid="4" name="ICV">
    <vt:lpwstr>EF4ADF5B50BD498BB4DEED0CACED108F_12</vt:lpwstr>
  </property>
</Properties>
</file>