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pPr>
      <w:r>
        <w:rPr>
          <w:rFonts w:hint="eastAsia"/>
        </w:rPr>
        <w:t>采购代理机构备</w:t>
      </w:r>
      <w:r>
        <w:rPr>
          <w:rFonts w:hint="eastAsia" w:ascii="宋体" w:hAnsi="宋体"/>
        </w:rPr>
        <w:t>案号：CQCBJQ</w:t>
      </w:r>
      <w:r>
        <w:rPr>
          <w:rFonts w:ascii="宋体" w:hAnsi="宋体"/>
        </w:rPr>
        <w:t>2311-419</w:t>
      </w:r>
    </w:p>
    <w:p>
      <w:pPr>
        <w:jc w:val="center"/>
      </w:pPr>
    </w:p>
    <w:p>
      <w:pPr>
        <w:jc w:val="center"/>
        <w:outlineLvl w:val="0"/>
        <w:rPr>
          <w:sz w:val="44"/>
          <w:szCs w:val="44"/>
        </w:rPr>
      </w:pPr>
      <w:r>
        <w:rPr>
          <w:rFonts w:hint="eastAsia"/>
          <w:sz w:val="44"/>
          <w:szCs w:val="44"/>
        </w:rPr>
        <w:t>；</w:t>
      </w:r>
    </w:p>
    <w:p>
      <w:pPr>
        <w:jc w:val="center"/>
        <w:outlineLvl w:val="0"/>
        <w:rPr>
          <w:rFonts w:ascii="宋体" w:hAnsi="宋体"/>
          <w:b/>
          <w:sz w:val="48"/>
          <w:szCs w:val="48"/>
        </w:rPr>
      </w:pPr>
      <w:r>
        <w:rPr>
          <w:rFonts w:hint="eastAsia" w:ascii="宋体" w:hAnsi="宋体"/>
          <w:b/>
          <w:sz w:val="48"/>
          <w:szCs w:val="48"/>
        </w:rPr>
        <w:t>第6-8期《陆海新通道》编制项目</w:t>
      </w:r>
    </w:p>
    <w:p>
      <w:pPr>
        <w:outlineLvl w:val="0"/>
        <w:rPr>
          <w:rFonts w:ascii="宋体" w:hAnsi="宋体"/>
          <w:spacing w:val="80"/>
          <w:sz w:val="72"/>
          <w:szCs w:val="72"/>
        </w:rPr>
      </w:pPr>
    </w:p>
    <w:p>
      <w:pPr>
        <w:pStyle w:val="2"/>
      </w:pPr>
    </w:p>
    <w:p>
      <w:pPr>
        <w:pStyle w:val="3"/>
      </w:pPr>
    </w:p>
    <w:p>
      <w:pPr>
        <w:pStyle w:val="3"/>
      </w:pPr>
    </w:p>
    <w:p>
      <w:pPr>
        <w:jc w:val="center"/>
        <w:outlineLvl w:val="0"/>
        <w:rPr>
          <w:rFonts w:ascii="宋体" w:hAnsi="宋体"/>
          <w:spacing w:val="80"/>
          <w:sz w:val="72"/>
          <w:szCs w:val="72"/>
        </w:rPr>
      </w:pPr>
    </w:p>
    <w:p>
      <w:pPr>
        <w:jc w:val="center"/>
        <w:outlineLvl w:val="0"/>
        <w:rPr>
          <w:spacing w:val="80"/>
          <w:sz w:val="72"/>
          <w:szCs w:val="72"/>
        </w:rPr>
      </w:pPr>
      <w:r>
        <w:rPr>
          <w:spacing w:val="80"/>
          <w:sz w:val="72"/>
          <w:szCs w:val="72"/>
        </w:rPr>
        <w:t>竞争性比选文件</w:t>
      </w:r>
    </w:p>
    <w:p>
      <w:pPr>
        <w:spacing w:line="700" w:lineRule="exact"/>
        <w:jc w:val="center"/>
        <w:rPr>
          <w:sz w:val="36"/>
          <w:szCs w:val="30"/>
        </w:rPr>
      </w:pPr>
      <w:r>
        <w:rPr>
          <w:sz w:val="36"/>
          <w:szCs w:val="30"/>
        </w:rPr>
        <w:t>项目号：</w:t>
      </w:r>
      <w:r>
        <w:rPr>
          <w:rFonts w:ascii="宋体" w:hAnsi="宋体"/>
          <w:sz w:val="36"/>
          <w:szCs w:val="30"/>
        </w:rPr>
        <w:t>SZFKAWLCG2023-032</w:t>
      </w:r>
    </w:p>
    <w:p>
      <w:pPr>
        <w:spacing w:line="700" w:lineRule="exact"/>
        <w:jc w:val="center"/>
        <w:rPr>
          <w:sz w:val="36"/>
          <w:szCs w:val="30"/>
        </w:rPr>
      </w:pPr>
    </w:p>
    <w:p>
      <w:pPr>
        <w:spacing w:line="700" w:lineRule="exact"/>
        <w:jc w:val="center"/>
        <w:rPr>
          <w:rFonts w:ascii="宋体" w:hAnsi="宋体"/>
          <w:b/>
          <w:sz w:val="30"/>
          <w:szCs w:val="30"/>
        </w:rPr>
      </w:pPr>
    </w:p>
    <w:p>
      <w:pPr>
        <w:spacing w:line="700" w:lineRule="exact"/>
        <w:jc w:val="center"/>
        <w:rPr>
          <w:rFonts w:ascii="宋体" w:hAnsi="宋体"/>
          <w:b/>
          <w:sz w:val="30"/>
          <w:szCs w:val="30"/>
        </w:rPr>
      </w:pPr>
    </w:p>
    <w:p>
      <w:pPr>
        <w:spacing w:line="700" w:lineRule="exact"/>
        <w:jc w:val="center"/>
        <w:rPr>
          <w:rFonts w:ascii="宋体" w:hAnsi="宋体"/>
          <w:b/>
          <w:sz w:val="30"/>
          <w:szCs w:val="30"/>
        </w:rPr>
      </w:pPr>
    </w:p>
    <w:p>
      <w:pPr>
        <w:pStyle w:val="2"/>
      </w:pPr>
    </w:p>
    <w:p>
      <w:pPr>
        <w:pStyle w:val="3"/>
      </w:pPr>
    </w:p>
    <w:p/>
    <w:p>
      <w:pPr>
        <w:pStyle w:val="2"/>
      </w:pPr>
    </w:p>
    <w:p>
      <w:pPr>
        <w:pStyle w:val="3"/>
      </w:pPr>
    </w:p>
    <w:p/>
    <w:p>
      <w:pPr>
        <w:spacing w:line="700" w:lineRule="exact"/>
        <w:ind w:left="84" w:leftChars="30"/>
        <w:jc w:val="left"/>
        <w:rPr>
          <w:sz w:val="36"/>
          <w:szCs w:val="30"/>
        </w:rPr>
      </w:pPr>
      <w:r>
        <w:rPr>
          <w:rFonts w:hint="eastAsia"/>
          <w:sz w:val="36"/>
          <w:szCs w:val="30"/>
        </w:rPr>
        <w:t xml:space="preserve">    </w:t>
      </w:r>
      <w:r>
        <w:rPr>
          <w:sz w:val="36"/>
          <w:szCs w:val="30"/>
        </w:rPr>
        <w:t>采   购   人：</w:t>
      </w:r>
      <w:r>
        <w:rPr>
          <w:rFonts w:hint="eastAsia"/>
          <w:sz w:val="36"/>
          <w:szCs w:val="30"/>
        </w:rPr>
        <w:t>西部陆海新通道物流和运营组织中心</w:t>
      </w:r>
    </w:p>
    <w:p>
      <w:pPr>
        <w:spacing w:line="700" w:lineRule="exact"/>
        <w:jc w:val="center"/>
        <w:rPr>
          <w:sz w:val="36"/>
          <w:szCs w:val="30"/>
        </w:rPr>
      </w:pPr>
      <w:r>
        <w:rPr>
          <w:sz w:val="36"/>
          <w:szCs w:val="30"/>
        </w:rPr>
        <w:t>采购代理机构：重庆市中基致信招标代理有限公司</w:t>
      </w:r>
    </w:p>
    <w:p>
      <w:pPr>
        <w:spacing w:line="700" w:lineRule="exact"/>
        <w:jc w:val="center"/>
        <w:rPr>
          <w:sz w:val="36"/>
          <w:szCs w:val="30"/>
        </w:rPr>
        <w:sectPr>
          <w:headerReference r:id="rId4" w:type="first"/>
          <w:footerReference r:id="rId6" w:type="first"/>
          <w:headerReference r:id="rId3" w:type="default"/>
          <w:footerReference r:id="rId5" w:type="even"/>
          <w:pgSz w:w="11907" w:h="16840"/>
          <w:pgMar w:top="1134" w:right="1191" w:bottom="1134" w:left="1191" w:header="851" w:footer="992" w:gutter="0"/>
          <w:pgNumType w:fmt="numberInDash" w:start="1"/>
          <w:cols w:space="720" w:num="1"/>
          <w:docGrid w:linePitch="380" w:charSpace="-5735"/>
        </w:sectPr>
      </w:pPr>
      <w:r>
        <w:rPr>
          <w:sz w:val="36"/>
          <w:szCs w:val="30"/>
        </w:rPr>
        <w:t>二</w:t>
      </w:r>
      <w:r>
        <w:rPr>
          <w:rFonts w:hint="eastAsia"/>
          <w:sz w:val="36"/>
          <w:szCs w:val="30"/>
        </w:rPr>
        <w:t>〇</w:t>
      </w:r>
      <w:r>
        <w:rPr>
          <w:sz w:val="36"/>
          <w:szCs w:val="30"/>
        </w:rPr>
        <w:t>二</w:t>
      </w:r>
      <w:r>
        <w:rPr>
          <w:rFonts w:hint="eastAsia"/>
          <w:sz w:val="36"/>
          <w:szCs w:val="30"/>
        </w:rPr>
        <w:t>三</w:t>
      </w:r>
      <w:r>
        <w:rPr>
          <w:sz w:val="36"/>
          <w:szCs w:val="30"/>
        </w:rPr>
        <w:t>年</w:t>
      </w:r>
      <w:r>
        <w:rPr>
          <w:rFonts w:hint="eastAsia"/>
          <w:sz w:val="36"/>
          <w:szCs w:val="30"/>
        </w:rPr>
        <w:t>十一</w:t>
      </w:r>
      <w:r>
        <w:rPr>
          <w:sz w:val="36"/>
          <w:szCs w:val="30"/>
        </w:rPr>
        <w:t>月</w:t>
      </w:r>
    </w:p>
    <w:p>
      <w:pPr>
        <w:pageBreakBefore/>
        <w:spacing w:line="480" w:lineRule="exact"/>
        <w:jc w:val="center"/>
        <w:outlineLvl w:val="0"/>
        <w:rPr>
          <w:rFonts w:ascii="宋体" w:hAnsi="宋体"/>
          <w:sz w:val="44"/>
          <w:szCs w:val="28"/>
        </w:rPr>
      </w:pPr>
      <w:r>
        <w:rPr>
          <w:rFonts w:hint="eastAsia" w:ascii="宋体" w:hAnsi="宋体"/>
          <w:sz w:val="44"/>
          <w:szCs w:val="28"/>
        </w:rPr>
        <w:t>目   录</w:t>
      </w:r>
    </w:p>
    <w:p>
      <w:pPr>
        <w:pStyle w:val="46"/>
        <w:tabs>
          <w:tab w:val="right" w:leader="dot" w:pos="9515"/>
        </w:tabs>
        <w:ind w:left="560"/>
        <w:rPr>
          <w:rFonts w:asciiTheme="minorHAnsi" w:hAnsiTheme="minorHAnsi" w:eastAsiaTheme="minorEastAsia" w:cstheme="minorBidi"/>
          <w:sz w:val="21"/>
          <w:szCs w:val="22"/>
          <w14:ligatures w14:val="standardContextual"/>
        </w:rPr>
      </w:pPr>
      <w:r>
        <w:rPr>
          <w:rFonts w:hint="eastAsia" w:ascii="宋体" w:hAnsi="宋体"/>
          <w:sz w:val="24"/>
          <w:szCs w:val="24"/>
        </w:rPr>
        <w:fldChar w:fldCharType="begin"/>
      </w:r>
      <w:r>
        <w:rPr>
          <w:rFonts w:hint="eastAsia" w:ascii="宋体" w:hAnsi="宋体"/>
          <w:sz w:val="24"/>
          <w:szCs w:val="24"/>
        </w:rPr>
        <w:instrText xml:space="preserve"> TOC \o "1-3" \h \z </w:instrText>
      </w:r>
      <w:r>
        <w:rPr>
          <w:rFonts w:hint="eastAsia" w:ascii="宋体" w:hAnsi="宋体"/>
          <w:sz w:val="24"/>
          <w:szCs w:val="24"/>
        </w:rPr>
        <w:fldChar w:fldCharType="separate"/>
      </w:r>
      <w:r>
        <w:fldChar w:fldCharType="begin"/>
      </w:r>
      <w:r>
        <w:instrText xml:space="preserve"> HYPERLINK \l "_Toc152145298" </w:instrText>
      </w:r>
      <w:r>
        <w:fldChar w:fldCharType="separate"/>
      </w:r>
      <w:r>
        <w:rPr>
          <w:rStyle w:val="65"/>
          <w:rFonts w:ascii="宋体" w:hAnsi="宋体"/>
        </w:rPr>
        <w:t>第一篇  采购邀请书</w:t>
      </w:r>
      <w:r>
        <w:tab/>
      </w:r>
      <w:r>
        <w:fldChar w:fldCharType="begin"/>
      </w:r>
      <w:r>
        <w:instrText xml:space="preserve"> PAGEREF _Toc152145298 \h </w:instrText>
      </w:r>
      <w:r>
        <w:fldChar w:fldCharType="separate"/>
      </w:r>
      <w:r>
        <w:t>- 3 -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"_Toc152145299" </w:instrText>
      </w:r>
      <w:r>
        <w:fldChar w:fldCharType="separate"/>
      </w:r>
      <w:r>
        <w:rPr>
          <w:rStyle w:val="65"/>
          <w:rFonts w:ascii="宋体" w:hAnsi="宋体"/>
        </w:rPr>
        <w:t>一、竞争性比选内容</w:t>
      </w:r>
      <w:r>
        <w:tab/>
      </w:r>
      <w:r>
        <w:fldChar w:fldCharType="begin"/>
      </w:r>
      <w:r>
        <w:instrText xml:space="preserve"> PAGEREF _Toc152145299 \h </w:instrText>
      </w:r>
      <w:r>
        <w:fldChar w:fldCharType="separate"/>
      </w:r>
      <w:r>
        <w:t>- 3 -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"_Toc152145300" </w:instrText>
      </w:r>
      <w:r>
        <w:fldChar w:fldCharType="separate"/>
      </w:r>
      <w:r>
        <w:rPr>
          <w:rStyle w:val="65"/>
          <w:rFonts w:ascii="宋体" w:hAnsi="宋体"/>
        </w:rPr>
        <w:t>二、资金来源</w:t>
      </w:r>
      <w:r>
        <w:tab/>
      </w:r>
      <w:r>
        <w:fldChar w:fldCharType="begin"/>
      </w:r>
      <w:r>
        <w:instrText xml:space="preserve"> PAGEREF _Toc152145300 \h </w:instrText>
      </w:r>
      <w:r>
        <w:fldChar w:fldCharType="separate"/>
      </w:r>
      <w:r>
        <w:t>- 3 -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"_Toc152145301" </w:instrText>
      </w:r>
      <w:r>
        <w:fldChar w:fldCharType="separate"/>
      </w:r>
      <w:r>
        <w:rPr>
          <w:rStyle w:val="65"/>
          <w:rFonts w:ascii="宋体" w:hAnsi="宋体"/>
        </w:rPr>
        <w:t>三、供应商资格条件</w:t>
      </w:r>
      <w:r>
        <w:tab/>
      </w:r>
      <w:r>
        <w:fldChar w:fldCharType="begin"/>
      </w:r>
      <w:r>
        <w:instrText xml:space="preserve"> PAGEREF _Toc152145301 \h </w:instrText>
      </w:r>
      <w:r>
        <w:fldChar w:fldCharType="separate"/>
      </w:r>
      <w:r>
        <w:t>- 3 -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"_Toc152145302" </w:instrText>
      </w:r>
      <w:r>
        <w:fldChar w:fldCharType="separate"/>
      </w:r>
      <w:r>
        <w:rPr>
          <w:rStyle w:val="65"/>
          <w:rFonts w:ascii="宋体" w:hAnsi="宋体"/>
        </w:rPr>
        <w:t>四、比选有关说明</w:t>
      </w:r>
      <w:r>
        <w:tab/>
      </w:r>
      <w:r>
        <w:fldChar w:fldCharType="begin"/>
      </w:r>
      <w:r>
        <w:instrText xml:space="preserve"> PAGEREF _Toc152145302 \h </w:instrText>
      </w:r>
      <w:r>
        <w:fldChar w:fldCharType="separate"/>
      </w:r>
      <w:r>
        <w:t>- 3 -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"_Toc152145303" </w:instrText>
      </w:r>
      <w:r>
        <w:fldChar w:fldCharType="separate"/>
      </w:r>
      <w:r>
        <w:rPr>
          <w:rStyle w:val="65"/>
          <w:rFonts w:ascii="宋体" w:hAnsi="宋体"/>
        </w:rPr>
        <w:t>五、比选保证金</w:t>
      </w:r>
      <w:r>
        <w:tab/>
      </w:r>
      <w:r>
        <w:fldChar w:fldCharType="begin"/>
      </w:r>
      <w:r>
        <w:instrText xml:space="preserve"> PAGEREF _Toc152145303 \h </w:instrText>
      </w:r>
      <w:r>
        <w:fldChar w:fldCharType="separate"/>
      </w:r>
      <w:r>
        <w:t>- 4 -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"_Toc152145304" </w:instrText>
      </w:r>
      <w:r>
        <w:fldChar w:fldCharType="separate"/>
      </w:r>
      <w:r>
        <w:rPr>
          <w:rStyle w:val="65"/>
          <w:rFonts w:ascii="宋体" w:hAnsi="宋体"/>
        </w:rPr>
        <w:t>六、采购项目需落实的政府采购政策</w:t>
      </w:r>
      <w:r>
        <w:tab/>
      </w:r>
      <w:r>
        <w:fldChar w:fldCharType="begin"/>
      </w:r>
      <w:r>
        <w:instrText xml:space="preserve"> PAGEREF _Toc152145304 \h </w:instrText>
      </w:r>
      <w:r>
        <w:fldChar w:fldCharType="separate"/>
      </w:r>
      <w:r>
        <w:t>- 5 -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"_Toc152145305" </w:instrText>
      </w:r>
      <w:r>
        <w:fldChar w:fldCharType="separate"/>
      </w:r>
      <w:r>
        <w:rPr>
          <w:rStyle w:val="65"/>
          <w:rFonts w:ascii="宋体" w:hAnsi="宋体"/>
        </w:rPr>
        <w:t>七、其它有关规定</w:t>
      </w:r>
      <w:r>
        <w:tab/>
      </w:r>
      <w:r>
        <w:fldChar w:fldCharType="begin"/>
      </w:r>
      <w:r>
        <w:instrText xml:space="preserve"> PAGEREF _Toc152145305 \h </w:instrText>
      </w:r>
      <w:r>
        <w:fldChar w:fldCharType="separate"/>
      </w:r>
      <w:r>
        <w:t>- 5 -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"_Toc152145306" </w:instrText>
      </w:r>
      <w:r>
        <w:fldChar w:fldCharType="separate"/>
      </w:r>
      <w:r>
        <w:rPr>
          <w:rStyle w:val="65"/>
          <w:rFonts w:ascii="宋体" w:hAnsi="宋体"/>
        </w:rPr>
        <w:t>八、联系方式</w:t>
      </w:r>
      <w:r>
        <w:tab/>
      </w:r>
      <w:r>
        <w:fldChar w:fldCharType="begin"/>
      </w:r>
      <w:r>
        <w:instrText xml:space="preserve"> PAGEREF _Toc152145306 \h </w:instrText>
      </w:r>
      <w:r>
        <w:fldChar w:fldCharType="separate"/>
      </w:r>
      <w:r>
        <w:t>- 6 -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14:ligatures w14:val="standardContextual"/>
        </w:rPr>
      </w:pPr>
      <w:r>
        <w:fldChar w:fldCharType="begin"/>
      </w:r>
      <w:r>
        <w:instrText xml:space="preserve"> HYPERLINK \l "_Toc152145307" </w:instrText>
      </w:r>
      <w:r>
        <w:fldChar w:fldCharType="separate"/>
      </w:r>
      <w:r>
        <w:rPr>
          <w:rStyle w:val="65"/>
          <w:rFonts w:ascii="宋体" w:hAnsi="宋体"/>
        </w:rPr>
        <w:t>第二篇  采购技术和服务需求</w:t>
      </w:r>
      <w:r>
        <w:tab/>
      </w:r>
      <w:r>
        <w:fldChar w:fldCharType="begin"/>
      </w:r>
      <w:r>
        <w:instrText xml:space="preserve"> PAGEREF _Toc152145307 \h </w:instrText>
      </w:r>
      <w:r>
        <w:fldChar w:fldCharType="separate"/>
      </w:r>
      <w:r>
        <w:t>- 7 -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"_Toc152145308" </w:instrText>
      </w:r>
      <w:r>
        <w:fldChar w:fldCharType="separate"/>
      </w:r>
      <w:r>
        <w:rPr>
          <w:rStyle w:val="65"/>
          <w:rFonts w:ascii="宋体" w:hAnsi="宋体"/>
        </w:rPr>
        <w:t>一、项目概况</w:t>
      </w:r>
      <w:r>
        <w:tab/>
      </w:r>
      <w:r>
        <w:fldChar w:fldCharType="begin"/>
      </w:r>
      <w:r>
        <w:instrText xml:space="preserve"> PAGEREF _Toc152145308 \h </w:instrText>
      </w:r>
      <w:r>
        <w:fldChar w:fldCharType="separate"/>
      </w:r>
      <w:r>
        <w:t>- 7 -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"_Toc152145309" </w:instrText>
      </w:r>
      <w:r>
        <w:fldChar w:fldCharType="separate"/>
      </w:r>
      <w:r>
        <w:rPr>
          <w:rStyle w:val="65"/>
          <w:rFonts w:ascii="宋体" w:hAnsi="宋体"/>
        </w:rPr>
        <w:t>※二、项目内容</w:t>
      </w:r>
      <w:r>
        <w:tab/>
      </w:r>
      <w:r>
        <w:fldChar w:fldCharType="begin"/>
      </w:r>
      <w:r>
        <w:instrText xml:space="preserve"> PAGEREF _Toc152145309 \h </w:instrText>
      </w:r>
      <w:r>
        <w:fldChar w:fldCharType="separate"/>
      </w:r>
      <w:r>
        <w:t>- 7 -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14:ligatures w14:val="standardContextual"/>
        </w:rPr>
      </w:pPr>
      <w:r>
        <w:fldChar w:fldCharType="begin"/>
      </w:r>
      <w:r>
        <w:instrText xml:space="preserve"> HYPERLINK \l "_Toc152145310" </w:instrText>
      </w:r>
      <w:r>
        <w:fldChar w:fldCharType="separate"/>
      </w:r>
      <w:r>
        <w:rPr>
          <w:rStyle w:val="65"/>
          <w:rFonts w:ascii="宋体" w:hAnsi="宋体"/>
        </w:rPr>
        <w:t>第三篇  项目商务需求</w:t>
      </w:r>
      <w:r>
        <w:tab/>
      </w:r>
      <w:r>
        <w:fldChar w:fldCharType="begin"/>
      </w:r>
      <w:r>
        <w:instrText xml:space="preserve"> PAGEREF _Toc152145310 \h </w:instrText>
      </w:r>
      <w:r>
        <w:fldChar w:fldCharType="separate"/>
      </w:r>
      <w:r>
        <w:t>- 8 -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"_Toc152145311" </w:instrText>
      </w:r>
      <w:r>
        <w:fldChar w:fldCharType="separate"/>
      </w:r>
      <w:r>
        <w:rPr>
          <w:rStyle w:val="65"/>
          <w:rFonts w:ascii="宋体" w:hAnsi="宋体"/>
        </w:rPr>
        <w:t>※一、服务时间、地点及验收方式</w:t>
      </w:r>
      <w:r>
        <w:tab/>
      </w:r>
      <w:r>
        <w:fldChar w:fldCharType="begin"/>
      </w:r>
      <w:r>
        <w:instrText xml:space="preserve"> PAGEREF _Toc152145311 \h </w:instrText>
      </w:r>
      <w:r>
        <w:fldChar w:fldCharType="separate"/>
      </w:r>
      <w:r>
        <w:t>- 8 -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"_Toc152145312" </w:instrText>
      </w:r>
      <w:r>
        <w:fldChar w:fldCharType="separate"/>
      </w:r>
      <w:r>
        <w:rPr>
          <w:rStyle w:val="65"/>
          <w:rFonts w:hint="eastAsia" w:ascii="宋体" w:hAnsi="宋体" w:cs="宋体"/>
        </w:rPr>
        <w:t>※</w:t>
      </w:r>
      <w:r>
        <w:rPr>
          <w:rStyle w:val="65"/>
        </w:rPr>
        <w:t>二、报价要求</w:t>
      </w:r>
      <w:r>
        <w:tab/>
      </w:r>
      <w:r>
        <w:fldChar w:fldCharType="begin"/>
      </w:r>
      <w:r>
        <w:instrText xml:space="preserve"> PAGEREF _Toc152145312 \h </w:instrText>
      </w:r>
      <w:r>
        <w:fldChar w:fldCharType="separate"/>
      </w:r>
      <w:r>
        <w:t>- 8 -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"_Toc152145313" </w:instrText>
      </w:r>
      <w:r>
        <w:fldChar w:fldCharType="separate"/>
      </w:r>
      <w:r>
        <w:rPr>
          <w:rStyle w:val="65"/>
          <w:rFonts w:hint="eastAsia" w:ascii="宋体" w:hAnsi="宋体" w:cs="宋体"/>
        </w:rPr>
        <w:t>※</w:t>
      </w:r>
      <w:r>
        <w:rPr>
          <w:rStyle w:val="65"/>
        </w:rPr>
        <w:t>三、付款方式</w:t>
      </w:r>
      <w:r>
        <w:tab/>
      </w:r>
      <w:r>
        <w:fldChar w:fldCharType="begin"/>
      </w:r>
      <w:r>
        <w:instrText xml:space="preserve"> PAGEREF _Toc152145313 \h </w:instrText>
      </w:r>
      <w:r>
        <w:fldChar w:fldCharType="separate"/>
      </w:r>
      <w:r>
        <w:t>- 8 -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"_Toc152145314" </w:instrText>
      </w:r>
      <w:r>
        <w:fldChar w:fldCharType="separate"/>
      </w:r>
      <w:r>
        <w:rPr>
          <w:rStyle w:val="65"/>
          <w:rFonts w:hint="eastAsia" w:ascii="宋体" w:hAnsi="宋体" w:cs="宋体"/>
        </w:rPr>
        <w:t>※</w:t>
      </w:r>
      <w:r>
        <w:rPr>
          <w:rStyle w:val="65"/>
        </w:rPr>
        <w:t>四、知识产权</w:t>
      </w:r>
      <w:r>
        <w:tab/>
      </w:r>
      <w:r>
        <w:fldChar w:fldCharType="begin"/>
      </w:r>
      <w:r>
        <w:instrText xml:space="preserve"> PAGEREF _Toc152145314 \h </w:instrText>
      </w:r>
      <w:r>
        <w:fldChar w:fldCharType="separate"/>
      </w:r>
      <w:r>
        <w:t>- 8 -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"_Toc152145315" </w:instrText>
      </w:r>
      <w:r>
        <w:fldChar w:fldCharType="separate"/>
      </w:r>
      <w:r>
        <w:rPr>
          <w:rStyle w:val="65"/>
        </w:rPr>
        <w:t>五、其他</w:t>
      </w:r>
      <w:r>
        <w:tab/>
      </w:r>
      <w:r>
        <w:fldChar w:fldCharType="begin"/>
      </w:r>
      <w:r>
        <w:instrText xml:space="preserve"> PAGEREF _Toc152145315 \h </w:instrText>
      </w:r>
      <w:r>
        <w:fldChar w:fldCharType="separate"/>
      </w:r>
      <w:r>
        <w:t>- 9 -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14:ligatures w14:val="standardContextual"/>
        </w:rPr>
      </w:pPr>
      <w:r>
        <w:fldChar w:fldCharType="begin"/>
      </w:r>
      <w:r>
        <w:instrText xml:space="preserve"> HYPERLINK \l "_Toc152145316" </w:instrText>
      </w:r>
      <w:r>
        <w:fldChar w:fldCharType="separate"/>
      </w:r>
      <w:r>
        <w:rPr>
          <w:rStyle w:val="65"/>
          <w:rFonts w:ascii="宋体" w:hAnsi="宋体"/>
        </w:rPr>
        <w:t>第四篇  比选程序及方法、评审标准、无效响应和采购终止</w:t>
      </w:r>
      <w:r>
        <w:tab/>
      </w:r>
      <w:r>
        <w:fldChar w:fldCharType="begin"/>
      </w:r>
      <w:r>
        <w:instrText xml:space="preserve"> PAGEREF _Toc152145316 \h </w:instrText>
      </w:r>
      <w:r>
        <w:fldChar w:fldCharType="separate"/>
      </w:r>
      <w:r>
        <w:t>- 10 -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"_Toc152145317" </w:instrText>
      </w:r>
      <w:r>
        <w:fldChar w:fldCharType="separate"/>
      </w:r>
      <w:r>
        <w:rPr>
          <w:rStyle w:val="65"/>
          <w:rFonts w:ascii="宋体" w:hAnsi="宋体"/>
        </w:rPr>
        <w:t>一、比选程序及方法</w:t>
      </w:r>
      <w:r>
        <w:tab/>
      </w:r>
      <w:r>
        <w:fldChar w:fldCharType="begin"/>
      </w:r>
      <w:r>
        <w:instrText xml:space="preserve"> PAGEREF _Toc152145317 \h </w:instrText>
      </w:r>
      <w:r>
        <w:fldChar w:fldCharType="separate"/>
      </w:r>
      <w:r>
        <w:t>- 10 -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"_Toc152145318" </w:instrText>
      </w:r>
      <w:r>
        <w:fldChar w:fldCharType="separate"/>
      </w:r>
      <w:r>
        <w:rPr>
          <w:rStyle w:val="65"/>
          <w:rFonts w:ascii="宋体" w:hAnsi="宋体"/>
        </w:rPr>
        <w:t>二、评审标准</w:t>
      </w:r>
      <w:r>
        <w:tab/>
      </w:r>
      <w:r>
        <w:fldChar w:fldCharType="begin"/>
      </w:r>
      <w:r>
        <w:instrText xml:space="preserve"> PAGEREF _Toc152145318 \h </w:instrText>
      </w:r>
      <w:r>
        <w:fldChar w:fldCharType="separate"/>
      </w:r>
      <w:r>
        <w:t>- 12 -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"_Toc152145319" </w:instrText>
      </w:r>
      <w:r>
        <w:fldChar w:fldCharType="separate"/>
      </w:r>
      <w:r>
        <w:rPr>
          <w:rStyle w:val="65"/>
          <w:rFonts w:ascii="宋体" w:hAnsi="宋体"/>
        </w:rPr>
        <w:t>三、无效响应</w:t>
      </w:r>
      <w:r>
        <w:tab/>
      </w:r>
      <w:r>
        <w:fldChar w:fldCharType="begin"/>
      </w:r>
      <w:r>
        <w:instrText xml:space="preserve"> PAGEREF _Toc152145319 \h </w:instrText>
      </w:r>
      <w:r>
        <w:fldChar w:fldCharType="separate"/>
      </w:r>
      <w:r>
        <w:t>- 14 -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"_Toc152145320" </w:instrText>
      </w:r>
      <w:r>
        <w:fldChar w:fldCharType="separate"/>
      </w:r>
      <w:r>
        <w:rPr>
          <w:rStyle w:val="65"/>
          <w:rFonts w:ascii="宋体" w:hAnsi="宋体"/>
        </w:rPr>
        <w:t>四、采购终止</w:t>
      </w:r>
      <w:r>
        <w:tab/>
      </w:r>
      <w:r>
        <w:fldChar w:fldCharType="begin"/>
      </w:r>
      <w:r>
        <w:instrText xml:space="preserve"> PAGEREF _Toc152145320 \h </w:instrText>
      </w:r>
      <w:r>
        <w:fldChar w:fldCharType="separate"/>
      </w:r>
      <w:r>
        <w:t>- 14 -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14:ligatures w14:val="standardContextual"/>
        </w:rPr>
      </w:pPr>
      <w:r>
        <w:fldChar w:fldCharType="begin"/>
      </w:r>
      <w:r>
        <w:instrText xml:space="preserve"> HYPERLINK \l "_Toc152145321" </w:instrText>
      </w:r>
      <w:r>
        <w:fldChar w:fldCharType="separate"/>
      </w:r>
      <w:r>
        <w:rPr>
          <w:rStyle w:val="65"/>
          <w:rFonts w:ascii="宋体" w:hAnsi="宋体"/>
        </w:rPr>
        <w:t>第五篇  供应商须知</w:t>
      </w:r>
      <w:r>
        <w:tab/>
      </w:r>
      <w:r>
        <w:fldChar w:fldCharType="begin"/>
      </w:r>
      <w:r>
        <w:instrText xml:space="preserve"> PAGEREF _Toc152145321 \h </w:instrText>
      </w:r>
      <w:r>
        <w:fldChar w:fldCharType="separate"/>
      </w:r>
      <w:r>
        <w:t>- 15 -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"_Toc152145322" </w:instrText>
      </w:r>
      <w:r>
        <w:fldChar w:fldCharType="separate"/>
      </w:r>
      <w:r>
        <w:rPr>
          <w:rStyle w:val="65"/>
          <w:rFonts w:ascii="宋体" w:hAnsi="宋体"/>
        </w:rPr>
        <w:t>一、比选费用</w:t>
      </w:r>
      <w:r>
        <w:tab/>
      </w:r>
      <w:r>
        <w:fldChar w:fldCharType="begin"/>
      </w:r>
      <w:r>
        <w:instrText xml:space="preserve"> PAGEREF _Toc152145322 \h </w:instrText>
      </w:r>
      <w:r>
        <w:fldChar w:fldCharType="separate"/>
      </w:r>
      <w:r>
        <w:t>- 15 -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"_Toc152145323" </w:instrText>
      </w:r>
      <w:r>
        <w:fldChar w:fldCharType="separate"/>
      </w:r>
      <w:r>
        <w:rPr>
          <w:rStyle w:val="65"/>
          <w:rFonts w:ascii="宋体" w:hAnsi="宋体"/>
        </w:rPr>
        <w:t>二、竞争性比选文件</w:t>
      </w:r>
      <w:r>
        <w:tab/>
      </w:r>
      <w:r>
        <w:fldChar w:fldCharType="begin"/>
      </w:r>
      <w:r>
        <w:instrText xml:space="preserve"> PAGEREF _Toc152145323 \h </w:instrText>
      </w:r>
      <w:r>
        <w:fldChar w:fldCharType="separate"/>
      </w:r>
      <w:r>
        <w:t>- 15 -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"_Toc152145324" </w:instrText>
      </w:r>
      <w:r>
        <w:fldChar w:fldCharType="separate"/>
      </w:r>
      <w:r>
        <w:rPr>
          <w:rStyle w:val="65"/>
          <w:rFonts w:ascii="宋体" w:hAnsi="宋体"/>
        </w:rPr>
        <w:t>三、比选要求</w:t>
      </w:r>
      <w:r>
        <w:tab/>
      </w:r>
      <w:r>
        <w:fldChar w:fldCharType="begin"/>
      </w:r>
      <w:r>
        <w:instrText xml:space="preserve"> PAGEREF _Toc152145324 \h </w:instrText>
      </w:r>
      <w:r>
        <w:fldChar w:fldCharType="separate"/>
      </w:r>
      <w:r>
        <w:t>- 15 -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"_Toc152145325" </w:instrText>
      </w:r>
      <w:r>
        <w:fldChar w:fldCharType="separate"/>
      </w:r>
      <w:r>
        <w:rPr>
          <w:rStyle w:val="65"/>
          <w:rFonts w:ascii="宋体" w:hAnsi="宋体"/>
        </w:rPr>
        <w:t>四、成交供应商的确认和变更</w:t>
      </w:r>
      <w:r>
        <w:tab/>
      </w:r>
      <w:r>
        <w:fldChar w:fldCharType="begin"/>
      </w:r>
      <w:r>
        <w:instrText xml:space="preserve"> PAGEREF _Toc152145325 \h </w:instrText>
      </w:r>
      <w:r>
        <w:fldChar w:fldCharType="separate"/>
      </w:r>
      <w:r>
        <w:t>- 17 -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"_Toc152145326" </w:instrText>
      </w:r>
      <w:r>
        <w:fldChar w:fldCharType="separate"/>
      </w:r>
      <w:r>
        <w:rPr>
          <w:rStyle w:val="65"/>
          <w:rFonts w:ascii="宋体" w:hAnsi="宋体"/>
        </w:rPr>
        <w:t>五、成交通知</w:t>
      </w:r>
      <w:r>
        <w:tab/>
      </w:r>
      <w:r>
        <w:fldChar w:fldCharType="begin"/>
      </w:r>
      <w:r>
        <w:instrText xml:space="preserve"> PAGEREF _Toc152145326 \h </w:instrText>
      </w:r>
      <w:r>
        <w:fldChar w:fldCharType="separate"/>
      </w:r>
      <w:r>
        <w:t>- 17 -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"_Toc152145327" </w:instrText>
      </w:r>
      <w:r>
        <w:fldChar w:fldCharType="separate"/>
      </w:r>
      <w:r>
        <w:rPr>
          <w:rStyle w:val="65"/>
          <w:rFonts w:ascii="宋体" w:hAnsi="宋体"/>
        </w:rPr>
        <w:t>六、关于质疑和投诉</w:t>
      </w:r>
      <w:r>
        <w:tab/>
      </w:r>
      <w:r>
        <w:fldChar w:fldCharType="begin"/>
      </w:r>
      <w:r>
        <w:instrText xml:space="preserve"> PAGEREF _Toc152145327 \h </w:instrText>
      </w:r>
      <w:r>
        <w:fldChar w:fldCharType="separate"/>
      </w:r>
      <w:r>
        <w:t>- 17 -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"_Toc152145328" </w:instrText>
      </w:r>
      <w:r>
        <w:fldChar w:fldCharType="separate"/>
      </w:r>
      <w:r>
        <w:rPr>
          <w:rStyle w:val="65"/>
          <w:rFonts w:ascii="宋体" w:hAnsi="宋体"/>
        </w:rPr>
        <w:t>七、采购代理服务费</w:t>
      </w:r>
      <w:r>
        <w:tab/>
      </w:r>
      <w:r>
        <w:fldChar w:fldCharType="begin"/>
      </w:r>
      <w:r>
        <w:instrText xml:space="preserve"> PAGEREF _Toc152145328 \h </w:instrText>
      </w:r>
      <w:r>
        <w:fldChar w:fldCharType="separate"/>
      </w:r>
      <w:r>
        <w:t>- 19 -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"_Toc152145329" </w:instrText>
      </w:r>
      <w:r>
        <w:fldChar w:fldCharType="separate"/>
      </w:r>
      <w:r>
        <w:rPr>
          <w:rStyle w:val="65"/>
          <w:rFonts w:ascii="宋体" w:hAnsi="宋体"/>
        </w:rPr>
        <w:t>八、签订合同</w:t>
      </w:r>
      <w:r>
        <w:tab/>
      </w:r>
      <w:r>
        <w:fldChar w:fldCharType="begin"/>
      </w:r>
      <w:r>
        <w:instrText xml:space="preserve"> PAGEREF _Toc152145329 \h </w:instrText>
      </w:r>
      <w:r>
        <w:fldChar w:fldCharType="separate"/>
      </w:r>
      <w:r>
        <w:t>- 19 -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14:ligatures w14:val="standardContextual"/>
        </w:rPr>
      </w:pPr>
      <w:r>
        <w:fldChar w:fldCharType="begin"/>
      </w:r>
      <w:r>
        <w:instrText xml:space="preserve"> HYPERLINK \l "_Toc152145330" </w:instrText>
      </w:r>
      <w:r>
        <w:fldChar w:fldCharType="separate"/>
      </w:r>
      <w:r>
        <w:rPr>
          <w:rStyle w:val="65"/>
          <w:rFonts w:ascii="宋体" w:hAnsi="宋体"/>
        </w:rPr>
        <w:t>第六篇  合同草案条款</w:t>
      </w:r>
      <w:r>
        <w:tab/>
      </w:r>
      <w:r>
        <w:fldChar w:fldCharType="begin"/>
      </w:r>
      <w:r>
        <w:instrText xml:space="preserve"> PAGEREF _Toc152145330 \h </w:instrText>
      </w:r>
      <w:r>
        <w:fldChar w:fldCharType="separate"/>
      </w:r>
      <w:r>
        <w:t>- 20 -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"_Toc152145331" </w:instrText>
      </w:r>
      <w:r>
        <w:fldChar w:fldCharType="separate"/>
      </w:r>
      <w:r>
        <w:rPr>
          <w:rStyle w:val="65"/>
          <w:rFonts w:ascii="宋体" w:hAnsi="宋体"/>
        </w:rPr>
        <w:t>一、合同主要条款</w:t>
      </w:r>
      <w:r>
        <w:tab/>
      </w:r>
      <w:r>
        <w:fldChar w:fldCharType="begin"/>
      </w:r>
      <w:r>
        <w:instrText xml:space="preserve"> PAGEREF _Toc152145331 \h </w:instrText>
      </w:r>
      <w:r>
        <w:fldChar w:fldCharType="separate"/>
      </w:r>
      <w:r>
        <w:t>- 20 -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"_Toc152145332" </w:instrText>
      </w:r>
      <w:r>
        <w:fldChar w:fldCharType="separate"/>
      </w:r>
      <w:r>
        <w:rPr>
          <w:rStyle w:val="65"/>
          <w:rFonts w:ascii="宋体" w:hAnsi="宋体"/>
        </w:rPr>
        <w:t>二、政府采购合同（格式）</w:t>
      </w:r>
      <w:r>
        <w:tab/>
      </w:r>
      <w:r>
        <w:fldChar w:fldCharType="begin"/>
      </w:r>
      <w:r>
        <w:instrText xml:space="preserve"> PAGEREF _Toc152145332 \h </w:instrText>
      </w:r>
      <w:r>
        <w:fldChar w:fldCharType="separate"/>
      </w:r>
      <w:r>
        <w:t>- 22 -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14:ligatures w14:val="standardContextual"/>
        </w:rPr>
      </w:pPr>
      <w:r>
        <w:fldChar w:fldCharType="begin"/>
      </w:r>
      <w:r>
        <w:instrText xml:space="preserve"> HYPERLINK \l "_Toc152145333" </w:instrText>
      </w:r>
      <w:r>
        <w:fldChar w:fldCharType="separate"/>
      </w:r>
      <w:r>
        <w:rPr>
          <w:rStyle w:val="65"/>
          <w:rFonts w:ascii="宋体" w:hAnsi="宋体"/>
        </w:rPr>
        <w:t>第七篇  响应文件编制要求</w:t>
      </w:r>
      <w:r>
        <w:tab/>
      </w:r>
      <w:r>
        <w:fldChar w:fldCharType="begin"/>
      </w:r>
      <w:r>
        <w:instrText xml:space="preserve"> PAGEREF _Toc152145333 \h </w:instrText>
      </w:r>
      <w:r>
        <w:fldChar w:fldCharType="separate"/>
      </w:r>
      <w:r>
        <w:t>- 24 -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"_Toc152145334" </w:instrText>
      </w:r>
      <w:r>
        <w:fldChar w:fldCharType="separate"/>
      </w:r>
      <w:r>
        <w:rPr>
          <w:rStyle w:val="65"/>
          <w:rFonts w:ascii="宋体" w:hAnsi="宋体"/>
        </w:rPr>
        <w:t>一、经济部分</w:t>
      </w:r>
      <w:r>
        <w:tab/>
      </w:r>
      <w:r>
        <w:fldChar w:fldCharType="begin"/>
      </w:r>
      <w:r>
        <w:instrText xml:space="preserve"> PAGEREF _Toc152145334 \h </w:instrText>
      </w:r>
      <w:r>
        <w:fldChar w:fldCharType="separate"/>
      </w:r>
      <w:r>
        <w:t>- 24 -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"_Toc152145335" </w:instrText>
      </w:r>
      <w:r>
        <w:fldChar w:fldCharType="separate"/>
      </w:r>
      <w:r>
        <w:rPr>
          <w:rStyle w:val="65"/>
          <w:rFonts w:ascii="宋体" w:hAnsi="宋体"/>
        </w:rPr>
        <w:t>二、技术部分</w:t>
      </w:r>
      <w:r>
        <w:tab/>
      </w:r>
      <w:r>
        <w:fldChar w:fldCharType="begin"/>
      </w:r>
      <w:r>
        <w:instrText xml:space="preserve"> PAGEREF _Toc152145335 \h </w:instrText>
      </w:r>
      <w:r>
        <w:fldChar w:fldCharType="separate"/>
      </w:r>
      <w:r>
        <w:t>- 24 -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"_Toc152145336" </w:instrText>
      </w:r>
      <w:r>
        <w:fldChar w:fldCharType="separate"/>
      </w:r>
      <w:r>
        <w:rPr>
          <w:rStyle w:val="65"/>
          <w:rFonts w:ascii="宋体" w:hAnsi="宋体"/>
        </w:rPr>
        <w:t>三、商务部分</w:t>
      </w:r>
      <w:r>
        <w:tab/>
      </w:r>
      <w:r>
        <w:fldChar w:fldCharType="begin"/>
      </w:r>
      <w:r>
        <w:instrText xml:space="preserve"> PAGEREF _Toc152145336 \h </w:instrText>
      </w:r>
      <w:r>
        <w:fldChar w:fldCharType="separate"/>
      </w:r>
      <w:r>
        <w:t>- 24 -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"_Toc152145337" </w:instrText>
      </w:r>
      <w:r>
        <w:fldChar w:fldCharType="separate"/>
      </w:r>
      <w:r>
        <w:rPr>
          <w:rStyle w:val="65"/>
          <w:rFonts w:ascii="宋体" w:hAnsi="宋体"/>
        </w:rPr>
        <w:t>四、资格条件及其他</w:t>
      </w:r>
      <w:r>
        <w:tab/>
      </w:r>
      <w:r>
        <w:fldChar w:fldCharType="begin"/>
      </w:r>
      <w:r>
        <w:instrText xml:space="preserve"> PAGEREF _Toc152145337 \h </w:instrText>
      </w:r>
      <w:r>
        <w:fldChar w:fldCharType="separate"/>
      </w:r>
      <w:r>
        <w:t>- 24 -</w:t>
      </w:r>
      <w:r>
        <w:fldChar w:fldCharType="end"/>
      </w:r>
      <w:r>
        <w:fldChar w:fldCharType="end"/>
      </w:r>
    </w:p>
    <w:p>
      <w:pPr>
        <w:pStyle w:val="46"/>
        <w:tabs>
          <w:tab w:val="right" w:leader="dot" w:pos="9402"/>
        </w:tabs>
        <w:spacing w:line="480" w:lineRule="exact"/>
        <w:ind w:left="560"/>
        <w:jc w:val="center"/>
        <w:rPr>
          <w:rFonts w:ascii="宋体" w:hAnsi="宋体"/>
          <w:sz w:val="24"/>
          <w:szCs w:val="24"/>
        </w:rPr>
        <w:sectPr>
          <w:footerReference r:id="rId7" w:type="default"/>
          <w:pgSz w:w="11907" w:h="16840"/>
          <w:pgMar w:top="1134" w:right="1191" w:bottom="1134" w:left="1191" w:header="851" w:footer="992" w:gutter="0"/>
          <w:pgNumType w:fmt="numberInDash" w:start="1"/>
          <w:cols w:space="720" w:num="1"/>
          <w:docGrid w:linePitch="380" w:charSpace="-5735"/>
        </w:sectPr>
      </w:pPr>
      <w:r>
        <w:rPr>
          <w:rFonts w:hint="eastAsia" w:ascii="宋体" w:hAnsi="宋体"/>
          <w:sz w:val="24"/>
          <w:szCs w:val="24"/>
        </w:rPr>
        <w:fldChar w:fldCharType="end"/>
      </w:r>
    </w:p>
    <w:p>
      <w:pPr>
        <w:pStyle w:val="5"/>
        <w:spacing w:line="360" w:lineRule="auto"/>
        <w:jc w:val="center"/>
        <w:rPr>
          <w:rFonts w:ascii="宋体" w:hAnsi="宋体" w:eastAsia="宋体"/>
          <w:sz w:val="36"/>
          <w:szCs w:val="30"/>
        </w:rPr>
      </w:pPr>
      <w:bookmarkStart w:id="0" w:name="_Toc152145298"/>
      <w:bookmarkStart w:id="1" w:name="_Toc11641050"/>
      <w:bookmarkStart w:id="2" w:name="_Toc12789052"/>
      <w:r>
        <w:rPr>
          <w:rFonts w:hint="eastAsia" w:ascii="宋体" w:hAnsi="宋体" w:eastAsia="宋体"/>
          <w:sz w:val="36"/>
          <w:szCs w:val="30"/>
        </w:rPr>
        <w:t>第一篇  采购邀请书</w:t>
      </w:r>
      <w:bookmarkEnd w:id="0"/>
      <w:bookmarkEnd w:id="1"/>
      <w:bookmarkEnd w:id="2"/>
    </w:p>
    <w:p>
      <w:pPr>
        <w:snapToGrid w:val="0"/>
        <w:spacing w:line="360" w:lineRule="auto"/>
        <w:ind w:firstLine="480" w:firstLineChars="200"/>
        <w:rPr>
          <w:rFonts w:ascii="宋体" w:hAnsi="宋体"/>
          <w:sz w:val="24"/>
          <w:szCs w:val="24"/>
        </w:rPr>
      </w:pPr>
      <w:r>
        <w:rPr>
          <w:rFonts w:hint="eastAsia" w:ascii="宋体" w:hAnsi="宋体"/>
          <w:sz w:val="24"/>
          <w:szCs w:val="24"/>
        </w:rPr>
        <w:t>重庆市中基致信招标代理有限公司（以下简称：采购代理机构）接</w:t>
      </w:r>
      <w:r>
        <w:rPr>
          <w:rFonts w:ascii="宋体" w:hAnsi="宋体"/>
          <w:sz w:val="24"/>
          <w:szCs w:val="24"/>
        </w:rPr>
        <w:t>受</w:t>
      </w:r>
      <w:r>
        <w:rPr>
          <w:rFonts w:hint="eastAsia" w:ascii="宋体" w:hAnsi="宋体"/>
          <w:sz w:val="24"/>
          <w:szCs w:val="24"/>
        </w:rPr>
        <w:t>西部陆海新通道物流和运营组织中心的委托，对第6-8期《陆海新通道》编制项目（项目号：</w:t>
      </w:r>
      <w:r>
        <w:rPr>
          <w:rFonts w:ascii="宋体" w:hAnsi="宋体"/>
          <w:sz w:val="24"/>
          <w:szCs w:val="24"/>
        </w:rPr>
        <w:t>SZFKAWLCG2023-032</w:t>
      </w:r>
      <w:r>
        <w:rPr>
          <w:rFonts w:hint="eastAsia" w:ascii="宋体" w:hAnsi="宋体"/>
          <w:sz w:val="24"/>
          <w:szCs w:val="24"/>
        </w:rPr>
        <w:t>）进行竞争性比选采购。欢迎有资格的供应商前来参与比选。</w:t>
      </w:r>
    </w:p>
    <w:p>
      <w:pPr>
        <w:pStyle w:val="6"/>
        <w:spacing w:before="0" w:after="0" w:line="360" w:lineRule="auto"/>
        <w:ind w:firstLine="482" w:firstLineChars="200"/>
        <w:rPr>
          <w:rFonts w:ascii="宋体" w:hAnsi="宋体"/>
          <w:sz w:val="24"/>
          <w:szCs w:val="24"/>
        </w:rPr>
      </w:pPr>
      <w:bookmarkStart w:id="3" w:name="_Toc313893526"/>
      <w:bookmarkStart w:id="4" w:name="_Toc317775175"/>
      <w:bookmarkStart w:id="5" w:name="_Toc152145299"/>
      <w:r>
        <w:rPr>
          <w:rFonts w:hint="eastAsia" w:ascii="宋体" w:hAnsi="宋体"/>
          <w:sz w:val="24"/>
          <w:szCs w:val="24"/>
        </w:rPr>
        <w:t>一、竞争性比选内容</w:t>
      </w:r>
      <w:bookmarkEnd w:id="3"/>
      <w:bookmarkEnd w:id="4"/>
      <w:bookmarkEnd w:id="5"/>
    </w:p>
    <w:tbl>
      <w:tblPr>
        <w:tblStyle w:val="58"/>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0"/>
        <w:gridCol w:w="1275"/>
        <w:gridCol w:w="1276"/>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3970"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1"/>
              </w:rPr>
            </w:pPr>
            <w:bookmarkStart w:id="6" w:name="_Toc317775178"/>
            <w:bookmarkStart w:id="7" w:name="_Toc373860293"/>
            <w:r>
              <w:rPr>
                <w:rFonts w:hint="eastAsia" w:ascii="宋体" w:hAnsi="宋体" w:cs="宋体"/>
                <w:b/>
                <w:bCs/>
                <w:kern w:val="0"/>
                <w:sz w:val="21"/>
                <w:szCs w:val="21"/>
              </w:rPr>
              <w:t>项目内容</w:t>
            </w:r>
          </w:p>
        </w:tc>
        <w:tc>
          <w:tcPr>
            <w:tcW w:w="1275"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最高限价</w:t>
            </w:r>
          </w:p>
          <w:p>
            <w:pPr>
              <w:widowControl/>
              <w:jc w:val="center"/>
              <w:rPr>
                <w:rFonts w:ascii="宋体" w:hAnsi="宋体" w:cs="宋体"/>
                <w:b/>
                <w:bCs/>
                <w:kern w:val="0"/>
                <w:sz w:val="21"/>
                <w:szCs w:val="21"/>
              </w:rPr>
            </w:pPr>
            <w:r>
              <w:rPr>
                <w:rFonts w:hint="eastAsia" w:ascii="宋体" w:hAnsi="宋体" w:cs="宋体"/>
                <w:b/>
                <w:bCs/>
                <w:kern w:val="0"/>
                <w:sz w:val="21"/>
                <w:szCs w:val="21"/>
              </w:rPr>
              <w:t>（万元）</w:t>
            </w: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比选保证金</w:t>
            </w:r>
          </w:p>
          <w:p>
            <w:pPr>
              <w:widowControl/>
              <w:jc w:val="center"/>
              <w:rPr>
                <w:rFonts w:ascii="宋体" w:hAnsi="宋体" w:cs="宋体"/>
                <w:b/>
                <w:bCs/>
                <w:kern w:val="0"/>
                <w:sz w:val="21"/>
                <w:szCs w:val="21"/>
              </w:rPr>
            </w:pPr>
            <w:r>
              <w:rPr>
                <w:rFonts w:hint="eastAsia" w:ascii="宋体" w:hAnsi="宋体" w:cs="宋体"/>
                <w:b/>
                <w:bCs/>
                <w:kern w:val="0"/>
                <w:sz w:val="21"/>
                <w:szCs w:val="21"/>
              </w:rPr>
              <w:t>（元）</w:t>
            </w: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成交供应商数量（名）</w:t>
            </w:r>
          </w:p>
        </w:tc>
        <w:tc>
          <w:tcPr>
            <w:tcW w:w="1984"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970" w:type="dxa"/>
            <w:tcBorders>
              <w:top w:val="single" w:color="auto" w:sz="4" w:space="0"/>
              <w:left w:val="single" w:color="auto" w:sz="4" w:space="0"/>
              <w:right w:val="single" w:color="auto" w:sz="4" w:space="0"/>
            </w:tcBorders>
            <w:vAlign w:val="center"/>
          </w:tcPr>
          <w:p>
            <w:pPr>
              <w:pStyle w:val="24"/>
              <w:spacing w:line="240" w:lineRule="auto"/>
              <w:ind w:left="0"/>
              <w:jc w:val="center"/>
              <w:outlineLvl w:val="0"/>
              <w:rPr>
                <w:rFonts w:ascii="宋体" w:hAnsi="宋体"/>
                <w:sz w:val="21"/>
                <w:szCs w:val="21"/>
              </w:rPr>
            </w:pPr>
            <w:bookmarkStart w:id="8" w:name="_Hlk344477914"/>
            <w:r>
              <w:rPr>
                <w:rFonts w:hint="eastAsia" w:ascii="宋体" w:hAnsi="宋体"/>
                <w:sz w:val="21"/>
                <w:szCs w:val="21"/>
              </w:rPr>
              <w:t>第6-8期《陆海新通道》编制项目</w:t>
            </w:r>
          </w:p>
        </w:tc>
        <w:tc>
          <w:tcPr>
            <w:tcW w:w="1275" w:type="dxa"/>
            <w:tcBorders>
              <w:top w:val="single" w:color="auto" w:sz="4" w:space="0"/>
              <w:left w:val="single" w:color="auto" w:sz="4" w:space="0"/>
              <w:right w:val="single" w:color="auto" w:sz="4" w:space="0"/>
            </w:tcBorders>
            <w:vAlign w:val="center"/>
          </w:tcPr>
          <w:p>
            <w:pPr>
              <w:pStyle w:val="24"/>
              <w:spacing w:line="240" w:lineRule="auto"/>
              <w:ind w:left="0"/>
              <w:jc w:val="center"/>
              <w:outlineLvl w:val="0"/>
              <w:rPr>
                <w:rFonts w:ascii="宋体" w:hAnsi="宋体"/>
                <w:sz w:val="21"/>
                <w:szCs w:val="21"/>
              </w:rPr>
            </w:pPr>
            <w:r>
              <w:rPr>
                <w:rFonts w:ascii="宋体" w:hAnsi="宋体"/>
                <w:sz w:val="21"/>
                <w:szCs w:val="21"/>
              </w:rPr>
              <w:t>30</w:t>
            </w:r>
          </w:p>
        </w:tc>
        <w:tc>
          <w:tcPr>
            <w:tcW w:w="1276" w:type="dxa"/>
            <w:tcBorders>
              <w:top w:val="single" w:color="auto" w:sz="4" w:space="0"/>
              <w:left w:val="single" w:color="auto" w:sz="4" w:space="0"/>
              <w:right w:val="single" w:color="auto" w:sz="4" w:space="0"/>
            </w:tcBorders>
            <w:vAlign w:val="center"/>
          </w:tcPr>
          <w:p>
            <w:pPr>
              <w:pStyle w:val="24"/>
              <w:spacing w:line="240" w:lineRule="auto"/>
              <w:ind w:left="0"/>
              <w:jc w:val="center"/>
              <w:outlineLvl w:val="0"/>
              <w:rPr>
                <w:rFonts w:ascii="宋体" w:hAnsi="宋体"/>
                <w:sz w:val="21"/>
                <w:szCs w:val="21"/>
              </w:rPr>
            </w:pPr>
            <w:r>
              <w:rPr>
                <w:rFonts w:ascii="宋体" w:hAnsi="宋体"/>
                <w:sz w:val="21"/>
                <w:szCs w:val="21"/>
              </w:rPr>
              <w:t>6000</w:t>
            </w:r>
          </w:p>
        </w:tc>
        <w:tc>
          <w:tcPr>
            <w:tcW w:w="1276" w:type="dxa"/>
            <w:tcBorders>
              <w:top w:val="single" w:color="auto" w:sz="4" w:space="0"/>
              <w:left w:val="single" w:color="auto" w:sz="4" w:space="0"/>
              <w:right w:val="single" w:color="auto" w:sz="4" w:space="0"/>
            </w:tcBorders>
            <w:vAlign w:val="center"/>
          </w:tcPr>
          <w:p>
            <w:pPr>
              <w:pStyle w:val="24"/>
              <w:spacing w:line="240" w:lineRule="auto"/>
              <w:ind w:left="0"/>
              <w:jc w:val="center"/>
              <w:outlineLvl w:val="0"/>
              <w:rPr>
                <w:rFonts w:ascii="宋体" w:hAnsi="宋体"/>
                <w:sz w:val="21"/>
                <w:szCs w:val="21"/>
              </w:rPr>
            </w:pPr>
            <w:r>
              <w:rPr>
                <w:rFonts w:ascii="宋体" w:hAnsi="宋体"/>
                <w:sz w:val="21"/>
                <w:szCs w:val="21"/>
              </w:rPr>
              <w:t>1</w:t>
            </w:r>
          </w:p>
        </w:tc>
        <w:tc>
          <w:tcPr>
            <w:tcW w:w="1984" w:type="dxa"/>
            <w:tcBorders>
              <w:top w:val="single" w:color="auto" w:sz="4" w:space="0"/>
              <w:left w:val="single" w:color="auto" w:sz="4" w:space="0"/>
              <w:right w:val="single" w:color="auto" w:sz="4" w:space="0"/>
            </w:tcBorders>
            <w:vAlign w:val="center"/>
          </w:tcPr>
          <w:p>
            <w:pPr>
              <w:pStyle w:val="24"/>
              <w:spacing w:line="240" w:lineRule="auto"/>
              <w:ind w:left="0"/>
              <w:jc w:val="center"/>
              <w:outlineLvl w:val="0"/>
              <w:rPr>
                <w:rFonts w:ascii="宋体" w:hAnsi="宋体"/>
                <w:sz w:val="21"/>
                <w:szCs w:val="21"/>
              </w:rPr>
            </w:pPr>
            <w:r>
              <w:rPr>
                <w:rFonts w:hint="eastAsia" w:ascii="宋体" w:hAnsi="宋体"/>
                <w:sz w:val="21"/>
                <w:szCs w:val="21"/>
              </w:rPr>
              <w:t>其他未列明行业</w:t>
            </w:r>
          </w:p>
        </w:tc>
      </w:tr>
      <w:bookmarkEnd w:id="8"/>
    </w:tbl>
    <w:p>
      <w:pPr>
        <w:pStyle w:val="6"/>
        <w:spacing w:before="0" w:after="0" w:line="360" w:lineRule="auto"/>
        <w:ind w:firstLine="482" w:firstLineChars="200"/>
        <w:rPr>
          <w:rFonts w:ascii="宋体" w:hAnsi="宋体"/>
          <w:sz w:val="24"/>
          <w:szCs w:val="24"/>
        </w:rPr>
      </w:pPr>
      <w:bookmarkStart w:id="9" w:name="_Toc152145300"/>
      <w:r>
        <w:rPr>
          <w:rFonts w:hint="eastAsia" w:ascii="宋体" w:hAnsi="宋体"/>
          <w:sz w:val="24"/>
          <w:szCs w:val="24"/>
        </w:rPr>
        <w:t>二、资金来源</w:t>
      </w:r>
      <w:bookmarkEnd w:id="9"/>
    </w:p>
    <w:p>
      <w:pPr>
        <w:snapToGrid w:val="0"/>
        <w:spacing w:line="360" w:lineRule="auto"/>
        <w:ind w:firstLine="480" w:firstLineChars="200"/>
        <w:rPr>
          <w:rFonts w:ascii="宋体" w:hAnsi="宋体"/>
          <w:sz w:val="24"/>
          <w:szCs w:val="24"/>
        </w:rPr>
      </w:pPr>
      <w:r>
        <w:rPr>
          <w:rFonts w:hint="eastAsia" w:ascii="宋体" w:hAnsi="宋体"/>
          <w:sz w:val="24"/>
          <w:szCs w:val="24"/>
        </w:rPr>
        <w:t>财政预算资金,预算金额为人民币</w:t>
      </w:r>
      <w:r>
        <w:rPr>
          <w:rFonts w:ascii="宋体" w:hAnsi="宋体"/>
          <w:sz w:val="24"/>
          <w:szCs w:val="24"/>
        </w:rPr>
        <w:t>30</w:t>
      </w:r>
      <w:r>
        <w:rPr>
          <w:rFonts w:hint="eastAsia" w:ascii="宋体" w:hAnsi="宋体"/>
          <w:sz w:val="24"/>
          <w:szCs w:val="24"/>
        </w:rPr>
        <w:t>万元。</w:t>
      </w:r>
    </w:p>
    <w:bookmarkEnd w:id="6"/>
    <w:bookmarkEnd w:id="7"/>
    <w:p>
      <w:pPr>
        <w:pStyle w:val="6"/>
        <w:spacing w:before="0" w:after="0" w:line="360" w:lineRule="auto"/>
        <w:ind w:firstLine="482" w:firstLineChars="200"/>
        <w:rPr>
          <w:rFonts w:ascii="宋体" w:hAnsi="宋体"/>
          <w:sz w:val="24"/>
          <w:szCs w:val="24"/>
        </w:rPr>
      </w:pPr>
      <w:bookmarkStart w:id="10" w:name="_Toc75258773"/>
      <w:bookmarkStart w:id="11" w:name="_Toc152145301"/>
      <w:r>
        <w:rPr>
          <w:rFonts w:hint="eastAsia" w:ascii="宋体" w:hAnsi="宋体"/>
          <w:sz w:val="24"/>
          <w:szCs w:val="24"/>
        </w:rPr>
        <w:t>三、供应商资格条件</w:t>
      </w:r>
      <w:bookmarkEnd w:id="10"/>
      <w:bookmarkEnd w:id="11"/>
    </w:p>
    <w:p>
      <w:pPr>
        <w:snapToGrid w:val="0"/>
        <w:spacing w:line="360" w:lineRule="auto"/>
        <w:ind w:firstLine="480" w:firstLineChars="200"/>
        <w:rPr>
          <w:rFonts w:ascii="宋体" w:hAnsi="宋体"/>
          <w:sz w:val="24"/>
          <w:szCs w:val="24"/>
        </w:rPr>
      </w:pPr>
      <w:bookmarkStart w:id="12" w:name="_Toc75258774"/>
      <w:r>
        <w:rPr>
          <w:rFonts w:hint="eastAsia" w:ascii="宋体" w:hAnsi="宋体"/>
          <w:sz w:val="24"/>
          <w:szCs w:val="24"/>
        </w:rPr>
        <w:t>（一）合格供应商应满足《中华人民共和国政府采购法》第二十二条规定；</w:t>
      </w:r>
    </w:p>
    <w:p>
      <w:pPr>
        <w:snapToGrid w:val="0"/>
        <w:spacing w:line="360" w:lineRule="auto"/>
        <w:ind w:firstLine="480" w:firstLineChars="200"/>
        <w:rPr>
          <w:rFonts w:ascii="宋体" w:hAnsi="宋体"/>
          <w:sz w:val="24"/>
          <w:szCs w:val="24"/>
        </w:rPr>
      </w:pPr>
      <w:r>
        <w:rPr>
          <w:rFonts w:hint="eastAsia" w:ascii="宋体" w:hAnsi="宋体"/>
          <w:sz w:val="24"/>
          <w:szCs w:val="24"/>
        </w:rPr>
        <w:t>（二）本项目的特定资格条件：无；</w:t>
      </w:r>
    </w:p>
    <w:p>
      <w:pPr>
        <w:snapToGrid w:val="0"/>
        <w:spacing w:line="360" w:lineRule="auto"/>
        <w:ind w:firstLine="480" w:firstLineChars="200"/>
        <w:rPr>
          <w:rFonts w:ascii="宋体" w:hAnsi="宋体"/>
          <w:sz w:val="24"/>
          <w:szCs w:val="24"/>
        </w:rPr>
      </w:pPr>
      <w:r>
        <w:rPr>
          <w:rFonts w:hint="eastAsia" w:ascii="宋体" w:hAnsi="宋体"/>
          <w:sz w:val="24"/>
          <w:szCs w:val="24"/>
        </w:rPr>
        <w:t>（三）落实政府采购政策需满足的资格要求：无。</w:t>
      </w:r>
    </w:p>
    <w:p>
      <w:pPr>
        <w:pStyle w:val="6"/>
        <w:spacing w:before="0" w:after="0" w:line="360" w:lineRule="auto"/>
        <w:ind w:firstLine="482" w:firstLineChars="200"/>
        <w:rPr>
          <w:rFonts w:ascii="宋体" w:hAnsi="宋体"/>
          <w:sz w:val="24"/>
          <w:szCs w:val="24"/>
        </w:rPr>
      </w:pPr>
      <w:bookmarkStart w:id="13" w:name="_Toc152145302"/>
      <w:r>
        <w:rPr>
          <w:rFonts w:hint="eastAsia" w:ascii="宋体" w:hAnsi="宋体"/>
          <w:sz w:val="24"/>
          <w:szCs w:val="24"/>
        </w:rPr>
        <w:t>四、比选有关说明</w:t>
      </w:r>
      <w:bookmarkEnd w:id="12"/>
      <w:bookmarkEnd w:id="13"/>
    </w:p>
    <w:p>
      <w:pPr>
        <w:snapToGrid w:val="0"/>
        <w:spacing w:line="360" w:lineRule="auto"/>
        <w:ind w:firstLine="480" w:firstLineChars="200"/>
        <w:rPr>
          <w:rFonts w:ascii="宋体" w:hAnsi="宋体"/>
          <w:sz w:val="24"/>
          <w:szCs w:val="24"/>
        </w:rPr>
      </w:pPr>
      <w:r>
        <w:rPr>
          <w:rFonts w:hint="eastAsia" w:ascii="宋体" w:hAnsi="宋体"/>
          <w:sz w:val="24"/>
          <w:szCs w:val="24"/>
        </w:rPr>
        <w:t>（一）凡有意参加比选的供应商，请在规定时间内进行报名。报名方式为：</w:t>
      </w:r>
    </w:p>
    <w:p>
      <w:pPr>
        <w:snapToGrid w:val="0"/>
        <w:spacing w:line="360" w:lineRule="auto"/>
        <w:ind w:firstLine="480" w:firstLineChars="200"/>
        <w:rPr>
          <w:rFonts w:ascii="宋体" w:hAnsi="宋体"/>
          <w:sz w:val="24"/>
          <w:szCs w:val="24"/>
        </w:rPr>
      </w:pPr>
      <w:r>
        <w:rPr>
          <w:rFonts w:hint="eastAsia" w:ascii="宋体" w:hAnsi="宋体"/>
          <w:sz w:val="24"/>
          <w:szCs w:val="24"/>
        </w:rPr>
        <w:t>1.潜在供应商将《采购文件发售登记表》（加盖供应商公章鲜章）及标书费转账凭证的扫描后发送至hulin@cqchinabase.com。</w:t>
      </w:r>
    </w:p>
    <w:p>
      <w:pPr>
        <w:snapToGrid w:val="0"/>
        <w:spacing w:line="360" w:lineRule="auto"/>
        <w:ind w:firstLine="480" w:firstLineChars="200"/>
        <w:rPr>
          <w:rFonts w:ascii="宋体" w:hAnsi="宋体"/>
          <w:sz w:val="24"/>
          <w:szCs w:val="24"/>
        </w:rPr>
      </w:pPr>
      <w:r>
        <w:rPr>
          <w:rFonts w:hint="eastAsia" w:ascii="宋体" w:hAnsi="宋体"/>
          <w:sz w:val="24"/>
          <w:szCs w:val="24"/>
        </w:rPr>
        <w:t>2. 收款账户：</w:t>
      </w:r>
    </w:p>
    <w:p>
      <w:pPr>
        <w:snapToGrid w:val="0"/>
        <w:spacing w:line="360" w:lineRule="auto"/>
        <w:ind w:firstLine="480" w:firstLineChars="200"/>
        <w:rPr>
          <w:rFonts w:ascii="宋体" w:hAnsi="宋体"/>
          <w:sz w:val="24"/>
          <w:szCs w:val="24"/>
        </w:rPr>
      </w:pPr>
      <w:r>
        <w:rPr>
          <w:rFonts w:hint="eastAsia" w:ascii="宋体" w:hAnsi="宋体"/>
          <w:sz w:val="24"/>
          <w:szCs w:val="24"/>
        </w:rPr>
        <w:t>户  名：重庆市中基致信招标代理有限公司</w:t>
      </w:r>
    </w:p>
    <w:p>
      <w:pPr>
        <w:snapToGrid w:val="0"/>
        <w:spacing w:line="360" w:lineRule="auto"/>
        <w:ind w:firstLine="480" w:firstLineChars="200"/>
        <w:rPr>
          <w:rFonts w:ascii="宋体" w:hAnsi="宋体"/>
          <w:sz w:val="24"/>
          <w:szCs w:val="24"/>
        </w:rPr>
      </w:pPr>
      <w:r>
        <w:rPr>
          <w:rFonts w:hint="eastAsia" w:ascii="宋体" w:hAnsi="宋体"/>
          <w:sz w:val="24"/>
          <w:szCs w:val="24"/>
        </w:rPr>
        <w:t>开户行：中国银行重庆江北支行</w:t>
      </w:r>
    </w:p>
    <w:p>
      <w:pPr>
        <w:snapToGrid w:val="0"/>
        <w:spacing w:line="360" w:lineRule="auto"/>
        <w:ind w:firstLine="480" w:firstLineChars="200"/>
        <w:rPr>
          <w:rFonts w:ascii="宋体" w:hAnsi="宋体"/>
          <w:sz w:val="24"/>
          <w:szCs w:val="24"/>
        </w:rPr>
      </w:pPr>
      <w:r>
        <w:rPr>
          <w:rFonts w:hint="eastAsia" w:ascii="宋体" w:hAnsi="宋体"/>
          <w:sz w:val="24"/>
          <w:szCs w:val="24"/>
        </w:rPr>
        <w:t>账  号：1144 6718 4234</w:t>
      </w:r>
    </w:p>
    <w:p>
      <w:pPr>
        <w:jc w:val="center"/>
        <w:rPr>
          <w:sz w:val="44"/>
          <w:szCs w:val="44"/>
        </w:rPr>
      </w:pPr>
      <w:r>
        <w:rPr>
          <w:rFonts w:hint="eastAsia"/>
          <w:sz w:val="44"/>
          <w:szCs w:val="44"/>
        </w:rPr>
        <w:t>采购文件发售登记表</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2"/>
        <w:gridCol w:w="6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22" w:type="dxa"/>
            <w:tcBorders>
              <w:top w:val="double" w:color="auto" w:sz="4" w:space="0"/>
              <w:left w:val="double" w:color="auto" w:sz="4" w:space="0"/>
            </w:tcBorders>
            <w:vAlign w:val="center"/>
          </w:tcPr>
          <w:p>
            <w:pPr>
              <w:jc w:val="center"/>
              <w:rPr>
                <w:sz w:val="30"/>
                <w:szCs w:val="30"/>
              </w:rPr>
            </w:pPr>
            <w:r>
              <w:rPr>
                <w:rFonts w:hint="eastAsia"/>
                <w:sz w:val="30"/>
                <w:szCs w:val="30"/>
              </w:rPr>
              <w:t>项目号</w:t>
            </w:r>
          </w:p>
        </w:tc>
        <w:tc>
          <w:tcPr>
            <w:tcW w:w="6759" w:type="dxa"/>
            <w:tcBorders>
              <w:top w:val="double" w:color="auto" w:sz="4" w:space="0"/>
              <w:right w:val="double" w:color="auto" w:sz="4" w:space="0"/>
            </w:tcBorders>
            <w:vAlign w:val="center"/>
          </w:tcPr>
          <w:p>
            <w:pPr>
              <w:jc w:val="center"/>
              <w:rPr>
                <w:sz w:val="30"/>
                <w:szCs w:val="30"/>
              </w:rPr>
            </w:pPr>
            <w:r>
              <w:rPr>
                <w:sz w:val="30"/>
                <w:szCs w:val="30"/>
              </w:rPr>
              <w:t>SZFKAWLCG2023-032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22" w:type="dxa"/>
            <w:tcBorders>
              <w:left w:val="double" w:color="auto" w:sz="4" w:space="0"/>
            </w:tcBorders>
            <w:vAlign w:val="center"/>
          </w:tcPr>
          <w:p>
            <w:pPr>
              <w:jc w:val="center"/>
              <w:rPr>
                <w:sz w:val="30"/>
                <w:szCs w:val="30"/>
              </w:rPr>
            </w:pPr>
            <w:r>
              <w:rPr>
                <w:rFonts w:hint="eastAsia"/>
                <w:sz w:val="30"/>
                <w:szCs w:val="30"/>
              </w:rPr>
              <w:t>项目名称</w:t>
            </w:r>
          </w:p>
        </w:tc>
        <w:tc>
          <w:tcPr>
            <w:tcW w:w="6759" w:type="dxa"/>
            <w:tcBorders>
              <w:right w:val="double" w:color="auto" w:sz="4" w:space="0"/>
            </w:tcBorders>
            <w:vAlign w:val="center"/>
          </w:tcPr>
          <w:p>
            <w:pPr>
              <w:pBdr>
                <w:top w:val="none" w:color="auto" w:sz="0" w:space="1"/>
                <w:left w:val="none" w:color="auto" w:sz="0" w:space="4"/>
                <w:bottom w:val="none" w:color="auto" w:sz="0" w:space="1"/>
                <w:right w:val="none" w:color="auto" w:sz="0" w:space="4"/>
              </w:pBdr>
              <w:jc w:val="center"/>
              <w:rPr>
                <w:sz w:val="30"/>
                <w:szCs w:val="30"/>
              </w:rPr>
            </w:pPr>
            <w:r>
              <w:rPr>
                <w:rFonts w:hint="eastAsia"/>
                <w:sz w:val="30"/>
                <w:szCs w:val="30"/>
              </w:rPr>
              <w:t>第6-8期《陆海新通道》编制项目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22" w:type="dxa"/>
            <w:tcBorders>
              <w:left w:val="double" w:color="auto" w:sz="4" w:space="0"/>
            </w:tcBorders>
            <w:vAlign w:val="center"/>
          </w:tcPr>
          <w:p>
            <w:pPr>
              <w:jc w:val="center"/>
              <w:rPr>
                <w:sz w:val="30"/>
                <w:szCs w:val="30"/>
              </w:rPr>
            </w:pPr>
            <w:r>
              <w:rPr>
                <w:rFonts w:hint="eastAsia"/>
                <w:sz w:val="30"/>
                <w:szCs w:val="30"/>
              </w:rPr>
              <w:t>供应商名称</w:t>
            </w:r>
          </w:p>
        </w:tc>
        <w:tc>
          <w:tcPr>
            <w:tcW w:w="6759" w:type="dxa"/>
            <w:tcBorders>
              <w:right w:val="double" w:color="auto" w:sz="4" w:space="0"/>
            </w:tcBorders>
            <w:vAlign w:val="center"/>
          </w:tcPr>
          <w:p>
            <w:pPr>
              <w:pBdr>
                <w:top w:val="none" w:color="auto" w:sz="0" w:space="1"/>
                <w:left w:val="none" w:color="auto" w:sz="0" w:space="4"/>
                <w:bottom w:val="none" w:color="auto" w:sz="0" w:space="1"/>
                <w:right w:val="none" w:color="auto" w:sz="0" w:space="4"/>
              </w:pBd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22" w:type="dxa"/>
            <w:tcBorders>
              <w:left w:val="double" w:color="auto" w:sz="4" w:space="0"/>
            </w:tcBorders>
            <w:vAlign w:val="center"/>
          </w:tcPr>
          <w:p>
            <w:pPr>
              <w:jc w:val="center"/>
              <w:rPr>
                <w:sz w:val="30"/>
                <w:szCs w:val="30"/>
              </w:rPr>
            </w:pPr>
            <w:r>
              <w:rPr>
                <w:rFonts w:hint="eastAsia"/>
                <w:sz w:val="30"/>
                <w:szCs w:val="30"/>
              </w:rPr>
              <w:t>联系人</w:t>
            </w:r>
          </w:p>
        </w:tc>
        <w:tc>
          <w:tcPr>
            <w:tcW w:w="6759" w:type="dxa"/>
            <w:tcBorders>
              <w:right w:val="double" w:color="auto" w:sz="4" w:space="0"/>
            </w:tcBorders>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22" w:type="dxa"/>
            <w:tcBorders>
              <w:left w:val="double" w:color="auto" w:sz="4" w:space="0"/>
            </w:tcBorders>
            <w:vAlign w:val="center"/>
          </w:tcPr>
          <w:p>
            <w:pPr>
              <w:jc w:val="center"/>
              <w:rPr>
                <w:sz w:val="30"/>
                <w:szCs w:val="30"/>
              </w:rPr>
            </w:pPr>
            <w:r>
              <w:rPr>
                <w:rFonts w:hint="eastAsia"/>
                <w:sz w:val="30"/>
                <w:szCs w:val="30"/>
              </w:rPr>
              <w:t>手机</w:t>
            </w:r>
          </w:p>
        </w:tc>
        <w:tc>
          <w:tcPr>
            <w:tcW w:w="6759" w:type="dxa"/>
            <w:tcBorders>
              <w:right w:val="double" w:color="auto" w:sz="4" w:space="0"/>
            </w:tcBorders>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22" w:type="dxa"/>
            <w:tcBorders>
              <w:left w:val="double" w:color="auto" w:sz="4" w:space="0"/>
            </w:tcBorders>
            <w:vAlign w:val="center"/>
          </w:tcPr>
          <w:p>
            <w:pPr>
              <w:jc w:val="center"/>
              <w:rPr>
                <w:sz w:val="30"/>
                <w:szCs w:val="30"/>
              </w:rPr>
            </w:pPr>
            <w:r>
              <w:rPr>
                <w:rFonts w:hint="eastAsia"/>
                <w:sz w:val="30"/>
                <w:szCs w:val="30"/>
              </w:rPr>
              <w:t>办公电话</w:t>
            </w:r>
          </w:p>
        </w:tc>
        <w:tc>
          <w:tcPr>
            <w:tcW w:w="6759" w:type="dxa"/>
            <w:tcBorders>
              <w:right w:val="double" w:color="auto" w:sz="4" w:space="0"/>
            </w:tcBorders>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22" w:type="dxa"/>
            <w:tcBorders>
              <w:left w:val="double" w:color="auto" w:sz="4" w:space="0"/>
            </w:tcBorders>
            <w:vAlign w:val="center"/>
          </w:tcPr>
          <w:p>
            <w:pPr>
              <w:jc w:val="center"/>
              <w:rPr>
                <w:sz w:val="30"/>
                <w:szCs w:val="30"/>
              </w:rPr>
            </w:pPr>
            <w:r>
              <w:rPr>
                <w:rFonts w:hint="eastAsia"/>
                <w:sz w:val="30"/>
                <w:szCs w:val="30"/>
              </w:rPr>
              <w:t>传真</w:t>
            </w:r>
          </w:p>
        </w:tc>
        <w:tc>
          <w:tcPr>
            <w:tcW w:w="6759" w:type="dxa"/>
            <w:tcBorders>
              <w:right w:val="double" w:color="auto" w:sz="4" w:space="0"/>
            </w:tcBorders>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22" w:type="dxa"/>
            <w:tcBorders>
              <w:left w:val="double" w:color="auto" w:sz="4" w:space="0"/>
            </w:tcBorders>
            <w:vAlign w:val="center"/>
          </w:tcPr>
          <w:p>
            <w:pPr>
              <w:jc w:val="center"/>
              <w:rPr>
                <w:sz w:val="30"/>
                <w:szCs w:val="30"/>
              </w:rPr>
            </w:pPr>
            <w:r>
              <w:rPr>
                <w:rFonts w:hint="eastAsia"/>
                <w:sz w:val="30"/>
                <w:szCs w:val="30"/>
              </w:rPr>
              <w:t>E-mail</w:t>
            </w:r>
          </w:p>
        </w:tc>
        <w:tc>
          <w:tcPr>
            <w:tcW w:w="6759" w:type="dxa"/>
            <w:tcBorders>
              <w:right w:val="double" w:color="auto" w:sz="4" w:space="0"/>
            </w:tcBorders>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622" w:type="dxa"/>
            <w:tcBorders>
              <w:left w:val="double" w:color="auto" w:sz="4" w:space="0"/>
              <w:bottom w:val="double" w:color="auto" w:sz="4" w:space="0"/>
            </w:tcBorders>
            <w:vAlign w:val="center"/>
          </w:tcPr>
          <w:p>
            <w:pPr>
              <w:jc w:val="center"/>
              <w:rPr>
                <w:sz w:val="30"/>
                <w:szCs w:val="30"/>
              </w:rPr>
            </w:pPr>
            <w:r>
              <w:rPr>
                <w:rFonts w:hint="eastAsia"/>
                <w:sz w:val="30"/>
                <w:szCs w:val="30"/>
              </w:rPr>
              <w:t>单位地址</w:t>
            </w:r>
          </w:p>
        </w:tc>
        <w:tc>
          <w:tcPr>
            <w:tcW w:w="6759" w:type="dxa"/>
            <w:tcBorders>
              <w:bottom w:val="double" w:color="auto" w:sz="4" w:space="0"/>
              <w:right w:val="double" w:color="auto" w:sz="4" w:space="0"/>
            </w:tcBorders>
            <w:vAlign w:val="center"/>
          </w:tcPr>
          <w:p>
            <w:pPr>
              <w:jc w:val="left"/>
              <w:rPr>
                <w:sz w:val="30"/>
                <w:szCs w:val="30"/>
              </w:rPr>
            </w:pPr>
          </w:p>
        </w:tc>
      </w:tr>
    </w:tbl>
    <w:p>
      <w:pPr>
        <w:snapToGrid w:val="0"/>
        <w:spacing w:line="360" w:lineRule="auto"/>
        <w:ind w:firstLine="480" w:firstLineChars="200"/>
        <w:rPr>
          <w:rFonts w:ascii="宋体" w:hAnsi="宋体"/>
          <w:sz w:val="24"/>
          <w:szCs w:val="24"/>
        </w:rPr>
      </w:pPr>
      <w:r>
        <w:rPr>
          <w:rFonts w:hint="eastAsia" w:ascii="宋体" w:hAnsi="宋体"/>
          <w:sz w:val="24"/>
          <w:szCs w:val="24"/>
        </w:rPr>
        <w:t>（三）竞争性比选文件报名期限：2023年</w:t>
      </w:r>
      <w:r>
        <w:rPr>
          <w:rFonts w:ascii="宋体" w:hAnsi="宋体"/>
          <w:sz w:val="24"/>
          <w:szCs w:val="24"/>
        </w:rPr>
        <w:t>11</w:t>
      </w:r>
      <w:r>
        <w:rPr>
          <w:rFonts w:hint="eastAsia" w:ascii="宋体" w:hAnsi="宋体"/>
          <w:sz w:val="24"/>
          <w:szCs w:val="24"/>
        </w:rPr>
        <w:t>月</w:t>
      </w:r>
      <w:r>
        <w:rPr>
          <w:rFonts w:ascii="宋体" w:hAnsi="宋体"/>
          <w:sz w:val="24"/>
          <w:szCs w:val="24"/>
        </w:rPr>
        <w:t>29</w:t>
      </w:r>
      <w:r>
        <w:rPr>
          <w:rFonts w:hint="eastAsia" w:ascii="宋体" w:hAnsi="宋体"/>
          <w:sz w:val="24"/>
          <w:szCs w:val="24"/>
        </w:rPr>
        <w:t>日-2023年</w:t>
      </w:r>
      <w:r>
        <w:rPr>
          <w:rFonts w:ascii="宋体" w:hAnsi="宋体"/>
          <w:sz w:val="24"/>
          <w:szCs w:val="24"/>
        </w:rPr>
        <w:t>12</w:t>
      </w:r>
      <w:r>
        <w:rPr>
          <w:rFonts w:hint="eastAsia" w:ascii="宋体" w:hAnsi="宋体"/>
          <w:sz w:val="24"/>
          <w:szCs w:val="24"/>
        </w:rPr>
        <w:t>月</w:t>
      </w:r>
      <w:r>
        <w:rPr>
          <w:rFonts w:ascii="宋体" w:hAnsi="宋体"/>
          <w:sz w:val="24"/>
          <w:szCs w:val="24"/>
        </w:rPr>
        <w:t>5</w:t>
      </w:r>
      <w:r>
        <w:rPr>
          <w:rFonts w:hint="eastAsia" w:ascii="宋体" w:hAnsi="宋体"/>
          <w:sz w:val="24"/>
          <w:szCs w:val="24"/>
        </w:rPr>
        <w:t>日（9:00-17:00）。</w:t>
      </w:r>
    </w:p>
    <w:p>
      <w:pPr>
        <w:snapToGrid w:val="0"/>
        <w:spacing w:line="360" w:lineRule="auto"/>
        <w:ind w:firstLine="480" w:firstLineChars="200"/>
        <w:rPr>
          <w:rFonts w:ascii="宋体" w:hAnsi="宋体"/>
          <w:sz w:val="24"/>
          <w:szCs w:val="24"/>
        </w:rPr>
      </w:pPr>
      <w:r>
        <w:rPr>
          <w:rFonts w:hint="eastAsia" w:ascii="宋体" w:hAnsi="宋体"/>
          <w:sz w:val="24"/>
          <w:szCs w:val="24"/>
        </w:rPr>
        <w:t>（四）竞争性比选文件发售</w:t>
      </w:r>
    </w:p>
    <w:p>
      <w:pPr>
        <w:snapToGrid w:val="0"/>
        <w:spacing w:line="360" w:lineRule="auto"/>
        <w:ind w:firstLine="480" w:firstLineChars="200"/>
        <w:rPr>
          <w:rFonts w:ascii="宋体" w:hAnsi="宋体"/>
          <w:sz w:val="24"/>
          <w:szCs w:val="24"/>
        </w:rPr>
      </w:pPr>
      <w:r>
        <w:rPr>
          <w:rFonts w:hint="eastAsia" w:ascii="宋体" w:hAnsi="宋体"/>
          <w:sz w:val="24"/>
          <w:szCs w:val="24"/>
        </w:rPr>
        <w:t>1.售价：人民币 300 元/分包（售后不予退还）</w:t>
      </w:r>
    </w:p>
    <w:p>
      <w:pPr>
        <w:snapToGrid w:val="0"/>
        <w:spacing w:line="360" w:lineRule="auto"/>
        <w:ind w:firstLine="480" w:firstLineChars="200"/>
        <w:rPr>
          <w:rFonts w:ascii="宋体" w:hAnsi="宋体"/>
          <w:sz w:val="24"/>
          <w:szCs w:val="24"/>
        </w:rPr>
      </w:pPr>
      <w:r>
        <w:rPr>
          <w:rFonts w:hint="eastAsia" w:ascii="宋体" w:hAnsi="宋体"/>
          <w:sz w:val="24"/>
          <w:szCs w:val="24"/>
        </w:rPr>
        <w:t>2.竞争性比选文件获取方式：由潜在供应商在重庆市人民政府口岸和物流办公室官网（http://zfkawlb.cq.gov.cn/）上自行下载。</w:t>
      </w:r>
    </w:p>
    <w:p>
      <w:pPr>
        <w:snapToGrid w:val="0"/>
        <w:spacing w:line="360" w:lineRule="auto"/>
        <w:ind w:firstLine="480" w:firstLineChars="200"/>
        <w:rPr>
          <w:rFonts w:ascii="宋体" w:hAnsi="宋体"/>
          <w:sz w:val="24"/>
          <w:szCs w:val="24"/>
        </w:rPr>
      </w:pPr>
      <w:r>
        <w:rPr>
          <w:rFonts w:hint="eastAsia" w:ascii="宋体" w:hAnsi="宋体"/>
          <w:sz w:val="24"/>
          <w:szCs w:val="24"/>
        </w:rPr>
        <w:t>（五）供应商须同时满足以下三种要件，其响应文件才被接受：</w:t>
      </w:r>
    </w:p>
    <w:p>
      <w:pPr>
        <w:snapToGrid w:val="0"/>
        <w:spacing w:line="360" w:lineRule="auto"/>
        <w:ind w:firstLine="480" w:firstLineChars="200"/>
        <w:rPr>
          <w:rFonts w:ascii="宋体" w:hAnsi="宋体"/>
          <w:sz w:val="24"/>
          <w:szCs w:val="24"/>
        </w:rPr>
      </w:pPr>
      <w:r>
        <w:rPr>
          <w:rFonts w:hint="eastAsia" w:ascii="宋体" w:hAnsi="宋体"/>
          <w:sz w:val="24"/>
          <w:szCs w:val="24"/>
        </w:rPr>
        <w:t>1.完成报名；</w:t>
      </w:r>
    </w:p>
    <w:p>
      <w:pPr>
        <w:snapToGrid w:val="0"/>
        <w:spacing w:line="360" w:lineRule="auto"/>
        <w:ind w:firstLine="480" w:firstLineChars="200"/>
        <w:rPr>
          <w:rFonts w:ascii="宋体" w:hAnsi="宋体"/>
          <w:sz w:val="24"/>
          <w:szCs w:val="24"/>
        </w:rPr>
      </w:pPr>
      <w:r>
        <w:rPr>
          <w:rFonts w:hint="eastAsia" w:ascii="宋体" w:hAnsi="宋体"/>
          <w:sz w:val="24"/>
          <w:szCs w:val="24"/>
        </w:rPr>
        <w:t>2.按时递交了响应文件；</w:t>
      </w:r>
    </w:p>
    <w:p>
      <w:pPr>
        <w:snapToGrid w:val="0"/>
        <w:spacing w:line="360" w:lineRule="auto"/>
        <w:ind w:firstLine="480" w:firstLineChars="200"/>
        <w:rPr>
          <w:rFonts w:ascii="宋体" w:hAnsi="宋体"/>
          <w:sz w:val="24"/>
          <w:szCs w:val="24"/>
        </w:rPr>
      </w:pPr>
      <w:r>
        <w:rPr>
          <w:rFonts w:hint="eastAsia" w:ascii="宋体" w:hAnsi="宋体"/>
          <w:sz w:val="24"/>
          <w:szCs w:val="24"/>
        </w:rPr>
        <w:t>3.按时签到。</w:t>
      </w:r>
    </w:p>
    <w:p>
      <w:pPr>
        <w:spacing w:line="360" w:lineRule="auto"/>
        <w:ind w:firstLine="480" w:firstLineChars="200"/>
        <w:rPr>
          <w:rFonts w:ascii="宋体" w:hAnsi="宋体"/>
          <w:sz w:val="24"/>
          <w:szCs w:val="24"/>
        </w:rPr>
      </w:pPr>
      <w:r>
        <w:rPr>
          <w:rFonts w:hint="eastAsia" w:ascii="宋体" w:hAnsi="宋体"/>
          <w:sz w:val="24"/>
          <w:szCs w:val="24"/>
        </w:rPr>
        <w:t>（六）递交响应文件地点：重庆市人民政府口岸和物流办公室1</w:t>
      </w:r>
      <w:r>
        <w:rPr>
          <w:rFonts w:ascii="宋体" w:hAnsi="宋体"/>
          <w:sz w:val="24"/>
          <w:szCs w:val="24"/>
        </w:rPr>
        <w:t>8</w:t>
      </w:r>
      <w:r>
        <w:rPr>
          <w:rFonts w:hint="eastAsia" w:ascii="宋体" w:hAnsi="宋体"/>
          <w:sz w:val="24"/>
          <w:szCs w:val="24"/>
        </w:rPr>
        <w:t>楼会议室</w:t>
      </w:r>
    </w:p>
    <w:p>
      <w:pPr>
        <w:spacing w:line="360" w:lineRule="auto"/>
        <w:ind w:firstLine="480" w:firstLineChars="200"/>
        <w:rPr>
          <w:rFonts w:ascii="宋体" w:hAnsi="宋体"/>
          <w:sz w:val="24"/>
          <w:szCs w:val="24"/>
        </w:rPr>
      </w:pPr>
      <w:r>
        <w:rPr>
          <w:rFonts w:hint="eastAsia" w:ascii="宋体" w:hAnsi="宋体"/>
          <w:sz w:val="24"/>
          <w:szCs w:val="24"/>
        </w:rPr>
        <w:t>（七）响应文件递交开始和截止时间：2023年</w:t>
      </w:r>
      <w:r>
        <w:rPr>
          <w:rFonts w:ascii="宋体" w:hAnsi="宋体"/>
          <w:sz w:val="24"/>
          <w:szCs w:val="24"/>
        </w:rPr>
        <w:t>12</w:t>
      </w:r>
      <w:r>
        <w:rPr>
          <w:rFonts w:hint="eastAsia" w:ascii="宋体" w:hAnsi="宋体"/>
          <w:sz w:val="24"/>
          <w:szCs w:val="24"/>
        </w:rPr>
        <w:t>月</w:t>
      </w:r>
      <w:r>
        <w:rPr>
          <w:rFonts w:ascii="宋体" w:hAnsi="宋体"/>
          <w:sz w:val="24"/>
          <w:szCs w:val="24"/>
        </w:rPr>
        <w:t>6</w:t>
      </w:r>
      <w:r>
        <w:rPr>
          <w:rFonts w:hint="eastAsia" w:ascii="宋体" w:hAnsi="宋体"/>
          <w:sz w:val="24"/>
          <w:szCs w:val="24"/>
        </w:rPr>
        <w:t>日北京时间</w:t>
      </w:r>
      <w:r>
        <w:rPr>
          <w:rFonts w:ascii="宋体" w:hAnsi="宋体"/>
          <w:sz w:val="24"/>
          <w:szCs w:val="24"/>
        </w:rPr>
        <w:t>14</w:t>
      </w:r>
      <w:r>
        <w:rPr>
          <w:rFonts w:hint="eastAsia" w:ascii="宋体" w:hAnsi="宋体"/>
          <w:sz w:val="24"/>
          <w:szCs w:val="24"/>
        </w:rPr>
        <w:t>:</w:t>
      </w:r>
      <w:r>
        <w:rPr>
          <w:rFonts w:ascii="宋体" w:hAnsi="宋体"/>
          <w:sz w:val="24"/>
          <w:szCs w:val="24"/>
        </w:rPr>
        <w:t>0</w:t>
      </w:r>
      <w:r>
        <w:rPr>
          <w:rFonts w:hint="eastAsia" w:ascii="宋体" w:hAnsi="宋体"/>
          <w:sz w:val="24"/>
          <w:szCs w:val="24"/>
        </w:rPr>
        <w:t>0-1</w:t>
      </w:r>
      <w:r>
        <w:rPr>
          <w:rFonts w:ascii="宋体" w:hAnsi="宋体"/>
          <w:sz w:val="24"/>
          <w:szCs w:val="24"/>
        </w:rPr>
        <w:t>4</w:t>
      </w:r>
      <w:r>
        <w:rPr>
          <w:rFonts w:hint="eastAsia" w:ascii="宋体" w:hAnsi="宋体"/>
          <w:sz w:val="24"/>
          <w:szCs w:val="24"/>
        </w:rPr>
        <w:t>:</w:t>
      </w:r>
      <w:r>
        <w:rPr>
          <w:rFonts w:ascii="宋体" w:hAnsi="宋体"/>
          <w:sz w:val="24"/>
          <w:szCs w:val="24"/>
        </w:rPr>
        <w:t>3</w:t>
      </w:r>
      <w:r>
        <w:rPr>
          <w:rFonts w:hint="eastAsia" w:ascii="宋体" w:hAnsi="宋体"/>
          <w:sz w:val="24"/>
          <w:szCs w:val="24"/>
        </w:rPr>
        <w:t>0</w:t>
      </w:r>
    </w:p>
    <w:p>
      <w:pPr>
        <w:spacing w:line="360" w:lineRule="auto"/>
        <w:ind w:firstLine="480" w:firstLineChars="200"/>
        <w:rPr>
          <w:rFonts w:ascii="宋体" w:hAnsi="宋体"/>
          <w:sz w:val="24"/>
          <w:szCs w:val="24"/>
        </w:rPr>
      </w:pPr>
      <w:r>
        <w:rPr>
          <w:rFonts w:hint="eastAsia" w:ascii="宋体" w:hAnsi="宋体"/>
          <w:sz w:val="24"/>
          <w:szCs w:val="24"/>
        </w:rPr>
        <w:t>（八）响应文件开启时间：2023年</w:t>
      </w:r>
      <w:r>
        <w:rPr>
          <w:rFonts w:ascii="宋体" w:hAnsi="宋体"/>
          <w:sz w:val="24"/>
          <w:szCs w:val="24"/>
        </w:rPr>
        <w:t>12</w:t>
      </w:r>
      <w:r>
        <w:rPr>
          <w:rFonts w:hint="eastAsia" w:ascii="宋体" w:hAnsi="宋体"/>
          <w:sz w:val="24"/>
          <w:szCs w:val="24"/>
        </w:rPr>
        <w:t>月</w:t>
      </w:r>
      <w:r>
        <w:rPr>
          <w:rFonts w:ascii="宋体" w:hAnsi="宋体"/>
          <w:sz w:val="24"/>
          <w:szCs w:val="24"/>
        </w:rPr>
        <w:t>6</w:t>
      </w:r>
      <w:r>
        <w:rPr>
          <w:rFonts w:hint="eastAsia" w:ascii="宋体" w:hAnsi="宋体"/>
          <w:sz w:val="24"/>
          <w:szCs w:val="24"/>
        </w:rPr>
        <w:t>日北京时间1</w:t>
      </w:r>
      <w:r>
        <w:rPr>
          <w:rFonts w:ascii="宋体" w:hAnsi="宋体"/>
          <w:sz w:val="24"/>
          <w:szCs w:val="24"/>
        </w:rPr>
        <w:t>4</w:t>
      </w:r>
      <w:r>
        <w:rPr>
          <w:rFonts w:hint="eastAsia" w:ascii="宋体" w:hAnsi="宋体"/>
          <w:sz w:val="24"/>
          <w:szCs w:val="24"/>
        </w:rPr>
        <w:t>:</w:t>
      </w:r>
      <w:r>
        <w:rPr>
          <w:rFonts w:ascii="宋体" w:hAnsi="宋体"/>
          <w:sz w:val="24"/>
          <w:szCs w:val="24"/>
        </w:rPr>
        <w:t>3</w:t>
      </w:r>
      <w:r>
        <w:rPr>
          <w:rFonts w:hint="eastAsia" w:ascii="宋体" w:hAnsi="宋体"/>
          <w:sz w:val="24"/>
          <w:szCs w:val="24"/>
        </w:rPr>
        <w:t>0</w:t>
      </w:r>
    </w:p>
    <w:p>
      <w:pPr>
        <w:pStyle w:val="6"/>
        <w:spacing w:before="0" w:after="0" w:line="360" w:lineRule="auto"/>
        <w:ind w:firstLine="482" w:firstLineChars="200"/>
        <w:rPr>
          <w:rFonts w:ascii="宋体" w:hAnsi="宋体"/>
          <w:sz w:val="24"/>
          <w:szCs w:val="24"/>
        </w:rPr>
      </w:pPr>
      <w:bookmarkStart w:id="14" w:name="_Toc75258775"/>
      <w:bookmarkStart w:id="15" w:name="_Toc373860294"/>
      <w:bookmarkStart w:id="16" w:name="_Toc152145303"/>
      <w:r>
        <w:rPr>
          <w:rFonts w:hint="eastAsia" w:ascii="宋体" w:hAnsi="宋体"/>
          <w:sz w:val="24"/>
          <w:szCs w:val="24"/>
        </w:rPr>
        <w:t>五、比选保证金</w:t>
      </w:r>
      <w:bookmarkEnd w:id="14"/>
      <w:bookmarkEnd w:id="15"/>
      <w:bookmarkEnd w:id="16"/>
    </w:p>
    <w:p>
      <w:pPr>
        <w:snapToGrid w:val="0"/>
        <w:spacing w:line="360" w:lineRule="auto"/>
        <w:ind w:firstLine="480" w:firstLineChars="200"/>
        <w:rPr>
          <w:rFonts w:ascii="宋体" w:hAnsi="宋体"/>
          <w:sz w:val="24"/>
          <w:szCs w:val="24"/>
        </w:rPr>
      </w:pPr>
      <w:bookmarkStart w:id="17" w:name="_Toc530038692"/>
      <w:r>
        <w:rPr>
          <w:rFonts w:hint="eastAsia" w:ascii="宋体" w:hAnsi="宋体"/>
          <w:sz w:val="24"/>
          <w:szCs w:val="24"/>
        </w:rPr>
        <w:t>（一）比选保证金的缴纳</w:t>
      </w:r>
    </w:p>
    <w:p>
      <w:pPr>
        <w:snapToGrid w:val="0"/>
        <w:spacing w:line="360" w:lineRule="auto"/>
        <w:ind w:firstLine="480" w:firstLineChars="200"/>
        <w:rPr>
          <w:rFonts w:ascii="宋体" w:hAnsi="宋体"/>
          <w:sz w:val="24"/>
          <w:szCs w:val="24"/>
        </w:rPr>
      </w:pPr>
      <w:r>
        <w:rPr>
          <w:rFonts w:hint="eastAsia" w:ascii="宋体" w:hAnsi="宋体"/>
          <w:sz w:val="24"/>
          <w:szCs w:val="24"/>
        </w:rPr>
        <w:t>供应商须按本项目规定的比选保证金金额进行缴纳（</w:t>
      </w:r>
      <w:r>
        <w:rPr>
          <w:rFonts w:hint="eastAsia" w:ascii="宋体" w:hAnsi="宋体"/>
          <w:b/>
          <w:bCs/>
          <w:sz w:val="24"/>
          <w:szCs w:val="24"/>
        </w:rPr>
        <w:t>保证金金额详见本篇，一、竞争性比选内容</w:t>
      </w:r>
      <w:r>
        <w:rPr>
          <w:rFonts w:hint="eastAsia" w:ascii="宋体" w:hAnsi="宋体"/>
          <w:sz w:val="24"/>
          <w:szCs w:val="24"/>
        </w:rPr>
        <w:t>），由供应商从其单位账户将比选保证金汇至以下唯一账户，比选保证金的到账截止时间为2023年</w:t>
      </w:r>
      <w:r>
        <w:rPr>
          <w:rFonts w:ascii="宋体" w:hAnsi="宋体"/>
          <w:sz w:val="24"/>
          <w:szCs w:val="24"/>
        </w:rPr>
        <w:t>12</w:t>
      </w:r>
      <w:r>
        <w:rPr>
          <w:rFonts w:hint="eastAsia" w:ascii="宋体" w:hAnsi="宋体"/>
          <w:sz w:val="24"/>
          <w:szCs w:val="24"/>
        </w:rPr>
        <w:t>月</w:t>
      </w:r>
      <w:r>
        <w:rPr>
          <w:rFonts w:ascii="宋体" w:hAnsi="宋体"/>
          <w:sz w:val="24"/>
          <w:szCs w:val="24"/>
        </w:rPr>
        <w:t>5</w:t>
      </w:r>
      <w:r>
        <w:rPr>
          <w:rFonts w:hint="eastAsia" w:ascii="宋体" w:hAnsi="宋体"/>
          <w:sz w:val="24"/>
          <w:szCs w:val="24"/>
        </w:rPr>
        <w:t>日17:00。缴纳保证金时必须备注</w:t>
      </w:r>
      <w:r>
        <w:rPr>
          <w:rFonts w:hint="eastAsia" w:ascii="宋体" w:hAnsi="宋体"/>
          <w:b/>
          <w:bCs/>
          <w:sz w:val="24"/>
          <w:szCs w:val="24"/>
        </w:rPr>
        <w:t>采购代理机构备案号</w:t>
      </w:r>
      <w:r>
        <w:rPr>
          <w:rFonts w:hint="eastAsia" w:ascii="宋体" w:hAnsi="宋体"/>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投标保证金账户：</w:t>
      </w:r>
    </w:p>
    <w:p>
      <w:pPr>
        <w:snapToGrid w:val="0"/>
        <w:spacing w:line="360" w:lineRule="auto"/>
        <w:ind w:firstLine="480" w:firstLineChars="200"/>
        <w:rPr>
          <w:rFonts w:ascii="宋体" w:hAnsi="宋体"/>
          <w:sz w:val="24"/>
          <w:szCs w:val="24"/>
        </w:rPr>
      </w:pPr>
      <w:r>
        <w:rPr>
          <w:rFonts w:hint="eastAsia" w:ascii="宋体" w:hAnsi="宋体"/>
          <w:sz w:val="24"/>
          <w:szCs w:val="24"/>
        </w:rPr>
        <w:t>户  名：重庆市中基致信招标代理有限公司</w:t>
      </w:r>
    </w:p>
    <w:p>
      <w:pPr>
        <w:snapToGrid w:val="0"/>
        <w:spacing w:line="360" w:lineRule="auto"/>
        <w:ind w:firstLine="480" w:firstLineChars="200"/>
        <w:rPr>
          <w:rFonts w:ascii="宋体" w:hAnsi="宋体"/>
          <w:sz w:val="24"/>
          <w:szCs w:val="24"/>
        </w:rPr>
      </w:pPr>
      <w:r>
        <w:rPr>
          <w:rFonts w:hint="eastAsia" w:ascii="宋体" w:hAnsi="宋体"/>
          <w:sz w:val="24"/>
          <w:szCs w:val="24"/>
        </w:rPr>
        <w:t>开户行：中国银行重庆江北支行</w:t>
      </w:r>
    </w:p>
    <w:p>
      <w:pPr>
        <w:snapToGrid w:val="0"/>
        <w:spacing w:line="360" w:lineRule="auto"/>
        <w:ind w:firstLine="480" w:firstLineChars="200"/>
        <w:rPr>
          <w:rFonts w:ascii="宋体" w:hAnsi="宋体"/>
          <w:sz w:val="24"/>
          <w:szCs w:val="24"/>
        </w:rPr>
      </w:pPr>
      <w:r>
        <w:rPr>
          <w:rFonts w:hint="eastAsia" w:ascii="宋体" w:hAnsi="宋体"/>
          <w:sz w:val="24"/>
          <w:szCs w:val="24"/>
        </w:rPr>
        <w:t>账  号：1144 6718 4234</w:t>
      </w:r>
    </w:p>
    <w:p>
      <w:pPr>
        <w:snapToGrid w:val="0"/>
        <w:spacing w:line="360" w:lineRule="auto"/>
        <w:ind w:firstLine="480" w:firstLineChars="200"/>
        <w:rPr>
          <w:rFonts w:ascii="宋体" w:hAnsi="宋体"/>
          <w:sz w:val="24"/>
          <w:szCs w:val="24"/>
        </w:rPr>
      </w:pPr>
      <w:r>
        <w:rPr>
          <w:rFonts w:hint="eastAsia" w:ascii="宋体" w:hAnsi="宋体"/>
          <w:sz w:val="24"/>
          <w:szCs w:val="24"/>
        </w:rPr>
        <w:t>（二）保证金退还方式</w:t>
      </w:r>
    </w:p>
    <w:p>
      <w:pPr>
        <w:snapToGrid w:val="0"/>
        <w:spacing w:line="360" w:lineRule="auto"/>
        <w:ind w:firstLine="480" w:firstLineChars="200"/>
        <w:rPr>
          <w:rFonts w:ascii="宋体" w:hAnsi="宋体"/>
          <w:sz w:val="24"/>
          <w:szCs w:val="24"/>
        </w:rPr>
      </w:pPr>
      <w:r>
        <w:rPr>
          <w:rFonts w:hint="eastAsia" w:ascii="宋体" w:hAnsi="宋体"/>
          <w:sz w:val="24"/>
          <w:szCs w:val="24"/>
        </w:rPr>
        <w:t>1.非成交供应商的保证金，在成交通知书发放后，由采购代理机构在五个工作日内按来款渠道直接无息予以退还。</w:t>
      </w:r>
    </w:p>
    <w:p>
      <w:pPr>
        <w:snapToGrid w:val="0"/>
        <w:spacing w:line="360" w:lineRule="auto"/>
        <w:ind w:firstLine="480" w:firstLineChars="200"/>
        <w:rPr>
          <w:rFonts w:ascii="宋体" w:hAnsi="宋体"/>
          <w:sz w:val="24"/>
          <w:szCs w:val="24"/>
        </w:rPr>
      </w:pPr>
      <w:r>
        <w:rPr>
          <w:rFonts w:hint="eastAsia" w:ascii="宋体" w:hAnsi="宋体"/>
          <w:sz w:val="24"/>
          <w:szCs w:val="24"/>
        </w:rPr>
        <w:t>2.成交供应商的投标保证金，在成交供应商与采购人签订合同后，由采购代理机构扣除中标服务费后在五个工作日内按资金来款渠道直接无息予以退还。</w:t>
      </w:r>
    </w:p>
    <w:p>
      <w:pPr>
        <w:snapToGrid w:val="0"/>
        <w:spacing w:line="360" w:lineRule="auto"/>
        <w:ind w:firstLine="480" w:firstLineChars="200"/>
        <w:rPr>
          <w:rFonts w:ascii="宋体" w:hAnsi="宋体"/>
          <w:sz w:val="24"/>
          <w:szCs w:val="24"/>
        </w:rPr>
      </w:pPr>
      <w:r>
        <w:rPr>
          <w:rFonts w:hint="eastAsia" w:ascii="宋体" w:hAnsi="宋体"/>
          <w:sz w:val="24"/>
          <w:szCs w:val="24"/>
        </w:rPr>
        <w:t>咨询电话：（02</w:t>
      </w:r>
      <w:r>
        <w:rPr>
          <w:rFonts w:ascii="宋体" w:hAnsi="宋体"/>
          <w:sz w:val="24"/>
          <w:szCs w:val="24"/>
        </w:rPr>
        <w:t>3</w:t>
      </w:r>
      <w:r>
        <w:rPr>
          <w:rFonts w:hint="eastAsia" w:ascii="宋体" w:hAnsi="宋体"/>
          <w:sz w:val="24"/>
          <w:szCs w:val="24"/>
        </w:rPr>
        <w:t>）88758852。</w:t>
      </w:r>
    </w:p>
    <w:p>
      <w:pPr>
        <w:pStyle w:val="6"/>
        <w:spacing w:before="0" w:after="0" w:line="360" w:lineRule="auto"/>
        <w:ind w:firstLine="482" w:firstLineChars="200"/>
        <w:rPr>
          <w:rFonts w:ascii="宋体" w:hAnsi="宋体"/>
          <w:sz w:val="24"/>
          <w:szCs w:val="24"/>
        </w:rPr>
      </w:pPr>
      <w:bookmarkStart w:id="18" w:name="_Toc75258776"/>
      <w:bookmarkStart w:id="19" w:name="_Toc152145304"/>
      <w:r>
        <w:rPr>
          <w:rFonts w:hint="eastAsia" w:ascii="宋体" w:hAnsi="宋体"/>
          <w:sz w:val="24"/>
          <w:szCs w:val="24"/>
        </w:rPr>
        <w:t>六、采购项目需落实的政府采购政策</w:t>
      </w:r>
      <w:bookmarkEnd w:id="17"/>
      <w:bookmarkEnd w:id="18"/>
      <w:bookmarkEnd w:id="19"/>
    </w:p>
    <w:p>
      <w:pPr>
        <w:snapToGrid w:val="0"/>
        <w:spacing w:line="360" w:lineRule="auto"/>
        <w:ind w:firstLine="480" w:firstLineChars="200"/>
        <w:rPr>
          <w:rFonts w:ascii="宋体" w:hAnsi="宋体"/>
          <w:sz w:val="24"/>
          <w:szCs w:val="24"/>
        </w:rPr>
      </w:pPr>
      <w:r>
        <w:rPr>
          <w:rFonts w:hint="eastAsia" w:ascii="宋体" w:hAnsi="宋体"/>
          <w:sz w:val="24"/>
          <w:szCs w:val="24"/>
        </w:rPr>
        <w:t>（一）按照《财政部生态环境部关于印发环境标志产品政府采购品目清单的通知》（财库〔</w:t>
      </w:r>
      <w:r>
        <w:rPr>
          <w:rFonts w:ascii="宋体" w:hAnsi="宋体"/>
          <w:sz w:val="24"/>
          <w:szCs w:val="24"/>
        </w:rPr>
        <w:t>2019</w:t>
      </w:r>
      <w:r>
        <w:rPr>
          <w:rFonts w:hint="eastAsia" w:ascii="宋体" w:hAnsi="宋体"/>
          <w:sz w:val="24"/>
          <w:szCs w:val="24"/>
        </w:rPr>
        <w:t>〕</w:t>
      </w:r>
      <w:r>
        <w:rPr>
          <w:rFonts w:ascii="宋体" w:hAnsi="宋体"/>
          <w:sz w:val="24"/>
          <w:szCs w:val="24"/>
        </w:rPr>
        <w:t>18</w:t>
      </w:r>
      <w:r>
        <w:rPr>
          <w:rFonts w:hint="eastAsia" w:ascii="宋体" w:hAnsi="宋体"/>
          <w:sz w:val="24"/>
          <w:szCs w:val="24"/>
        </w:rPr>
        <w:t>号）和《财政部发展改革委关于印发节能产品政府采购品目清单的通知》（财库〔</w:t>
      </w:r>
      <w:r>
        <w:rPr>
          <w:rFonts w:ascii="宋体" w:hAnsi="宋体"/>
          <w:sz w:val="24"/>
          <w:szCs w:val="24"/>
        </w:rPr>
        <w:t>2019</w:t>
      </w:r>
      <w:r>
        <w:rPr>
          <w:rFonts w:hint="eastAsia" w:ascii="宋体" w:hAnsi="宋体"/>
          <w:sz w:val="24"/>
          <w:szCs w:val="24"/>
        </w:rPr>
        <w:t>〕</w:t>
      </w:r>
      <w:r>
        <w:rPr>
          <w:rFonts w:ascii="宋体" w:hAnsi="宋体"/>
          <w:sz w:val="24"/>
          <w:szCs w:val="24"/>
        </w:rPr>
        <w:t>19</w:t>
      </w:r>
      <w:r>
        <w:rPr>
          <w:rFonts w:hint="eastAsia" w:ascii="宋体" w:hAnsi="宋体"/>
          <w:sz w:val="24"/>
          <w:szCs w:val="24"/>
        </w:rPr>
        <w:t>号）的规定，落实国家节能环保政策。</w:t>
      </w:r>
    </w:p>
    <w:p>
      <w:pPr>
        <w:snapToGrid w:val="0"/>
        <w:spacing w:line="360" w:lineRule="auto"/>
        <w:ind w:firstLine="480" w:firstLineChars="200"/>
        <w:rPr>
          <w:rFonts w:ascii="宋体" w:hAnsi="宋体"/>
          <w:sz w:val="24"/>
          <w:szCs w:val="24"/>
        </w:rPr>
      </w:pPr>
      <w:r>
        <w:rPr>
          <w:rFonts w:hint="eastAsia" w:ascii="宋体" w:hAnsi="宋体"/>
          <w:sz w:val="24"/>
          <w:szCs w:val="24"/>
        </w:rPr>
        <w:t>（二）按照《关于印发&lt;政府采购促进中小企业发展管理办法&gt;的通知》（财库〔2020〕46号）的规定，落实促进中小企业发展政策。</w:t>
      </w:r>
    </w:p>
    <w:p>
      <w:pPr>
        <w:snapToGrid w:val="0"/>
        <w:spacing w:line="360" w:lineRule="auto"/>
        <w:ind w:firstLine="480" w:firstLineChars="200"/>
        <w:rPr>
          <w:rFonts w:ascii="宋体" w:hAnsi="宋体"/>
          <w:sz w:val="24"/>
          <w:szCs w:val="24"/>
        </w:rPr>
      </w:pPr>
      <w:r>
        <w:rPr>
          <w:rFonts w:hint="eastAsia" w:ascii="宋体" w:hAnsi="宋体"/>
          <w:sz w:val="24"/>
          <w:szCs w:val="24"/>
        </w:rPr>
        <w:t>（三）按照《财政部、司法部关于政府采购支持监狱企业发展有关问题的通知》（财库〔</w:t>
      </w:r>
      <w:r>
        <w:rPr>
          <w:rFonts w:ascii="宋体" w:hAnsi="宋体"/>
          <w:sz w:val="24"/>
          <w:szCs w:val="24"/>
        </w:rPr>
        <w:t>2014</w:t>
      </w:r>
      <w:r>
        <w:rPr>
          <w:rFonts w:hint="eastAsia" w:ascii="宋体" w:hAnsi="宋体"/>
          <w:sz w:val="24"/>
          <w:szCs w:val="24"/>
        </w:rPr>
        <w:t>〕</w:t>
      </w:r>
      <w:r>
        <w:rPr>
          <w:rFonts w:ascii="宋体" w:hAnsi="宋体"/>
          <w:sz w:val="24"/>
          <w:szCs w:val="24"/>
        </w:rPr>
        <w:t>68</w:t>
      </w:r>
      <w:r>
        <w:rPr>
          <w:rFonts w:hint="eastAsia" w:ascii="宋体" w:hAnsi="宋体"/>
          <w:sz w:val="24"/>
          <w:szCs w:val="24"/>
        </w:rPr>
        <w:t>号）的规定，落实支持监狱企业发展政策。</w:t>
      </w:r>
    </w:p>
    <w:p>
      <w:pPr>
        <w:snapToGrid w:val="0"/>
        <w:spacing w:line="360" w:lineRule="auto"/>
        <w:ind w:firstLine="480" w:firstLineChars="200"/>
        <w:rPr>
          <w:rFonts w:ascii="宋体" w:hAnsi="宋体"/>
          <w:sz w:val="24"/>
          <w:szCs w:val="24"/>
        </w:rPr>
      </w:pPr>
      <w:r>
        <w:rPr>
          <w:rFonts w:hint="eastAsia" w:ascii="宋体" w:hAnsi="宋体"/>
          <w:sz w:val="24"/>
          <w:szCs w:val="24"/>
        </w:rPr>
        <w:t>（四）按照《三部门联合发布关于促进残疾人就业政府采购政策的通知》（财库〔</w:t>
      </w:r>
      <w:r>
        <w:rPr>
          <w:rFonts w:ascii="宋体" w:hAnsi="宋体"/>
          <w:sz w:val="24"/>
          <w:szCs w:val="24"/>
        </w:rPr>
        <w:t>2017</w:t>
      </w:r>
      <w:r>
        <w:rPr>
          <w:rFonts w:hint="eastAsia" w:ascii="宋体" w:hAnsi="宋体"/>
          <w:sz w:val="24"/>
          <w:szCs w:val="24"/>
        </w:rPr>
        <w:t>〕</w:t>
      </w:r>
      <w:r>
        <w:rPr>
          <w:rFonts w:ascii="宋体" w:hAnsi="宋体"/>
          <w:sz w:val="24"/>
          <w:szCs w:val="24"/>
        </w:rPr>
        <w:t xml:space="preserve"> 141</w:t>
      </w:r>
      <w:r>
        <w:rPr>
          <w:rFonts w:hint="eastAsia" w:ascii="宋体" w:hAnsi="宋体"/>
          <w:sz w:val="24"/>
          <w:szCs w:val="24"/>
        </w:rPr>
        <w:t>号）的规定，落实支持残疾人福利性单位发展政策。</w:t>
      </w:r>
    </w:p>
    <w:p>
      <w:pPr>
        <w:pStyle w:val="6"/>
        <w:spacing w:before="0" w:after="0" w:line="360" w:lineRule="auto"/>
        <w:ind w:firstLine="482" w:firstLineChars="200"/>
        <w:rPr>
          <w:rFonts w:ascii="宋体" w:hAnsi="宋体"/>
          <w:sz w:val="24"/>
          <w:szCs w:val="24"/>
        </w:rPr>
      </w:pPr>
      <w:bookmarkStart w:id="20" w:name="_Toc75258777"/>
      <w:bookmarkStart w:id="21" w:name="_Toc152145305"/>
      <w:r>
        <w:rPr>
          <w:rFonts w:hint="eastAsia" w:ascii="宋体" w:hAnsi="宋体"/>
          <w:sz w:val="24"/>
          <w:szCs w:val="24"/>
        </w:rPr>
        <w:t>七、其它有关规定</w:t>
      </w:r>
      <w:bookmarkEnd w:id="20"/>
      <w:bookmarkEnd w:id="21"/>
    </w:p>
    <w:p>
      <w:pPr>
        <w:snapToGrid w:val="0"/>
        <w:spacing w:line="360" w:lineRule="auto"/>
        <w:ind w:firstLine="480" w:firstLineChars="200"/>
        <w:rPr>
          <w:rFonts w:ascii="宋体" w:hAnsi="宋体"/>
          <w:sz w:val="24"/>
          <w:szCs w:val="24"/>
        </w:rPr>
      </w:pPr>
      <w:r>
        <w:rPr>
          <w:rFonts w:hint="eastAsia" w:ascii="宋体" w:hAnsi="宋体"/>
          <w:sz w:val="24"/>
          <w:szCs w:val="24"/>
        </w:rPr>
        <w:t xml:space="preserve">（一）单位负责人为同一人或者存在直接控股、管理关系的不同供应商，不得参加同一合同项下的采购活动，否则均为无效响应。 </w:t>
      </w:r>
    </w:p>
    <w:p>
      <w:pPr>
        <w:snapToGrid w:val="0"/>
        <w:spacing w:line="360" w:lineRule="auto"/>
        <w:ind w:firstLine="480" w:firstLineChars="200"/>
        <w:rPr>
          <w:rFonts w:ascii="宋体" w:hAnsi="宋体"/>
          <w:sz w:val="24"/>
          <w:szCs w:val="24"/>
        </w:rPr>
      </w:pPr>
      <w:r>
        <w:rPr>
          <w:rFonts w:hint="eastAsia" w:ascii="宋体" w:hAnsi="宋体"/>
          <w:sz w:val="24"/>
          <w:szCs w:val="24"/>
        </w:rPr>
        <w:t>（二）为采购项目提供整体设计、规范编制或者项目管理、监理、检测等服务的供应商，不得再参加该采购项目的其他采购活动，否则均为无效响应。</w:t>
      </w:r>
    </w:p>
    <w:p>
      <w:pPr>
        <w:snapToGrid w:val="0"/>
        <w:spacing w:line="360" w:lineRule="auto"/>
        <w:ind w:firstLine="480" w:firstLineChars="200"/>
        <w:rPr>
          <w:rFonts w:ascii="宋体" w:hAnsi="宋体"/>
          <w:sz w:val="24"/>
          <w:szCs w:val="24"/>
        </w:rPr>
      </w:pPr>
      <w:r>
        <w:rPr>
          <w:rFonts w:hint="eastAsia" w:ascii="宋体" w:hAnsi="宋体"/>
          <w:sz w:val="24"/>
          <w:szCs w:val="24"/>
        </w:rPr>
        <w:t>（三）本项目在响应文件提交截止时间前发布的竞争性比选文件及补遗文件（如果有）一律在重庆市人民政府口岸和物流办公室官网（http://zfkawlb.cq.gov.cn/）发布，请各供应商注意下载；无论供应商下载与否，均视同供应商已知晓本项目竞争性比选文件、补遗文件（如果有）的内容。</w:t>
      </w:r>
    </w:p>
    <w:p>
      <w:pPr>
        <w:snapToGrid w:val="0"/>
        <w:spacing w:line="360" w:lineRule="auto"/>
        <w:ind w:firstLine="480" w:firstLineChars="200"/>
        <w:rPr>
          <w:rFonts w:ascii="宋体" w:hAnsi="宋体"/>
          <w:sz w:val="24"/>
          <w:szCs w:val="24"/>
        </w:rPr>
      </w:pPr>
      <w:r>
        <w:rPr>
          <w:rFonts w:hint="eastAsia" w:ascii="宋体" w:hAnsi="宋体"/>
          <w:sz w:val="24"/>
          <w:szCs w:val="24"/>
        </w:rPr>
        <w:t>（四）超过响应文件截止时间递交的响应文件为无效文件，恕不接收。</w:t>
      </w:r>
    </w:p>
    <w:p>
      <w:pPr>
        <w:snapToGrid w:val="0"/>
        <w:spacing w:line="360" w:lineRule="auto"/>
        <w:ind w:firstLine="480" w:firstLineChars="200"/>
        <w:rPr>
          <w:rFonts w:ascii="宋体" w:hAnsi="宋体"/>
          <w:sz w:val="24"/>
          <w:szCs w:val="24"/>
        </w:rPr>
      </w:pPr>
      <w:r>
        <w:rPr>
          <w:rFonts w:hint="eastAsia" w:ascii="宋体" w:hAnsi="宋体"/>
          <w:sz w:val="24"/>
          <w:szCs w:val="24"/>
        </w:rPr>
        <w:t>（五）比选费用：无论比选结果如何，供应商参与本项目比选的所有费用均应由供应商自行承担。</w:t>
      </w:r>
    </w:p>
    <w:p>
      <w:pPr>
        <w:snapToGrid w:val="0"/>
        <w:spacing w:line="360" w:lineRule="auto"/>
        <w:ind w:firstLine="480" w:firstLineChars="200"/>
        <w:rPr>
          <w:rFonts w:ascii="宋体" w:hAnsi="宋体"/>
          <w:sz w:val="24"/>
          <w:szCs w:val="24"/>
        </w:rPr>
      </w:pPr>
      <w:r>
        <w:rPr>
          <w:rFonts w:hint="eastAsia" w:ascii="宋体" w:hAnsi="宋体"/>
          <w:sz w:val="24"/>
          <w:szCs w:val="24"/>
        </w:rPr>
        <w:t>（六）本项目不接受联合体形式比选。</w:t>
      </w:r>
    </w:p>
    <w:p>
      <w:pPr>
        <w:snapToGrid w:val="0"/>
        <w:spacing w:line="360" w:lineRule="auto"/>
        <w:ind w:firstLine="480" w:firstLineChars="200"/>
        <w:rPr>
          <w:rFonts w:ascii="宋体" w:hAnsi="宋体"/>
          <w:sz w:val="24"/>
          <w:szCs w:val="24"/>
        </w:rPr>
      </w:pPr>
      <w:r>
        <w:rPr>
          <w:rFonts w:hint="eastAsia" w:ascii="宋体" w:hAnsi="宋体"/>
          <w:sz w:val="24"/>
          <w:szCs w:val="24"/>
        </w:rPr>
        <w:t>（七）本项目不接受合同分包。</w:t>
      </w:r>
    </w:p>
    <w:p>
      <w:pPr>
        <w:snapToGrid w:val="0"/>
        <w:spacing w:line="360" w:lineRule="auto"/>
        <w:ind w:firstLine="480" w:firstLineChars="200"/>
        <w:rPr>
          <w:rFonts w:ascii="宋体" w:hAnsi="宋体"/>
          <w:sz w:val="24"/>
          <w:szCs w:val="24"/>
        </w:rPr>
      </w:pPr>
      <w:r>
        <w:rPr>
          <w:rFonts w:hint="eastAsia" w:ascii="宋体" w:hAnsi="宋体"/>
          <w:sz w:val="24"/>
          <w:szCs w:val="24"/>
        </w:rPr>
        <w:t>（八）按照《财政部关于在政府采购活动中查询及使用信用记录有关问题的通知》财库〔</w:t>
      </w:r>
      <w:r>
        <w:rPr>
          <w:rFonts w:ascii="宋体" w:hAnsi="宋体"/>
          <w:sz w:val="24"/>
          <w:szCs w:val="24"/>
        </w:rPr>
        <w:t>2016</w:t>
      </w:r>
      <w:r>
        <w:rPr>
          <w:rFonts w:hint="eastAsia" w:ascii="宋体" w:hAnsi="宋体"/>
          <w:sz w:val="24"/>
          <w:szCs w:val="24"/>
        </w:rPr>
        <w:t>〕</w:t>
      </w:r>
      <w:r>
        <w:rPr>
          <w:rFonts w:ascii="宋体" w:hAnsi="宋体"/>
          <w:sz w:val="24"/>
          <w:szCs w:val="24"/>
        </w:rPr>
        <w:t>125</w:t>
      </w:r>
      <w:r>
        <w:rPr>
          <w:rFonts w:hint="eastAsia" w:ascii="宋体" w:hAnsi="宋体"/>
          <w:sz w:val="24"/>
          <w:szCs w:val="24"/>
        </w:rPr>
        <w:t>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6"/>
        <w:spacing w:before="0" w:after="0" w:line="360" w:lineRule="auto"/>
        <w:ind w:firstLine="482" w:firstLineChars="200"/>
        <w:rPr>
          <w:rFonts w:ascii="宋体" w:hAnsi="宋体"/>
          <w:sz w:val="24"/>
          <w:szCs w:val="24"/>
        </w:rPr>
      </w:pPr>
      <w:bookmarkStart w:id="22" w:name="_Toc152145306"/>
      <w:r>
        <w:rPr>
          <w:rFonts w:hint="eastAsia" w:ascii="宋体" w:hAnsi="宋体"/>
          <w:sz w:val="24"/>
          <w:szCs w:val="24"/>
        </w:rPr>
        <w:t>八、联系方式</w:t>
      </w:r>
      <w:bookmarkEnd w:id="22"/>
    </w:p>
    <w:p>
      <w:pPr>
        <w:snapToGrid w:val="0"/>
        <w:spacing w:line="360" w:lineRule="auto"/>
        <w:ind w:firstLine="480" w:firstLineChars="200"/>
        <w:rPr>
          <w:rFonts w:ascii="宋体" w:hAnsi="宋体"/>
          <w:sz w:val="24"/>
          <w:szCs w:val="24"/>
        </w:rPr>
      </w:pPr>
      <w:r>
        <w:rPr>
          <w:rFonts w:hint="eastAsia" w:ascii="宋体" w:hAnsi="宋体"/>
          <w:sz w:val="24"/>
          <w:szCs w:val="24"/>
        </w:rPr>
        <w:t>（一）采购人：</w:t>
      </w:r>
      <w:r>
        <w:rPr>
          <w:rFonts w:ascii="宋体" w:hAnsi="宋体"/>
          <w:sz w:val="24"/>
          <w:szCs w:val="24"/>
        </w:rPr>
        <w:t>西部陆海新通道物流和运营组织中心</w:t>
      </w:r>
    </w:p>
    <w:p>
      <w:pPr>
        <w:snapToGrid w:val="0"/>
        <w:spacing w:line="360" w:lineRule="auto"/>
        <w:ind w:firstLine="480" w:firstLineChars="200"/>
        <w:rPr>
          <w:rFonts w:ascii="宋体" w:hAnsi="宋体"/>
          <w:sz w:val="24"/>
          <w:szCs w:val="24"/>
        </w:rPr>
      </w:pPr>
      <w:r>
        <w:rPr>
          <w:rFonts w:hint="eastAsia" w:ascii="宋体" w:hAnsi="宋体"/>
          <w:sz w:val="24"/>
          <w:szCs w:val="24"/>
        </w:rPr>
        <w:t>联系人：邓老师</w:t>
      </w:r>
    </w:p>
    <w:p>
      <w:pPr>
        <w:snapToGrid w:val="0"/>
        <w:spacing w:line="360" w:lineRule="auto"/>
        <w:ind w:firstLine="480" w:firstLineChars="200"/>
        <w:rPr>
          <w:rFonts w:hint="eastAsia" w:ascii="宋体" w:hAnsi="宋体"/>
          <w:sz w:val="24"/>
          <w:szCs w:val="24"/>
          <w:lang w:val="en-US" w:eastAsia="zh-CN"/>
        </w:rPr>
      </w:pPr>
      <w:r>
        <w:rPr>
          <w:rFonts w:hint="eastAsia" w:ascii="宋体" w:hAnsi="宋体"/>
          <w:sz w:val="24"/>
          <w:szCs w:val="24"/>
        </w:rPr>
        <w:t>电  话：（02</w:t>
      </w:r>
      <w:r>
        <w:rPr>
          <w:rFonts w:ascii="宋体" w:hAnsi="宋体"/>
          <w:sz w:val="24"/>
          <w:szCs w:val="24"/>
        </w:rPr>
        <w:t>3</w:t>
      </w:r>
      <w:r>
        <w:rPr>
          <w:rFonts w:hint="eastAsia" w:ascii="宋体" w:hAnsi="宋体"/>
          <w:sz w:val="24"/>
          <w:szCs w:val="24"/>
        </w:rPr>
        <w:t>）6315</w:t>
      </w:r>
      <w:r>
        <w:rPr>
          <w:rFonts w:ascii="宋体" w:hAnsi="宋体"/>
          <w:sz w:val="24"/>
          <w:szCs w:val="24"/>
        </w:rPr>
        <w:t>19</w:t>
      </w:r>
      <w:r>
        <w:rPr>
          <w:rFonts w:hint="eastAsia" w:ascii="宋体" w:hAnsi="宋体"/>
          <w:sz w:val="24"/>
          <w:szCs w:val="24"/>
          <w:lang w:val="en-US" w:eastAsia="zh-CN"/>
        </w:rPr>
        <w:t>59</w:t>
      </w:r>
    </w:p>
    <w:p>
      <w:pPr>
        <w:snapToGrid w:val="0"/>
        <w:spacing w:line="360" w:lineRule="auto"/>
        <w:ind w:firstLine="480" w:firstLineChars="200"/>
        <w:rPr>
          <w:rFonts w:ascii="宋体" w:hAnsi="宋体"/>
          <w:sz w:val="24"/>
          <w:szCs w:val="24"/>
        </w:rPr>
      </w:pPr>
      <w:bookmarkStart w:id="146" w:name="_GoBack"/>
      <w:bookmarkEnd w:id="146"/>
      <w:r>
        <w:rPr>
          <w:rFonts w:hint="eastAsia" w:ascii="宋体" w:hAnsi="宋体"/>
          <w:sz w:val="24"/>
          <w:szCs w:val="24"/>
        </w:rPr>
        <w:t>地址： 重庆市渝北区青竹东路16号微易中心1</w:t>
      </w:r>
      <w:r>
        <w:rPr>
          <w:rFonts w:ascii="宋体" w:hAnsi="宋体"/>
          <w:sz w:val="24"/>
          <w:szCs w:val="24"/>
        </w:rPr>
        <w:t>8</w:t>
      </w:r>
      <w:r>
        <w:rPr>
          <w:rFonts w:hint="eastAsia" w:ascii="宋体" w:hAnsi="宋体"/>
          <w:sz w:val="24"/>
          <w:szCs w:val="24"/>
        </w:rPr>
        <w:t>楼</w:t>
      </w:r>
    </w:p>
    <w:p>
      <w:pPr>
        <w:snapToGrid w:val="0"/>
        <w:spacing w:line="360" w:lineRule="auto"/>
        <w:ind w:firstLine="480" w:firstLineChars="200"/>
        <w:rPr>
          <w:rFonts w:ascii="宋体" w:hAnsi="宋体"/>
          <w:sz w:val="24"/>
          <w:szCs w:val="24"/>
        </w:rPr>
      </w:pPr>
      <w:r>
        <w:rPr>
          <w:rFonts w:hint="eastAsia" w:ascii="宋体" w:hAnsi="宋体"/>
          <w:sz w:val="24"/>
          <w:szCs w:val="24"/>
        </w:rPr>
        <w:t>（二）采购代理机构：重庆市中基致信招标代理有限公司</w:t>
      </w:r>
    </w:p>
    <w:p>
      <w:pPr>
        <w:snapToGrid w:val="0"/>
        <w:spacing w:line="360" w:lineRule="auto"/>
        <w:ind w:firstLine="480" w:firstLineChars="200"/>
        <w:rPr>
          <w:rFonts w:ascii="宋体" w:hAnsi="宋体"/>
          <w:sz w:val="24"/>
          <w:szCs w:val="24"/>
        </w:rPr>
      </w:pPr>
      <w:r>
        <w:rPr>
          <w:rFonts w:hint="eastAsia" w:ascii="宋体" w:hAnsi="宋体"/>
          <w:sz w:val="24"/>
          <w:szCs w:val="24"/>
        </w:rPr>
        <w:t>联系人：游建伟、胡琳</w:t>
      </w:r>
    </w:p>
    <w:p>
      <w:pPr>
        <w:snapToGrid w:val="0"/>
        <w:spacing w:line="360" w:lineRule="auto"/>
        <w:ind w:firstLine="480" w:firstLineChars="200"/>
        <w:rPr>
          <w:rFonts w:ascii="宋体" w:hAnsi="宋体"/>
          <w:sz w:val="24"/>
          <w:szCs w:val="24"/>
        </w:rPr>
      </w:pPr>
      <w:r>
        <w:rPr>
          <w:rFonts w:hint="eastAsia" w:ascii="宋体" w:hAnsi="宋体"/>
          <w:sz w:val="24"/>
          <w:szCs w:val="24"/>
        </w:rPr>
        <w:t>电  话：（02</w:t>
      </w:r>
      <w:r>
        <w:rPr>
          <w:rFonts w:ascii="宋体" w:hAnsi="宋体"/>
          <w:sz w:val="24"/>
          <w:szCs w:val="24"/>
        </w:rPr>
        <w:t>3</w:t>
      </w:r>
      <w:r>
        <w:rPr>
          <w:rFonts w:hint="eastAsia" w:ascii="宋体" w:hAnsi="宋体"/>
          <w:sz w:val="24"/>
          <w:szCs w:val="24"/>
        </w:rPr>
        <w:t>）8</w:t>
      </w:r>
      <w:r>
        <w:rPr>
          <w:rFonts w:ascii="宋体" w:hAnsi="宋体"/>
          <w:sz w:val="24"/>
          <w:szCs w:val="24"/>
        </w:rPr>
        <w:t>8758847</w:t>
      </w:r>
      <w:r>
        <w:rPr>
          <w:rFonts w:hint="eastAsia" w:ascii="宋体" w:hAnsi="宋体"/>
          <w:sz w:val="24"/>
          <w:szCs w:val="24"/>
        </w:rPr>
        <w:t>、88758852</w:t>
      </w:r>
    </w:p>
    <w:p>
      <w:pPr>
        <w:snapToGrid w:val="0"/>
        <w:spacing w:line="360" w:lineRule="auto"/>
        <w:ind w:firstLine="480" w:firstLineChars="200"/>
        <w:rPr>
          <w:rFonts w:ascii="宋体" w:hAnsi="宋体"/>
          <w:sz w:val="24"/>
          <w:szCs w:val="24"/>
        </w:rPr>
      </w:pPr>
      <w:r>
        <w:rPr>
          <w:rFonts w:hint="eastAsia" w:ascii="宋体" w:hAnsi="宋体"/>
          <w:sz w:val="24"/>
          <w:szCs w:val="24"/>
        </w:rPr>
        <w:t>传  真：（02</w:t>
      </w:r>
      <w:r>
        <w:rPr>
          <w:rFonts w:ascii="宋体" w:hAnsi="宋体"/>
          <w:sz w:val="24"/>
          <w:szCs w:val="24"/>
        </w:rPr>
        <w:t>3</w:t>
      </w:r>
      <w:r>
        <w:rPr>
          <w:rFonts w:hint="eastAsia" w:ascii="宋体" w:hAnsi="宋体"/>
          <w:sz w:val="24"/>
          <w:szCs w:val="24"/>
        </w:rPr>
        <w:t>）88505947</w:t>
      </w:r>
    </w:p>
    <w:p>
      <w:pPr>
        <w:snapToGrid w:val="0"/>
        <w:spacing w:line="360" w:lineRule="auto"/>
        <w:ind w:firstLine="480" w:firstLineChars="200"/>
        <w:rPr>
          <w:rFonts w:ascii="宋体" w:hAnsi="宋体"/>
          <w:sz w:val="24"/>
          <w:szCs w:val="24"/>
        </w:rPr>
      </w:pPr>
      <w:bookmarkStart w:id="23" w:name="_Toc216163282"/>
      <w:bookmarkStart w:id="24" w:name="_Toc178828108"/>
      <w:bookmarkStart w:id="25" w:name="_Toc180051219"/>
      <w:r>
        <w:rPr>
          <w:rFonts w:hint="eastAsia" w:ascii="宋体" w:hAnsi="宋体"/>
          <w:sz w:val="24"/>
          <w:szCs w:val="24"/>
        </w:rPr>
        <w:t>地  址：重庆市渝北区财富大道2号财富大厦A座9楼</w:t>
      </w:r>
    </w:p>
    <w:bookmarkEnd w:id="23"/>
    <w:bookmarkEnd w:id="24"/>
    <w:bookmarkEnd w:id="25"/>
    <w:p>
      <w:pPr>
        <w:pStyle w:val="5"/>
        <w:pageBreakBefore/>
        <w:spacing w:line="360" w:lineRule="auto"/>
        <w:jc w:val="center"/>
        <w:rPr>
          <w:rFonts w:ascii="宋体" w:hAnsi="宋体" w:eastAsia="宋体"/>
          <w:sz w:val="36"/>
          <w:szCs w:val="30"/>
        </w:rPr>
      </w:pPr>
      <w:bookmarkStart w:id="26" w:name="_Toc152145307"/>
      <w:r>
        <w:rPr>
          <w:rFonts w:hint="eastAsia" w:ascii="宋体" w:hAnsi="宋体" w:eastAsia="宋体"/>
          <w:sz w:val="36"/>
          <w:szCs w:val="30"/>
        </w:rPr>
        <w:t>第二篇  采购技术和服务需求</w:t>
      </w:r>
      <w:bookmarkEnd w:id="26"/>
    </w:p>
    <w:p>
      <w:pPr>
        <w:snapToGrid w:val="0"/>
        <w:spacing w:line="360" w:lineRule="auto"/>
        <w:rPr>
          <w:rFonts w:ascii="宋体" w:hAnsi="宋体"/>
          <w:b/>
          <w:sz w:val="21"/>
          <w:szCs w:val="21"/>
        </w:rPr>
      </w:pPr>
      <w:bookmarkStart w:id="27" w:name="_Toc5006885"/>
      <w:bookmarkStart w:id="28" w:name="_Toc6232092"/>
      <w:bookmarkStart w:id="29" w:name="_Toc12789058"/>
      <w:r>
        <w:rPr>
          <w:rFonts w:hint="eastAsia" w:ascii="宋体" w:hAnsi="宋体"/>
          <w:b/>
          <w:sz w:val="21"/>
          <w:szCs w:val="21"/>
        </w:rPr>
        <w:t>“※”标注的服务需求为符合性审查中的实质性要求，投标文件若不满足按无效投标处理。</w:t>
      </w:r>
    </w:p>
    <w:bookmarkEnd w:id="27"/>
    <w:bookmarkEnd w:id="28"/>
    <w:p>
      <w:pPr>
        <w:pStyle w:val="6"/>
        <w:spacing w:before="0" w:after="0" w:line="360" w:lineRule="auto"/>
        <w:ind w:firstLine="482" w:firstLineChars="200"/>
        <w:rPr>
          <w:rFonts w:ascii="宋体" w:hAnsi="宋体"/>
          <w:sz w:val="24"/>
          <w:szCs w:val="24"/>
        </w:rPr>
      </w:pPr>
      <w:bookmarkStart w:id="30" w:name="_Toc108094370"/>
      <w:bookmarkStart w:id="31" w:name="_Toc77245311"/>
      <w:bookmarkStart w:id="32" w:name="_Toc152145308"/>
      <w:bookmarkStart w:id="33" w:name="_Toc30016"/>
      <w:bookmarkStart w:id="34" w:name="_Toc18057005"/>
      <w:r>
        <w:rPr>
          <w:rFonts w:hint="eastAsia" w:ascii="宋体" w:hAnsi="宋体"/>
          <w:sz w:val="24"/>
          <w:szCs w:val="24"/>
        </w:rPr>
        <w:t>一、项目概况</w:t>
      </w:r>
      <w:bookmarkEnd w:id="30"/>
      <w:bookmarkEnd w:id="31"/>
      <w:bookmarkEnd w:id="32"/>
      <w:bookmarkEnd w:id="33"/>
      <w:bookmarkEnd w:id="34"/>
    </w:p>
    <w:p>
      <w:pPr>
        <w:spacing w:line="360" w:lineRule="auto"/>
        <w:ind w:firstLine="480" w:firstLineChars="200"/>
        <w:rPr>
          <w:rFonts w:ascii="宋体" w:hAnsi="宋体"/>
          <w:sz w:val="24"/>
          <w:szCs w:val="24"/>
        </w:rPr>
      </w:pPr>
      <w:r>
        <w:rPr>
          <w:rFonts w:hint="eastAsia" w:ascii="宋体" w:hAnsi="宋体"/>
          <w:sz w:val="24"/>
          <w:szCs w:val="24"/>
        </w:rPr>
        <w:t>为更好宣传报道我市推进西部陆海新通道建设，切实发挥运营组织中心作用，西部陆海新通道物流和运营组织中心会同陆海新通道运营有限公司委托第三方策划编制了《陆海新通道》首刊，取得了良好效果。为持续扩大影响力，运营组织中心拟继续会同陆海新通道运营有限公司编制第</w:t>
      </w:r>
      <w:r>
        <w:rPr>
          <w:rFonts w:ascii="宋体" w:hAnsi="宋体"/>
          <w:sz w:val="24"/>
          <w:szCs w:val="24"/>
        </w:rPr>
        <w:t>6</w:t>
      </w:r>
      <w:r>
        <w:rPr>
          <w:rFonts w:hint="eastAsia" w:ascii="宋体" w:hAnsi="宋体"/>
          <w:sz w:val="24"/>
          <w:szCs w:val="24"/>
        </w:rPr>
        <w:t>—</w:t>
      </w:r>
      <w:r>
        <w:rPr>
          <w:rFonts w:ascii="宋体" w:hAnsi="宋体"/>
          <w:sz w:val="24"/>
          <w:szCs w:val="24"/>
        </w:rPr>
        <w:t>8</w:t>
      </w:r>
      <w:r>
        <w:rPr>
          <w:rFonts w:hint="eastAsia" w:ascii="宋体" w:hAnsi="宋体"/>
          <w:sz w:val="24"/>
          <w:szCs w:val="24"/>
        </w:rPr>
        <w:t>期《陆海新通道》，按照有关采购规定确定并委托第三方做好《陆海新通道》内容策划、内容编辑、期刊印刷等工作。</w:t>
      </w:r>
    </w:p>
    <w:p>
      <w:pPr>
        <w:pStyle w:val="6"/>
        <w:spacing w:before="0" w:after="0" w:line="360" w:lineRule="auto"/>
        <w:ind w:firstLine="482" w:firstLineChars="200"/>
        <w:rPr>
          <w:rFonts w:ascii="宋体" w:hAnsi="宋体"/>
          <w:sz w:val="24"/>
          <w:szCs w:val="24"/>
        </w:rPr>
      </w:pPr>
      <w:bookmarkStart w:id="35" w:name="_Toc108094371"/>
      <w:bookmarkStart w:id="36" w:name="_Toc152145309"/>
      <w:bookmarkStart w:id="37" w:name="_Toc18057007"/>
      <w:bookmarkStart w:id="38" w:name="_Toc15181"/>
      <w:bookmarkStart w:id="39" w:name="_Toc77245312"/>
      <w:r>
        <w:rPr>
          <w:rFonts w:hint="eastAsia" w:ascii="宋体" w:hAnsi="宋体"/>
          <w:sz w:val="24"/>
          <w:szCs w:val="24"/>
        </w:rPr>
        <w:t>※二、项目内容</w:t>
      </w:r>
      <w:bookmarkEnd w:id="35"/>
      <w:bookmarkEnd w:id="36"/>
      <w:bookmarkEnd w:id="37"/>
      <w:bookmarkEnd w:id="38"/>
      <w:bookmarkEnd w:id="39"/>
    </w:p>
    <w:p>
      <w:pPr>
        <w:snapToGrid w:val="0"/>
        <w:spacing w:line="360" w:lineRule="auto"/>
        <w:ind w:firstLine="480" w:firstLineChars="200"/>
        <w:rPr>
          <w:rFonts w:ascii="宋体" w:hAnsi="宋体"/>
          <w:sz w:val="24"/>
          <w:szCs w:val="24"/>
        </w:rPr>
      </w:pPr>
      <w:r>
        <w:rPr>
          <w:rFonts w:hint="eastAsia" w:ascii="宋体" w:hAnsi="宋体"/>
          <w:sz w:val="24"/>
          <w:szCs w:val="24"/>
        </w:rPr>
        <w:t>（一）内容策划</w:t>
      </w:r>
    </w:p>
    <w:p>
      <w:pPr>
        <w:snapToGrid w:val="0"/>
        <w:spacing w:line="360" w:lineRule="auto"/>
        <w:ind w:firstLine="480" w:firstLineChars="200"/>
        <w:rPr>
          <w:rFonts w:ascii="宋体" w:hAnsi="宋体"/>
          <w:sz w:val="24"/>
          <w:szCs w:val="24"/>
        </w:rPr>
      </w:pPr>
      <w:r>
        <w:rPr>
          <w:rFonts w:hint="eastAsia" w:ascii="宋体" w:hAnsi="宋体"/>
          <w:sz w:val="24"/>
          <w:szCs w:val="24"/>
        </w:rPr>
        <w:t>1.拟写策划方案。策划期刊内容和呈现形式，内容包括但不限于发刊词、目录出版信息、政策文件、专家解读、发展指数、通道建设历程、建设成果、动态要闻、各省区市发展情况等，并明确时间进度安排。</w:t>
      </w:r>
    </w:p>
    <w:p>
      <w:pPr>
        <w:snapToGrid w:val="0"/>
        <w:spacing w:line="360" w:lineRule="auto"/>
        <w:ind w:firstLine="480" w:firstLineChars="200"/>
        <w:rPr>
          <w:rFonts w:ascii="宋体" w:hAnsi="宋体"/>
          <w:sz w:val="24"/>
          <w:szCs w:val="24"/>
        </w:rPr>
      </w:pPr>
      <w:r>
        <w:rPr>
          <w:rFonts w:hint="eastAsia" w:ascii="宋体" w:hAnsi="宋体"/>
          <w:sz w:val="24"/>
          <w:szCs w:val="24"/>
        </w:rPr>
        <w:t>2.组建编辑团队。包括项目统筹、对口记者、专职编辑、视觉设计等。</w:t>
      </w:r>
    </w:p>
    <w:p>
      <w:pPr>
        <w:snapToGrid w:val="0"/>
        <w:spacing w:line="360" w:lineRule="auto"/>
        <w:ind w:firstLine="480" w:firstLineChars="200"/>
        <w:rPr>
          <w:rFonts w:ascii="宋体" w:hAnsi="宋体"/>
          <w:sz w:val="24"/>
          <w:szCs w:val="24"/>
        </w:rPr>
      </w:pPr>
      <w:r>
        <w:rPr>
          <w:rFonts w:hint="eastAsia" w:ascii="宋体" w:hAnsi="宋体"/>
          <w:sz w:val="24"/>
          <w:szCs w:val="24"/>
        </w:rPr>
        <w:t>（二）内容编辑</w:t>
      </w:r>
    </w:p>
    <w:p>
      <w:pPr>
        <w:snapToGrid w:val="0"/>
        <w:spacing w:line="360" w:lineRule="auto"/>
        <w:ind w:firstLine="480" w:firstLineChars="200"/>
        <w:rPr>
          <w:rFonts w:ascii="宋体" w:hAnsi="宋体"/>
          <w:sz w:val="24"/>
          <w:szCs w:val="24"/>
        </w:rPr>
      </w:pPr>
      <w:r>
        <w:rPr>
          <w:rFonts w:hint="eastAsia" w:ascii="宋体" w:hAnsi="宋体"/>
          <w:sz w:val="24"/>
          <w:szCs w:val="24"/>
        </w:rPr>
        <w:t>1.编辑采写。根据提供的基础材料，采编刊物内容、处理图片、设计字体和版面。</w:t>
      </w:r>
    </w:p>
    <w:p>
      <w:pPr>
        <w:snapToGrid w:val="0"/>
        <w:spacing w:line="360" w:lineRule="auto"/>
        <w:ind w:firstLine="480" w:firstLineChars="200"/>
        <w:rPr>
          <w:rFonts w:ascii="宋体" w:hAnsi="宋体"/>
          <w:sz w:val="24"/>
          <w:szCs w:val="24"/>
        </w:rPr>
      </w:pPr>
      <w:r>
        <w:rPr>
          <w:rFonts w:hint="eastAsia" w:ascii="宋体" w:hAnsi="宋体"/>
          <w:sz w:val="24"/>
          <w:szCs w:val="24"/>
        </w:rPr>
        <w:t>2.审核校对。实行三审三校。对文字、图片的准确性、时效性负责。</w:t>
      </w:r>
    </w:p>
    <w:p>
      <w:pPr>
        <w:snapToGrid w:val="0"/>
        <w:spacing w:line="360" w:lineRule="auto"/>
        <w:ind w:firstLine="480" w:firstLineChars="200"/>
        <w:rPr>
          <w:rFonts w:ascii="宋体" w:hAnsi="宋体"/>
          <w:sz w:val="24"/>
          <w:szCs w:val="24"/>
        </w:rPr>
      </w:pPr>
      <w:r>
        <w:rPr>
          <w:rFonts w:hint="eastAsia" w:ascii="宋体" w:hAnsi="宋体"/>
          <w:sz w:val="24"/>
          <w:szCs w:val="24"/>
        </w:rPr>
        <w:t>（三）期刊印刷</w:t>
      </w:r>
    </w:p>
    <w:p>
      <w:pPr>
        <w:snapToGrid w:val="0"/>
        <w:spacing w:line="360" w:lineRule="auto"/>
        <w:ind w:firstLine="480" w:firstLineChars="200"/>
        <w:rPr>
          <w:rFonts w:ascii="宋体" w:hAnsi="宋体"/>
          <w:sz w:val="24"/>
          <w:szCs w:val="24"/>
        </w:rPr>
      </w:pPr>
      <w:r>
        <w:rPr>
          <w:rFonts w:hint="eastAsia" w:ascii="宋体" w:hAnsi="宋体"/>
          <w:sz w:val="24"/>
          <w:szCs w:val="24"/>
        </w:rPr>
        <w:t>按照规定工艺、纸张品质和印刷数量要求，开展期刊印刷工作。</w:t>
      </w:r>
    </w:p>
    <w:p>
      <w:pPr>
        <w:snapToGrid w:val="0"/>
        <w:spacing w:line="360" w:lineRule="auto"/>
        <w:ind w:firstLine="480" w:firstLineChars="200"/>
        <w:rPr>
          <w:rFonts w:ascii="宋体" w:hAnsi="宋体"/>
          <w:sz w:val="24"/>
          <w:szCs w:val="24"/>
        </w:rPr>
      </w:pPr>
      <w:r>
        <w:rPr>
          <w:rFonts w:hint="eastAsia" w:ascii="宋体" w:hAnsi="宋体"/>
          <w:sz w:val="24"/>
          <w:szCs w:val="24"/>
        </w:rPr>
        <w:t>参考印刷工艺：封面用纸：250g铜版纸，覆膜；内页用纸：105g哑光纸，双面全彩（4C+4C）；装订工艺：无线胶装。</w:t>
      </w:r>
    </w:p>
    <w:p>
      <w:pPr>
        <w:pStyle w:val="2"/>
      </w:pPr>
    </w:p>
    <w:p>
      <w:pPr>
        <w:pStyle w:val="5"/>
        <w:pageBreakBefore/>
        <w:spacing w:line="360" w:lineRule="auto"/>
        <w:jc w:val="center"/>
        <w:rPr>
          <w:rFonts w:ascii="宋体" w:hAnsi="宋体" w:eastAsia="宋体"/>
          <w:sz w:val="36"/>
          <w:szCs w:val="30"/>
        </w:rPr>
      </w:pPr>
      <w:bookmarkStart w:id="40" w:name="_Toc152145310"/>
      <w:r>
        <w:rPr>
          <w:rFonts w:hint="eastAsia" w:ascii="宋体" w:hAnsi="宋体" w:eastAsia="宋体"/>
          <w:sz w:val="36"/>
          <w:szCs w:val="30"/>
        </w:rPr>
        <w:t>第三篇  项目商务需求</w:t>
      </w:r>
      <w:bookmarkEnd w:id="29"/>
      <w:bookmarkEnd w:id="40"/>
    </w:p>
    <w:p>
      <w:pPr>
        <w:snapToGrid w:val="0"/>
        <w:spacing w:line="360" w:lineRule="auto"/>
        <w:ind w:firstLine="422" w:firstLineChars="200"/>
        <w:rPr>
          <w:rFonts w:ascii="宋体" w:hAnsi="宋体"/>
          <w:b/>
          <w:sz w:val="24"/>
          <w:szCs w:val="24"/>
        </w:rPr>
      </w:pPr>
      <w:bookmarkStart w:id="41" w:name="_Toc267320049"/>
      <w:r>
        <w:rPr>
          <w:rFonts w:hint="eastAsia" w:ascii="宋体" w:hAnsi="宋体"/>
          <w:b/>
          <w:sz w:val="21"/>
          <w:szCs w:val="21"/>
        </w:rPr>
        <w:t>“※”标注的要求为符合性审查中的实质性要求，投标文件若不满足按无效投标处理。</w:t>
      </w:r>
    </w:p>
    <w:bookmarkEnd w:id="41"/>
    <w:p>
      <w:pPr>
        <w:pStyle w:val="6"/>
        <w:spacing w:before="0" w:after="0" w:line="360" w:lineRule="auto"/>
        <w:ind w:firstLine="482" w:firstLineChars="200"/>
        <w:rPr>
          <w:rFonts w:ascii="宋体" w:hAnsi="宋体"/>
          <w:sz w:val="24"/>
          <w:szCs w:val="24"/>
        </w:rPr>
      </w:pPr>
      <w:bookmarkStart w:id="42" w:name="_Toc51854596"/>
      <w:bookmarkStart w:id="43" w:name="_Toc83905718"/>
      <w:bookmarkStart w:id="44" w:name="_Toc14860569"/>
      <w:bookmarkStart w:id="45" w:name="_Toc484611845"/>
      <w:bookmarkStart w:id="46" w:name="_Toc152145311"/>
      <w:r>
        <w:rPr>
          <w:rFonts w:ascii="宋体" w:hAnsi="宋体"/>
          <w:sz w:val="24"/>
          <w:szCs w:val="24"/>
        </w:rPr>
        <w:t>※</w:t>
      </w:r>
      <w:r>
        <w:rPr>
          <w:rFonts w:hint="eastAsia" w:ascii="宋体" w:hAnsi="宋体"/>
          <w:sz w:val="24"/>
          <w:szCs w:val="24"/>
        </w:rPr>
        <w:t>一、服务时间、地点及验收方式</w:t>
      </w:r>
      <w:bookmarkEnd w:id="42"/>
      <w:bookmarkEnd w:id="43"/>
      <w:bookmarkEnd w:id="44"/>
      <w:bookmarkEnd w:id="45"/>
      <w:bookmarkEnd w:id="46"/>
    </w:p>
    <w:p>
      <w:pPr>
        <w:snapToGrid w:val="0"/>
        <w:spacing w:line="360" w:lineRule="auto"/>
        <w:ind w:firstLine="482" w:firstLineChars="200"/>
        <w:rPr>
          <w:b/>
          <w:bCs/>
          <w:sz w:val="24"/>
          <w:szCs w:val="24"/>
        </w:rPr>
      </w:pPr>
      <w:bookmarkStart w:id="47" w:name="_Toc344475121"/>
      <w:r>
        <w:rPr>
          <w:rFonts w:hint="eastAsia"/>
          <w:b/>
          <w:bCs/>
          <w:sz w:val="24"/>
          <w:szCs w:val="24"/>
        </w:rPr>
        <w:t>（一）服务时间：</w:t>
      </w:r>
    </w:p>
    <w:p>
      <w:pPr>
        <w:snapToGrid w:val="0"/>
        <w:spacing w:line="360" w:lineRule="auto"/>
        <w:ind w:firstLine="480" w:firstLineChars="200"/>
        <w:rPr>
          <w:rFonts w:ascii="宋体" w:hAnsi="宋体"/>
          <w:sz w:val="24"/>
          <w:szCs w:val="24"/>
        </w:rPr>
      </w:pPr>
      <w:r>
        <w:rPr>
          <w:rFonts w:hint="eastAsia" w:ascii="宋体" w:hAnsi="宋体"/>
          <w:sz w:val="24"/>
          <w:szCs w:val="24"/>
        </w:rPr>
        <w:t>合同签订之日起至项目验收完成之日止。</w:t>
      </w:r>
    </w:p>
    <w:p>
      <w:pPr>
        <w:snapToGrid w:val="0"/>
        <w:spacing w:line="360" w:lineRule="auto"/>
        <w:ind w:firstLine="482" w:firstLineChars="200"/>
        <w:rPr>
          <w:b/>
          <w:bCs/>
          <w:sz w:val="24"/>
          <w:szCs w:val="24"/>
        </w:rPr>
      </w:pPr>
      <w:r>
        <w:rPr>
          <w:rFonts w:hint="eastAsia"/>
          <w:b/>
          <w:bCs/>
          <w:sz w:val="24"/>
          <w:szCs w:val="24"/>
        </w:rPr>
        <w:t>（二）地点：</w:t>
      </w:r>
    </w:p>
    <w:p>
      <w:pPr>
        <w:snapToGrid w:val="0"/>
        <w:spacing w:line="360" w:lineRule="auto"/>
        <w:ind w:firstLine="480" w:firstLineChars="200"/>
        <w:rPr>
          <w:rFonts w:ascii="宋体" w:hAnsi="宋体"/>
          <w:sz w:val="24"/>
          <w:szCs w:val="24"/>
        </w:rPr>
      </w:pPr>
      <w:r>
        <w:rPr>
          <w:rFonts w:hint="eastAsia" w:ascii="宋体" w:hAnsi="宋体"/>
          <w:sz w:val="24"/>
          <w:szCs w:val="24"/>
        </w:rPr>
        <w:t>西部陆海新通道物流和运营组织中心同意或指定地点。</w:t>
      </w:r>
    </w:p>
    <w:p>
      <w:pPr>
        <w:snapToGrid w:val="0"/>
        <w:spacing w:line="360" w:lineRule="auto"/>
        <w:ind w:firstLine="482" w:firstLineChars="200"/>
        <w:rPr>
          <w:b/>
          <w:bCs/>
          <w:sz w:val="24"/>
          <w:szCs w:val="24"/>
        </w:rPr>
      </w:pPr>
      <w:r>
        <w:rPr>
          <w:rFonts w:hint="eastAsia"/>
          <w:b/>
          <w:bCs/>
          <w:sz w:val="24"/>
          <w:szCs w:val="24"/>
        </w:rPr>
        <w:t>（三）验收方式：</w:t>
      </w:r>
    </w:p>
    <w:p>
      <w:pPr>
        <w:snapToGrid w:val="0"/>
        <w:spacing w:line="360" w:lineRule="auto"/>
        <w:ind w:firstLine="480" w:firstLineChars="200"/>
        <w:rPr>
          <w:sz w:val="24"/>
          <w:szCs w:val="24"/>
        </w:rPr>
      </w:pPr>
      <w:r>
        <w:rPr>
          <w:rFonts w:hint="eastAsia"/>
          <w:sz w:val="24"/>
          <w:szCs w:val="24"/>
        </w:rPr>
        <w:t>1.验收单位：西部陆海新通道物流和运营组织中心。</w:t>
      </w:r>
    </w:p>
    <w:p>
      <w:pPr>
        <w:snapToGrid w:val="0"/>
        <w:spacing w:line="360" w:lineRule="auto"/>
        <w:ind w:firstLine="480" w:firstLineChars="200"/>
        <w:rPr>
          <w:sz w:val="24"/>
          <w:szCs w:val="24"/>
        </w:rPr>
      </w:pPr>
      <w:r>
        <w:rPr>
          <w:rFonts w:hint="eastAsia"/>
          <w:sz w:val="24"/>
          <w:szCs w:val="24"/>
        </w:rPr>
        <w:t>2.验收标准：</w:t>
      </w:r>
      <w:r>
        <w:rPr>
          <w:rFonts w:hint="eastAsia" w:ascii="宋体" w:hAnsi="宋体"/>
          <w:sz w:val="24"/>
          <w:szCs w:val="24"/>
        </w:rPr>
        <w:t>按照国家及行业相关标准、竞争性比选文件规定对成交供应商的服务进行验收，如验收达不到相关规定要求，视为该项目验收不合格，采购人有权立即终止合同。由此对采购人造成一定的损失，成交供应商应承担一切责任，并赔偿所造成的损失。</w:t>
      </w:r>
    </w:p>
    <w:p>
      <w:pPr>
        <w:pStyle w:val="6"/>
        <w:spacing w:before="0" w:after="0" w:line="360" w:lineRule="auto"/>
        <w:ind w:firstLine="482" w:firstLineChars="200"/>
        <w:rPr>
          <w:sz w:val="24"/>
          <w:szCs w:val="24"/>
        </w:rPr>
      </w:pPr>
      <w:bookmarkStart w:id="48" w:name="_Toc484611846"/>
      <w:bookmarkStart w:id="49" w:name="_Toc51854597"/>
      <w:bookmarkStart w:id="50" w:name="_Toc14860570"/>
      <w:bookmarkStart w:id="51" w:name="_Toc152145312"/>
      <w:bookmarkStart w:id="52" w:name="_Toc83905719"/>
      <w:r>
        <w:rPr>
          <w:sz w:val="24"/>
          <w:szCs w:val="24"/>
        </w:rPr>
        <w:t>※</w:t>
      </w:r>
      <w:r>
        <w:rPr>
          <w:rFonts w:hint="eastAsia"/>
          <w:sz w:val="24"/>
          <w:szCs w:val="24"/>
        </w:rPr>
        <w:t>二、</w:t>
      </w:r>
      <w:bookmarkEnd w:id="47"/>
      <w:r>
        <w:rPr>
          <w:rFonts w:hint="eastAsia"/>
          <w:sz w:val="24"/>
          <w:szCs w:val="24"/>
        </w:rPr>
        <w:t>报价要求</w:t>
      </w:r>
      <w:bookmarkEnd w:id="48"/>
      <w:bookmarkEnd w:id="49"/>
      <w:bookmarkEnd w:id="50"/>
      <w:bookmarkEnd w:id="51"/>
      <w:bookmarkEnd w:id="52"/>
    </w:p>
    <w:p>
      <w:pPr>
        <w:snapToGrid w:val="0"/>
        <w:spacing w:line="360" w:lineRule="auto"/>
        <w:ind w:firstLine="480" w:firstLineChars="200"/>
        <w:rPr>
          <w:sz w:val="24"/>
          <w:szCs w:val="24"/>
        </w:rPr>
      </w:pPr>
      <w:r>
        <w:rPr>
          <w:rFonts w:hint="eastAsia"/>
          <w:sz w:val="24"/>
          <w:szCs w:val="24"/>
        </w:rPr>
        <w:t>投标报价包括完成本项目所需的包括（但不限于）服务费、咨询费、文件编制费、利润、税金及其它与本项目相关的一切费用。因成交供应商自身原因造成漏报、少报皆由其自行承担责任，采购人不再补偿。</w:t>
      </w:r>
    </w:p>
    <w:p>
      <w:pPr>
        <w:pStyle w:val="6"/>
        <w:spacing w:before="0" w:after="0" w:line="360" w:lineRule="auto"/>
        <w:ind w:firstLine="482" w:firstLineChars="200"/>
        <w:rPr>
          <w:sz w:val="24"/>
          <w:szCs w:val="24"/>
        </w:rPr>
      </w:pPr>
      <w:bookmarkStart w:id="53" w:name="_Toc344475122"/>
      <w:bookmarkStart w:id="54" w:name="_Toc83905720"/>
      <w:bookmarkStart w:id="55" w:name="_Toc152145313"/>
      <w:bookmarkStart w:id="56" w:name="_Toc14860571"/>
      <w:bookmarkStart w:id="57" w:name="_Toc51854598"/>
      <w:bookmarkStart w:id="58" w:name="_Toc484611849"/>
      <w:r>
        <w:rPr>
          <w:sz w:val="24"/>
          <w:szCs w:val="24"/>
        </w:rPr>
        <w:t>※</w:t>
      </w:r>
      <w:r>
        <w:rPr>
          <w:rFonts w:hint="eastAsia"/>
          <w:sz w:val="24"/>
          <w:szCs w:val="24"/>
        </w:rPr>
        <w:t>三、付款方式</w:t>
      </w:r>
      <w:bookmarkEnd w:id="53"/>
      <w:bookmarkEnd w:id="54"/>
      <w:bookmarkEnd w:id="55"/>
      <w:bookmarkEnd w:id="56"/>
      <w:bookmarkEnd w:id="57"/>
      <w:bookmarkEnd w:id="58"/>
    </w:p>
    <w:p>
      <w:pPr>
        <w:snapToGrid w:val="0"/>
        <w:spacing w:line="360" w:lineRule="auto"/>
        <w:ind w:firstLine="480" w:firstLineChars="200"/>
        <w:rPr>
          <w:sz w:val="24"/>
          <w:szCs w:val="24"/>
        </w:rPr>
      </w:pPr>
      <w:bookmarkStart w:id="59" w:name="_Toc344475123"/>
      <w:r>
        <w:rPr>
          <w:rFonts w:hint="eastAsia"/>
          <w:sz w:val="24"/>
          <w:szCs w:val="24"/>
        </w:rPr>
        <w:t>（一）成交供应商与采购人签订合同后，成交供应商按合同约定向采购人（陆海新通道运营有限公司）开具合同金额</w:t>
      </w:r>
      <w:r>
        <w:rPr>
          <w:sz w:val="24"/>
          <w:szCs w:val="24"/>
        </w:rPr>
        <w:t>5</w:t>
      </w:r>
      <w:r>
        <w:rPr>
          <w:rFonts w:hint="eastAsia"/>
          <w:sz w:val="24"/>
          <w:szCs w:val="24"/>
        </w:rPr>
        <w:t>0%的发票，采购人以转账方式向成交供应商支付合同金额的</w:t>
      </w:r>
      <w:r>
        <w:rPr>
          <w:sz w:val="24"/>
          <w:szCs w:val="24"/>
        </w:rPr>
        <w:t>5</w:t>
      </w:r>
      <w:r>
        <w:rPr>
          <w:rFonts w:hint="eastAsia"/>
          <w:sz w:val="24"/>
          <w:szCs w:val="24"/>
        </w:rPr>
        <w:t>0%；</w:t>
      </w:r>
    </w:p>
    <w:p>
      <w:pPr>
        <w:snapToGrid w:val="0"/>
        <w:spacing w:line="360" w:lineRule="auto"/>
        <w:ind w:firstLine="480" w:firstLineChars="200"/>
        <w:rPr>
          <w:sz w:val="24"/>
          <w:szCs w:val="24"/>
        </w:rPr>
      </w:pPr>
      <w:r>
        <w:rPr>
          <w:rFonts w:hint="eastAsia"/>
          <w:sz w:val="24"/>
          <w:szCs w:val="24"/>
        </w:rPr>
        <w:t>（二）成交供应商完成所有工作内容，通过专家评审并修改完善后，经采购人验收合格，成交供应商按合同约定向采购人（陆海新通道运营有限公司）开具合同金额</w:t>
      </w:r>
      <w:r>
        <w:rPr>
          <w:sz w:val="24"/>
          <w:szCs w:val="24"/>
        </w:rPr>
        <w:t>5</w:t>
      </w:r>
      <w:r>
        <w:rPr>
          <w:rFonts w:hint="eastAsia"/>
          <w:sz w:val="24"/>
          <w:szCs w:val="24"/>
        </w:rPr>
        <w:t>0%的发票，专家评审意见等材料，申请支付尾款；</w:t>
      </w:r>
    </w:p>
    <w:p>
      <w:pPr>
        <w:snapToGrid w:val="0"/>
        <w:spacing w:line="360" w:lineRule="auto"/>
        <w:ind w:firstLine="480" w:firstLineChars="200"/>
        <w:rPr>
          <w:sz w:val="24"/>
          <w:szCs w:val="24"/>
        </w:rPr>
      </w:pPr>
      <w:r>
        <w:rPr>
          <w:rFonts w:hint="eastAsia"/>
          <w:sz w:val="24"/>
          <w:szCs w:val="24"/>
        </w:rPr>
        <w:t>（三）采购人（陆海新通道运营有限公司）对成交供应商提交的付款资料审核通过后，以转账方式向成交供应商支付合同金额的</w:t>
      </w:r>
      <w:r>
        <w:rPr>
          <w:sz w:val="24"/>
          <w:szCs w:val="24"/>
        </w:rPr>
        <w:t>5</w:t>
      </w:r>
      <w:r>
        <w:rPr>
          <w:rFonts w:hint="eastAsia"/>
          <w:sz w:val="24"/>
          <w:szCs w:val="24"/>
        </w:rPr>
        <w:t>0%。</w:t>
      </w:r>
    </w:p>
    <w:p>
      <w:pPr>
        <w:pStyle w:val="6"/>
        <w:spacing w:before="0" w:after="0" w:line="360" w:lineRule="auto"/>
        <w:ind w:firstLine="482" w:firstLineChars="200"/>
        <w:rPr>
          <w:sz w:val="24"/>
          <w:szCs w:val="24"/>
        </w:rPr>
      </w:pPr>
      <w:bookmarkStart w:id="60" w:name="_Toc51854600"/>
      <w:bookmarkStart w:id="61" w:name="_Toc14860572"/>
      <w:bookmarkStart w:id="62" w:name="_Toc83905721"/>
      <w:bookmarkStart w:id="63" w:name="_Toc152145314"/>
      <w:bookmarkStart w:id="64" w:name="_Toc484611850"/>
      <w:r>
        <w:rPr>
          <w:sz w:val="24"/>
          <w:szCs w:val="24"/>
        </w:rPr>
        <w:t>※</w:t>
      </w:r>
      <w:r>
        <w:rPr>
          <w:rFonts w:hint="eastAsia"/>
          <w:sz w:val="24"/>
          <w:szCs w:val="24"/>
        </w:rPr>
        <w:t>四、知识产权</w:t>
      </w:r>
      <w:bookmarkEnd w:id="59"/>
      <w:bookmarkEnd w:id="60"/>
      <w:bookmarkEnd w:id="61"/>
      <w:bookmarkEnd w:id="62"/>
      <w:bookmarkEnd w:id="63"/>
      <w:bookmarkEnd w:id="64"/>
    </w:p>
    <w:p>
      <w:pPr>
        <w:snapToGrid w:val="0"/>
        <w:spacing w:line="360" w:lineRule="auto"/>
        <w:ind w:firstLine="480" w:firstLineChars="200"/>
        <w:rPr>
          <w:sz w:val="24"/>
          <w:szCs w:val="24"/>
        </w:rPr>
      </w:pPr>
      <w:r>
        <w:rPr>
          <w:rFonts w:hint="eastAsia"/>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360" w:lineRule="auto"/>
        <w:ind w:firstLine="482" w:firstLineChars="200"/>
        <w:rPr>
          <w:rFonts w:ascii="宋体" w:hAnsi="宋体"/>
          <w:b/>
          <w:bCs/>
          <w:sz w:val="24"/>
          <w:szCs w:val="24"/>
        </w:rPr>
      </w:pPr>
      <w:r>
        <w:rPr>
          <w:rFonts w:ascii="宋体" w:hAnsi="宋体"/>
          <w:b/>
          <w:bCs/>
          <w:sz w:val="24"/>
          <w:szCs w:val="24"/>
        </w:rPr>
        <w:t>本项目知识产权所有权均归采购人所有。</w:t>
      </w:r>
    </w:p>
    <w:p>
      <w:pPr>
        <w:pStyle w:val="6"/>
        <w:spacing w:before="0" w:after="0" w:line="360" w:lineRule="auto"/>
        <w:ind w:firstLine="482" w:firstLineChars="200"/>
        <w:rPr>
          <w:sz w:val="24"/>
          <w:szCs w:val="24"/>
        </w:rPr>
      </w:pPr>
      <w:bookmarkStart w:id="65" w:name="_Toc152145315"/>
      <w:bookmarkStart w:id="66" w:name="_Toc83905722"/>
      <w:bookmarkStart w:id="67" w:name="_Toc51854601"/>
      <w:bookmarkStart w:id="68" w:name="_Toc484611852"/>
      <w:bookmarkStart w:id="69" w:name="_Toc14860573"/>
      <w:bookmarkStart w:id="70" w:name="_Toc344475125"/>
      <w:r>
        <w:rPr>
          <w:rFonts w:hint="eastAsia"/>
          <w:sz w:val="24"/>
          <w:szCs w:val="24"/>
        </w:rPr>
        <w:t>五、其他</w:t>
      </w:r>
      <w:bookmarkEnd w:id="65"/>
      <w:bookmarkEnd w:id="66"/>
      <w:bookmarkEnd w:id="67"/>
      <w:bookmarkEnd w:id="68"/>
      <w:bookmarkEnd w:id="69"/>
    </w:p>
    <w:bookmarkEnd w:id="70"/>
    <w:p>
      <w:pPr>
        <w:snapToGrid w:val="0"/>
        <w:spacing w:line="360" w:lineRule="auto"/>
        <w:ind w:firstLine="480" w:firstLineChars="200"/>
        <w:rPr>
          <w:sz w:val="24"/>
          <w:szCs w:val="24"/>
        </w:rPr>
      </w:pPr>
      <w:r>
        <w:rPr>
          <w:rFonts w:hint="eastAsia"/>
          <w:sz w:val="24"/>
          <w:szCs w:val="24"/>
        </w:rPr>
        <w:t>（一）供应商必须在响应文件中对以上条款和服务承诺明确列出，承诺内容必须达到本篇及竞争性比选文件其他条款的要求。</w:t>
      </w:r>
    </w:p>
    <w:p>
      <w:pPr>
        <w:snapToGrid w:val="0"/>
        <w:spacing w:line="360" w:lineRule="auto"/>
        <w:ind w:firstLine="480" w:firstLineChars="200"/>
        <w:rPr>
          <w:sz w:val="24"/>
          <w:szCs w:val="24"/>
        </w:rPr>
      </w:pPr>
      <w:r>
        <w:rPr>
          <w:rFonts w:hint="eastAsia"/>
          <w:sz w:val="24"/>
          <w:szCs w:val="24"/>
        </w:rPr>
        <w:t>（二）其他未尽事宜由供需双方在采购合同中详细约定。</w:t>
      </w:r>
    </w:p>
    <w:p>
      <w:pPr>
        <w:pStyle w:val="5"/>
        <w:pageBreakBefore/>
        <w:spacing w:line="360" w:lineRule="auto"/>
        <w:jc w:val="center"/>
        <w:rPr>
          <w:rFonts w:ascii="宋体" w:hAnsi="宋体" w:eastAsia="宋体"/>
          <w:sz w:val="36"/>
          <w:szCs w:val="30"/>
        </w:rPr>
      </w:pPr>
      <w:bookmarkStart w:id="71" w:name="_Toc152145316"/>
      <w:r>
        <w:rPr>
          <w:rFonts w:hint="eastAsia" w:ascii="宋体" w:hAnsi="宋体" w:eastAsia="宋体"/>
          <w:sz w:val="36"/>
          <w:szCs w:val="30"/>
        </w:rPr>
        <w:t>第四篇  比选程序及方法、评审标准、无效响应和采购终止</w:t>
      </w:r>
      <w:bookmarkEnd w:id="71"/>
    </w:p>
    <w:p>
      <w:pPr>
        <w:pStyle w:val="6"/>
        <w:snapToGrid w:val="0"/>
        <w:spacing w:before="0" w:after="0" w:line="360" w:lineRule="auto"/>
        <w:ind w:firstLine="482" w:firstLineChars="200"/>
        <w:rPr>
          <w:rFonts w:ascii="宋体" w:hAnsi="宋体"/>
          <w:sz w:val="24"/>
          <w:szCs w:val="24"/>
        </w:rPr>
      </w:pPr>
      <w:bookmarkStart w:id="72" w:name="_Toc152145317"/>
      <w:r>
        <w:rPr>
          <w:rFonts w:hint="eastAsia" w:ascii="宋体" w:hAnsi="宋体"/>
          <w:sz w:val="24"/>
          <w:szCs w:val="24"/>
        </w:rPr>
        <w:t>一、比选程序及方法</w:t>
      </w:r>
      <w:bookmarkEnd w:id="72"/>
    </w:p>
    <w:p>
      <w:pPr>
        <w:spacing w:line="360" w:lineRule="auto"/>
        <w:ind w:firstLine="480" w:firstLineChars="200"/>
        <w:rPr>
          <w:rFonts w:ascii="宋体" w:hAnsi="宋体"/>
          <w:sz w:val="24"/>
          <w:szCs w:val="24"/>
        </w:rPr>
      </w:pPr>
      <w:r>
        <w:rPr>
          <w:rFonts w:hint="eastAsia" w:ascii="宋体" w:hAnsi="宋体"/>
          <w:sz w:val="24"/>
          <w:szCs w:val="24"/>
        </w:rPr>
        <w:t>（一）比选按竞争性比选文件规定的时间和地点进行，由本项目依法组建的评审委员会按比选文件内容进行。</w:t>
      </w:r>
    </w:p>
    <w:p>
      <w:pPr>
        <w:spacing w:line="360" w:lineRule="auto"/>
        <w:ind w:firstLine="480" w:firstLineChars="200"/>
        <w:rPr>
          <w:rFonts w:ascii="宋体" w:hAnsi="宋体"/>
          <w:sz w:val="24"/>
          <w:szCs w:val="24"/>
        </w:rPr>
      </w:pPr>
      <w:r>
        <w:rPr>
          <w:rFonts w:hint="eastAsia" w:ascii="宋体" w:hAnsi="宋体"/>
          <w:sz w:val="24"/>
          <w:szCs w:val="24"/>
        </w:rPr>
        <w:t>（二）评审委员会对各供应商的资格条件、响应文件的有效性、完整性和响应程度进行审查。各供应商只有在完全符合要求的前提下，才能参与正式比选。</w:t>
      </w:r>
    </w:p>
    <w:p>
      <w:pPr>
        <w:snapToGrid w:val="0"/>
        <w:spacing w:line="360" w:lineRule="auto"/>
        <w:ind w:firstLine="480" w:firstLineChars="200"/>
        <w:rPr>
          <w:rFonts w:ascii="宋体" w:hAnsi="宋体" w:cs="宋体"/>
          <w:kern w:val="0"/>
          <w:sz w:val="24"/>
          <w:szCs w:val="24"/>
        </w:rPr>
      </w:pPr>
      <w:r>
        <w:rPr>
          <w:rFonts w:hint="eastAsia" w:ascii="宋体" w:hAnsi="宋体"/>
          <w:sz w:val="24"/>
          <w:szCs w:val="24"/>
        </w:rPr>
        <w:t>1.</w:t>
      </w:r>
      <w:r>
        <w:rPr>
          <w:rFonts w:hint="eastAsia" w:ascii="宋体" w:hAnsi="宋体" w:cs="宋体"/>
          <w:kern w:val="0"/>
          <w:sz w:val="24"/>
          <w:szCs w:val="24"/>
        </w:rPr>
        <w:t>资格性检查。依据法律法规和竞争性比选文件的规定，对响应文件中的资格证明、比选保证金等进行审查，以确定供应商是否具备比选资格。资格性检查资料表如下：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3260"/>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17" w:type="dxa"/>
            <w:vAlign w:val="center"/>
          </w:tcPr>
          <w:p>
            <w:pPr>
              <w:snapToGrid w:val="0"/>
              <w:jc w:val="center"/>
              <w:rPr>
                <w:rFonts w:ascii="宋体" w:hAnsi="宋体" w:cs="宋体"/>
                <w:b/>
                <w:kern w:val="0"/>
                <w:sz w:val="21"/>
                <w:szCs w:val="21"/>
              </w:rPr>
            </w:pPr>
            <w:r>
              <w:rPr>
                <w:rFonts w:hint="eastAsia" w:ascii="宋体" w:hAnsi="宋体" w:cs="宋体"/>
                <w:b/>
                <w:kern w:val="0"/>
                <w:sz w:val="21"/>
                <w:szCs w:val="21"/>
              </w:rPr>
              <w:t>序号</w:t>
            </w:r>
          </w:p>
        </w:tc>
        <w:tc>
          <w:tcPr>
            <w:tcW w:w="4111" w:type="dxa"/>
            <w:gridSpan w:val="2"/>
            <w:vAlign w:val="center"/>
          </w:tcPr>
          <w:p>
            <w:pPr>
              <w:snapToGrid w:val="0"/>
              <w:jc w:val="center"/>
              <w:rPr>
                <w:rFonts w:ascii="宋体" w:hAnsi="宋体" w:cs="宋体"/>
                <w:b/>
                <w:kern w:val="0"/>
                <w:sz w:val="21"/>
                <w:szCs w:val="21"/>
              </w:rPr>
            </w:pPr>
            <w:r>
              <w:rPr>
                <w:rFonts w:hint="eastAsia" w:ascii="宋体" w:hAnsi="宋体" w:cs="宋体"/>
                <w:b/>
                <w:kern w:val="0"/>
                <w:sz w:val="21"/>
                <w:szCs w:val="21"/>
              </w:rPr>
              <w:t>检查因素</w:t>
            </w:r>
          </w:p>
        </w:tc>
        <w:tc>
          <w:tcPr>
            <w:tcW w:w="4740" w:type="dxa"/>
            <w:vAlign w:val="center"/>
          </w:tcPr>
          <w:p>
            <w:pPr>
              <w:snapToGrid w:val="0"/>
              <w:jc w:val="center"/>
              <w:rPr>
                <w:rFonts w:ascii="宋体" w:hAnsi="宋体" w:cs="宋体"/>
                <w:b/>
                <w:kern w:val="0"/>
                <w:sz w:val="21"/>
                <w:szCs w:val="21"/>
              </w:rPr>
            </w:pPr>
            <w:r>
              <w:rPr>
                <w:rFonts w:hint="eastAsia" w:ascii="宋体" w:hAnsi="宋体"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trPr>
        <w:tc>
          <w:tcPr>
            <w:tcW w:w="817" w:type="dxa"/>
            <w:vMerge w:val="restart"/>
            <w:vAlign w:val="center"/>
          </w:tcPr>
          <w:p>
            <w:pPr>
              <w:snapToGrid w:val="0"/>
              <w:jc w:val="center"/>
              <w:rPr>
                <w:rFonts w:ascii="宋体" w:hAnsi="宋体"/>
                <w:sz w:val="21"/>
                <w:szCs w:val="21"/>
              </w:rPr>
            </w:pPr>
            <w:r>
              <w:rPr>
                <w:rFonts w:hint="eastAsia" w:ascii="宋体" w:hAnsi="宋体"/>
                <w:sz w:val="21"/>
                <w:szCs w:val="21"/>
              </w:rPr>
              <w:t>（一）</w:t>
            </w:r>
          </w:p>
        </w:tc>
        <w:tc>
          <w:tcPr>
            <w:tcW w:w="851" w:type="dxa"/>
            <w:vMerge w:val="restart"/>
            <w:vAlign w:val="center"/>
          </w:tcPr>
          <w:p>
            <w:pPr>
              <w:snapToGrid w:val="0"/>
              <w:rPr>
                <w:rFonts w:ascii="宋体" w:hAnsi="宋体" w:cs="仿宋_GB2312"/>
                <w:sz w:val="21"/>
                <w:szCs w:val="21"/>
                <w:lang w:val="zh-CN"/>
              </w:rPr>
            </w:pPr>
            <w:r>
              <w:rPr>
                <w:rFonts w:hint="eastAsia" w:ascii="宋体" w:hAnsi="宋体" w:cs="仿宋_GB2312"/>
                <w:sz w:val="21"/>
                <w:szCs w:val="21"/>
                <w:lang w:val="zh-CN"/>
              </w:rPr>
              <w:t>《中华人民共和国政府采购法》第二十二条规定</w:t>
            </w:r>
          </w:p>
        </w:tc>
        <w:tc>
          <w:tcPr>
            <w:tcW w:w="3260" w:type="dxa"/>
            <w:vAlign w:val="center"/>
          </w:tcPr>
          <w:p>
            <w:pPr>
              <w:snapToGrid w:val="0"/>
              <w:rPr>
                <w:rFonts w:ascii="宋体" w:hAnsi="宋体"/>
                <w:sz w:val="21"/>
                <w:szCs w:val="21"/>
              </w:rPr>
            </w:pPr>
            <w:r>
              <w:rPr>
                <w:rFonts w:hint="eastAsia" w:ascii="宋体" w:hAnsi="宋体"/>
                <w:sz w:val="21"/>
                <w:szCs w:val="21"/>
              </w:rPr>
              <w:t>1.具有独立承担民事责任的能力</w:t>
            </w:r>
          </w:p>
        </w:tc>
        <w:tc>
          <w:tcPr>
            <w:tcW w:w="4740" w:type="dxa"/>
            <w:vAlign w:val="center"/>
          </w:tcPr>
          <w:p>
            <w:pPr>
              <w:snapToGrid w:val="0"/>
              <w:rPr>
                <w:rFonts w:ascii="宋体" w:hAnsi="宋体"/>
                <w:sz w:val="21"/>
                <w:szCs w:val="21"/>
              </w:rPr>
            </w:pPr>
            <w:r>
              <w:rPr>
                <w:rFonts w:hint="eastAsia" w:ascii="宋体" w:hAnsi="宋体"/>
                <w:sz w:val="21"/>
                <w:szCs w:val="21"/>
              </w:rPr>
              <w:t>供应商法人营业执照（副本）或社会团体法人登记证书（副本）或民办非企业单位法人登记证书（副本）或事业单位法人证书（副本）或个体工商户营业执照或有效的自然人身份证明（提供复印件）；</w:t>
            </w:r>
          </w:p>
          <w:p>
            <w:pPr>
              <w:snapToGrid w:val="0"/>
              <w:rPr>
                <w:rFonts w:ascii="宋体" w:hAnsi="宋体"/>
                <w:sz w:val="21"/>
                <w:szCs w:val="21"/>
              </w:rPr>
            </w:pPr>
            <w:r>
              <w:rPr>
                <w:rFonts w:hint="eastAsia" w:ascii="宋体" w:hAnsi="宋体"/>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817" w:type="dxa"/>
            <w:vMerge w:val="continue"/>
            <w:vAlign w:val="center"/>
          </w:tcPr>
          <w:p>
            <w:pPr>
              <w:snapToGrid w:val="0"/>
              <w:jc w:val="center"/>
              <w:rPr>
                <w:rFonts w:ascii="宋体" w:hAnsi="宋体"/>
                <w:sz w:val="21"/>
                <w:szCs w:val="21"/>
              </w:rPr>
            </w:pPr>
          </w:p>
        </w:tc>
        <w:tc>
          <w:tcPr>
            <w:tcW w:w="851" w:type="dxa"/>
            <w:vMerge w:val="continue"/>
            <w:vAlign w:val="center"/>
          </w:tcPr>
          <w:p>
            <w:pPr>
              <w:snapToGrid w:val="0"/>
              <w:rPr>
                <w:rFonts w:ascii="宋体" w:hAnsi="宋体" w:cs="仿宋_GB2312"/>
                <w:sz w:val="21"/>
                <w:szCs w:val="21"/>
                <w:lang w:val="zh-CN"/>
              </w:rPr>
            </w:pPr>
          </w:p>
        </w:tc>
        <w:tc>
          <w:tcPr>
            <w:tcW w:w="3260" w:type="dxa"/>
            <w:vAlign w:val="center"/>
          </w:tcPr>
          <w:p>
            <w:pPr>
              <w:snapToGrid w:val="0"/>
              <w:rPr>
                <w:rFonts w:ascii="宋体" w:hAnsi="宋体"/>
                <w:sz w:val="21"/>
                <w:szCs w:val="21"/>
              </w:rPr>
            </w:pPr>
            <w:r>
              <w:rPr>
                <w:rFonts w:hint="eastAsia" w:ascii="宋体" w:hAnsi="宋体" w:cs="仿宋_GB2312"/>
                <w:sz w:val="21"/>
                <w:szCs w:val="21"/>
                <w:lang w:val="zh-CN"/>
              </w:rPr>
              <w:t>2.</w:t>
            </w:r>
            <w:r>
              <w:rPr>
                <w:rFonts w:hint="eastAsia" w:ascii="宋体" w:hAnsi="宋体"/>
                <w:sz w:val="21"/>
                <w:szCs w:val="21"/>
              </w:rPr>
              <w:t>具有良好的商业信誉和健全的财务会计制度</w:t>
            </w:r>
          </w:p>
        </w:tc>
        <w:tc>
          <w:tcPr>
            <w:tcW w:w="4740" w:type="dxa"/>
            <w:vMerge w:val="restart"/>
            <w:vAlign w:val="center"/>
          </w:tcPr>
          <w:p>
            <w:pPr>
              <w:snapToGrid w:val="0"/>
              <w:rPr>
                <w:rFonts w:ascii="宋体" w:hAnsi="宋体"/>
                <w:sz w:val="21"/>
                <w:szCs w:val="21"/>
              </w:rPr>
            </w:pPr>
            <w:r>
              <w:rPr>
                <w:rFonts w:hint="eastAsia" w:ascii="宋体" w:hAnsi="宋体"/>
                <w:sz w:val="21"/>
                <w:szCs w:val="21"/>
              </w:rPr>
              <w:t>供应商提供《基本资格条件承诺函》（见格式文件）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817" w:type="dxa"/>
            <w:vMerge w:val="continue"/>
            <w:vAlign w:val="center"/>
          </w:tcPr>
          <w:p>
            <w:pPr>
              <w:snapToGrid w:val="0"/>
              <w:jc w:val="center"/>
              <w:rPr>
                <w:rFonts w:ascii="宋体" w:hAnsi="宋体"/>
                <w:sz w:val="21"/>
                <w:szCs w:val="21"/>
              </w:rPr>
            </w:pPr>
          </w:p>
        </w:tc>
        <w:tc>
          <w:tcPr>
            <w:tcW w:w="851" w:type="dxa"/>
            <w:vMerge w:val="continue"/>
            <w:vAlign w:val="center"/>
          </w:tcPr>
          <w:p>
            <w:pPr>
              <w:snapToGrid w:val="0"/>
              <w:rPr>
                <w:rFonts w:ascii="宋体" w:hAnsi="宋体" w:cs="仿宋_GB2312"/>
                <w:sz w:val="21"/>
                <w:szCs w:val="21"/>
                <w:lang w:val="zh-CN"/>
              </w:rPr>
            </w:pPr>
          </w:p>
        </w:tc>
        <w:tc>
          <w:tcPr>
            <w:tcW w:w="3260" w:type="dxa"/>
            <w:vAlign w:val="center"/>
          </w:tcPr>
          <w:p>
            <w:pPr>
              <w:snapToGrid w:val="0"/>
              <w:rPr>
                <w:rFonts w:ascii="宋体" w:hAnsi="宋体" w:cs="仿宋_GB2312"/>
                <w:sz w:val="21"/>
                <w:szCs w:val="21"/>
                <w:lang w:val="zh-CN"/>
              </w:rPr>
            </w:pPr>
            <w:r>
              <w:rPr>
                <w:rFonts w:hint="eastAsia" w:ascii="宋体" w:hAnsi="宋体" w:cs="仿宋_GB2312"/>
                <w:sz w:val="21"/>
                <w:szCs w:val="21"/>
                <w:lang w:val="zh-CN"/>
              </w:rPr>
              <w:t>3.具有履行合同所必需的设备和专业技术能力</w:t>
            </w:r>
          </w:p>
        </w:tc>
        <w:tc>
          <w:tcPr>
            <w:tcW w:w="4740" w:type="dxa"/>
            <w:vMerge w:val="continue"/>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17" w:type="dxa"/>
            <w:vMerge w:val="continue"/>
            <w:vAlign w:val="center"/>
          </w:tcPr>
          <w:p>
            <w:pPr>
              <w:snapToGrid w:val="0"/>
              <w:jc w:val="center"/>
              <w:rPr>
                <w:rFonts w:ascii="宋体" w:hAnsi="宋体"/>
                <w:sz w:val="21"/>
                <w:szCs w:val="21"/>
              </w:rPr>
            </w:pPr>
          </w:p>
        </w:tc>
        <w:tc>
          <w:tcPr>
            <w:tcW w:w="851" w:type="dxa"/>
            <w:vMerge w:val="continue"/>
            <w:vAlign w:val="center"/>
          </w:tcPr>
          <w:p>
            <w:pPr>
              <w:snapToGrid w:val="0"/>
              <w:rPr>
                <w:rFonts w:ascii="宋体" w:hAnsi="宋体" w:cs="仿宋_GB2312"/>
                <w:sz w:val="21"/>
                <w:szCs w:val="21"/>
                <w:lang w:val="zh-CN"/>
              </w:rPr>
            </w:pPr>
          </w:p>
        </w:tc>
        <w:tc>
          <w:tcPr>
            <w:tcW w:w="3260" w:type="dxa"/>
            <w:vAlign w:val="center"/>
          </w:tcPr>
          <w:p>
            <w:pPr>
              <w:snapToGrid w:val="0"/>
              <w:rPr>
                <w:rFonts w:ascii="宋体" w:hAnsi="宋体" w:cs="仿宋_GB2312"/>
                <w:sz w:val="21"/>
                <w:szCs w:val="21"/>
                <w:lang w:val="zh-CN"/>
              </w:rPr>
            </w:pPr>
            <w:r>
              <w:rPr>
                <w:rFonts w:hint="eastAsia" w:ascii="宋体" w:hAnsi="宋体" w:cs="仿宋_GB2312"/>
                <w:sz w:val="21"/>
                <w:szCs w:val="21"/>
                <w:lang w:val="zh-CN"/>
              </w:rPr>
              <w:t>4.有依法缴纳税收的良好记录</w:t>
            </w:r>
          </w:p>
        </w:tc>
        <w:tc>
          <w:tcPr>
            <w:tcW w:w="4740" w:type="dxa"/>
            <w:vMerge w:val="continue"/>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817" w:type="dxa"/>
            <w:vMerge w:val="continue"/>
            <w:vAlign w:val="center"/>
          </w:tcPr>
          <w:p>
            <w:pPr>
              <w:snapToGrid w:val="0"/>
              <w:jc w:val="center"/>
              <w:rPr>
                <w:rFonts w:ascii="宋体" w:hAnsi="宋体"/>
                <w:sz w:val="21"/>
                <w:szCs w:val="21"/>
              </w:rPr>
            </w:pPr>
          </w:p>
        </w:tc>
        <w:tc>
          <w:tcPr>
            <w:tcW w:w="851" w:type="dxa"/>
            <w:vMerge w:val="continue"/>
            <w:vAlign w:val="center"/>
          </w:tcPr>
          <w:p>
            <w:pPr>
              <w:snapToGrid w:val="0"/>
              <w:rPr>
                <w:rFonts w:ascii="宋体" w:hAnsi="宋体" w:cs="仿宋_GB2312"/>
                <w:sz w:val="21"/>
                <w:szCs w:val="21"/>
                <w:lang w:val="zh-CN"/>
              </w:rPr>
            </w:pPr>
          </w:p>
        </w:tc>
        <w:tc>
          <w:tcPr>
            <w:tcW w:w="3260" w:type="dxa"/>
            <w:vAlign w:val="center"/>
          </w:tcPr>
          <w:p>
            <w:pPr>
              <w:snapToGrid w:val="0"/>
              <w:rPr>
                <w:rFonts w:ascii="宋体" w:hAnsi="宋体" w:cs="仿宋_GB2312"/>
                <w:sz w:val="21"/>
                <w:szCs w:val="21"/>
                <w:lang w:val="zh-CN"/>
              </w:rPr>
            </w:pPr>
            <w:r>
              <w:rPr>
                <w:rFonts w:hint="eastAsia" w:ascii="宋体" w:hAnsi="宋体"/>
                <w:sz w:val="21"/>
                <w:szCs w:val="21"/>
              </w:rPr>
              <w:t>5.参加政府采购活动前三年内，在经营活动中没有重大违法记录</w:t>
            </w:r>
          </w:p>
        </w:tc>
        <w:tc>
          <w:tcPr>
            <w:tcW w:w="4740" w:type="dxa"/>
            <w:vMerge w:val="continue"/>
            <w:vAlign w:val="center"/>
          </w:tcPr>
          <w:p>
            <w:pPr>
              <w:snapToGrid w:val="0"/>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17" w:type="dxa"/>
            <w:vMerge w:val="continue"/>
            <w:vAlign w:val="center"/>
          </w:tcPr>
          <w:p>
            <w:pPr>
              <w:snapToGrid w:val="0"/>
              <w:jc w:val="center"/>
              <w:rPr>
                <w:rFonts w:ascii="宋体" w:hAnsi="宋体"/>
                <w:sz w:val="21"/>
                <w:szCs w:val="21"/>
              </w:rPr>
            </w:pPr>
          </w:p>
        </w:tc>
        <w:tc>
          <w:tcPr>
            <w:tcW w:w="851" w:type="dxa"/>
            <w:vMerge w:val="continue"/>
            <w:vAlign w:val="center"/>
          </w:tcPr>
          <w:p>
            <w:pPr>
              <w:snapToGrid w:val="0"/>
              <w:rPr>
                <w:rFonts w:ascii="宋体" w:hAnsi="宋体" w:cs="仿宋_GB2312"/>
                <w:sz w:val="21"/>
                <w:szCs w:val="21"/>
                <w:lang w:val="zh-CN"/>
              </w:rPr>
            </w:pPr>
          </w:p>
        </w:tc>
        <w:tc>
          <w:tcPr>
            <w:tcW w:w="3260" w:type="dxa"/>
            <w:vAlign w:val="center"/>
          </w:tcPr>
          <w:p>
            <w:pPr>
              <w:snapToGrid w:val="0"/>
              <w:rPr>
                <w:rFonts w:ascii="宋体" w:hAnsi="宋体"/>
                <w:sz w:val="21"/>
                <w:szCs w:val="21"/>
              </w:rPr>
            </w:pPr>
            <w:r>
              <w:rPr>
                <w:rFonts w:hint="eastAsia" w:ascii="宋体" w:hAnsi="宋体"/>
                <w:sz w:val="21"/>
                <w:szCs w:val="21"/>
              </w:rPr>
              <w:t>6.法律、行政法规规定的其他条件</w:t>
            </w:r>
          </w:p>
        </w:tc>
        <w:tc>
          <w:tcPr>
            <w:tcW w:w="4740" w:type="dxa"/>
            <w:vAlign w:val="center"/>
          </w:tcPr>
          <w:p>
            <w:pPr>
              <w:snapToGrid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17" w:type="dxa"/>
            <w:vAlign w:val="center"/>
          </w:tcPr>
          <w:p>
            <w:pPr>
              <w:snapToGrid w:val="0"/>
              <w:jc w:val="center"/>
              <w:rPr>
                <w:rFonts w:ascii="宋体" w:hAnsi="宋体"/>
                <w:sz w:val="21"/>
                <w:szCs w:val="21"/>
              </w:rPr>
            </w:pPr>
            <w:r>
              <w:rPr>
                <w:rFonts w:hint="eastAsia" w:ascii="宋体" w:hAnsi="宋体"/>
                <w:sz w:val="21"/>
                <w:szCs w:val="21"/>
              </w:rPr>
              <w:t>（二）</w:t>
            </w:r>
          </w:p>
        </w:tc>
        <w:tc>
          <w:tcPr>
            <w:tcW w:w="4111" w:type="dxa"/>
            <w:gridSpan w:val="2"/>
            <w:vAlign w:val="center"/>
          </w:tcPr>
          <w:p>
            <w:pPr>
              <w:snapToGrid w:val="0"/>
              <w:rPr>
                <w:rFonts w:ascii="宋体" w:hAnsi="宋体"/>
                <w:sz w:val="21"/>
                <w:szCs w:val="21"/>
              </w:rPr>
            </w:pPr>
            <w:r>
              <w:rPr>
                <w:rFonts w:hint="eastAsia" w:ascii="宋体" w:hAnsi="宋体"/>
                <w:sz w:val="21"/>
                <w:szCs w:val="21"/>
              </w:rPr>
              <w:t>本项目特定资格条件</w:t>
            </w:r>
          </w:p>
        </w:tc>
        <w:tc>
          <w:tcPr>
            <w:tcW w:w="4740" w:type="dxa"/>
            <w:vAlign w:val="center"/>
          </w:tcPr>
          <w:p>
            <w:pPr>
              <w:snapToGrid w:val="0"/>
            </w:pPr>
            <w:r>
              <w:rPr>
                <w:rFonts w:hint="eastAsia" w:ascii="宋体" w:hAnsi="宋体"/>
                <w:sz w:val="21"/>
                <w:szCs w:val="21"/>
              </w:rPr>
              <w:t>按第一篇“三、供应商资格要求（二）本项目的特定资格要求”的要求提交（如果有）。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17" w:type="dxa"/>
            <w:vAlign w:val="center"/>
          </w:tcPr>
          <w:p>
            <w:pPr>
              <w:snapToGrid w:val="0"/>
              <w:jc w:val="center"/>
              <w:rPr>
                <w:rFonts w:ascii="宋体" w:hAnsi="宋体"/>
                <w:sz w:val="21"/>
                <w:szCs w:val="21"/>
              </w:rPr>
            </w:pPr>
            <w:r>
              <w:rPr>
                <w:rFonts w:hint="eastAsia" w:ascii="宋体" w:hAnsi="宋体"/>
                <w:sz w:val="21"/>
                <w:szCs w:val="21"/>
              </w:rPr>
              <w:t>（三）</w:t>
            </w:r>
          </w:p>
        </w:tc>
        <w:tc>
          <w:tcPr>
            <w:tcW w:w="4111" w:type="dxa"/>
            <w:gridSpan w:val="2"/>
            <w:vAlign w:val="center"/>
          </w:tcPr>
          <w:p>
            <w:pPr>
              <w:snapToGrid w:val="0"/>
              <w:rPr>
                <w:rFonts w:ascii="宋体" w:hAnsi="宋体"/>
                <w:sz w:val="21"/>
                <w:szCs w:val="21"/>
              </w:rPr>
            </w:pPr>
            <w:r>
              <w:rPr>
                <w:rFonts w:hint="eastAsia" w:ascii="宋体" w:hAnsi="宋体"/>
                <w:sz w:val="21"/>
                <w:szCs w:val="21"/>
              </w:rPr>
              <w:t>落实政府采购政策需满足的资格要求：</w:t>
            </w:r>
          </w:p>
        </w:tc>
        <w:tc>
          <w:tcPr>
            <w:tcW w:w="4740" w:type="dxa"/>
            <w:vAlign w:val="center"/>
          </w:tcPr>
          <w:p>
            <w:pPr>
              <w:snapToGrid w:val="0"/>
            </w:pPr>
            <w:r>
              <w:rPr>
                <w:rFonts w:hint="eastAsia" w:ascii="宋体" w:hAnsi="宋体"/>
                <w:sz w:val="21"/>
                <w:szCs w:val="21"/>
              </w:rPr>
              <w:t>按第一篇“三、供应商资格要求（三）落实政府采购政策需满足的资格要求”的要求提交（如果有）。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817" w:type="dxa"/>
            <w:vAlign w:val="center"/>
          </w:tcPr>
          <w:p>
            <w:pPr>
              <w:snapToGrid w:val="0"/>
              <w:jc w:val="center"/>
              <w:rPr>
                <w:rFonts w:ascii="宋体" w:hAnsi="宋体"/>
                <w:sz w:val="21"/>
                <w:szCs w:val="21"/>
              </w:rPr>
            </w:pPr>
            <w:r>
              <w:rPr>
                <w:rFonts w:hint="eastAsia" w:ascii="宋体" w:hAnsi="宋体"/>
                <w:sz w:val="21"/>
                <w:szCs w:val="21"/>
              </w:rPr>
              <w:t>（四）</w:t>
            </w:r>
          </w:p>
        </w:tc>
        <w:tc>
          <w:tcPr>
            <w:tcW w:w="4111" w:type="dxa"/>
            <w:gridSpan w:val="2"/>
            <w:vAlign w:val="center"/>
          </w:tcPr>
          <w:p>
            <w:pPr>
              <w:snapToGrid w:val="0"/>
              <w:rPr>
                <w:rFonts w:ascii="宋体" w:hAnsi="宋体"/>
                <w:sz w:val="21"/>
                <w:szCs w:val="21"/>
              </w:rPr>
            </w:pPr>
            <w:r>
              <w:rPr>
                <w:rFonts w:hint="eastAsia" w:ascii="宋体" w:hAnsi="宋体"/>
                <w:sz w:val="21"/>
                <w:szCs w:val="21"/>
              </w:rPr>
              <w:t>磋商保证金</w:t>
            </w:r>
          </w:p>
        </w:tc>
        <w:tc>
          <w:tcPr>
            <w:tcW w:w="4740" w:type="dxa"/>
            <w:vAlign w:val="center"/>
          </w:tcPr>
          <w:p>
            <w:pPr>
              <w:snapToGrid w:val="0"/>
              <w:rPr>
                <w:rFonts w:ascii="宋体" w:hAnsi="宋体" w:cs="宋体"/>
                <w:sz w:val="21"/>
                <w:szCs w:val="21"/>
              </w:rPr>
            </w:pPr>
            <w:r>
              <w:rPr>
                <w:rFonts w:hint="eastAsia" w:ascii="宋体" w:hAnsi="宋体"/>
                <w:sz w:val="21"/>
                <w:szCs w:val="21"/>
              </w:rPr>
              <w:t>按照采购文件的规定提交磋商保证金。</w:t>
            </w:r>
          </w:p>
        </w:tc>
      </w:tr>
    </w:tbl>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注：</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供应商应对其承诺内容的真实性、合法性、有效性负责。经调查核实为虚假承诺的，视同为“提供虚假材料谋取中标、成交”的违法行为，依照《中华人民共和国政府采购法》等法律法规追究相应责任。</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以《财政部关于&lt;中华人民共和国政府采购法实施条例&gt;第十九条第一款“较大数额罚款”具体适用问题的意见》（财库〔2022〕3号）规定为准。</w:t>
      </w:r>
    </w:p>
    <w:p>
      <w:pPr>
        <w:spacing w:line="360" w:lineRule="auto"/>
        <w:ind w:firstLine="480" w:firstLineChars="200"/>
        <w:rPr>
          <w:rFonts w:ascii="宋体" w:hAnsi="宋体"/>
          <w:kern w:val="0"/>
          <w:sz w:val="24"/>
          <w:szCs w:val="24"/>
        </w:rPr>
      </w:pPr>
      <w:r>
        <w:rPr>
          <w:rFonts w:hint="eastAsia" w:ascii="宋体" w:hAnsi="宋体"/>
          <w:sz w:val="24"/>
          <w:szCs w:val="24"/>
        </w:rPr>
        <w:t>2.</w:t>
      </w:r>
      <w:r>
        <w:rPr>
          <w:rFonts w:hint="eastAsia" w:ascii="宋体" w:hAnsi="宋体" w:cs="宋体"/>
          <w:kern w:val="0"/>
          <w:sz w:val="24"/>
          <w:szCs w:val="24"/>
        </w:rPr>
        <w:t>符合性检查。依据竞争性比选文件的规定，从响应文件的有效性、完整性和对竞争性比选文件的响应程度进行审查，以确定是否对竞争性比选文件的实质性要求作出响应。</w:t>
      </w:r>
      <w:r>
        <w:rPr>
          <w:rFonts w:hint="eastAsia" w:ascii="宋体" w:hAnsi="宋体"/>
          <w:kern w:val="0"/>
          <w:sz w:val="24"/>
          <w:szCs w:val="24"/>
        </w:rPr>
        <w:t>符合性检查资料表如下：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3"/>
        <w:gridCol w:w="1996"/>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75" w:type="dxa"/>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序号</w:t>
            </w:r>
          </w:p>
        </w:tc>
        <w:tc>
          <w:tcPr>
            <w:tcW w:w="3569" w:type="dxa"/>
            <w:gridSpan w:val="2"/>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评审因素</w:t>
            </w:r>
          </w:p>
        </w:tc>
        <w:tc>
          <w:tcPr>
            <w:tcW w:w="5220" w:type="dxa"/>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75" w:type="dxa"/>
            <w:vMerge w:val="restart"/>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1</w:t>
            </w:r>
          </w:p>
        </w:tc>
        <w:tc>
          <w:tcPr>
            <w:tcW w:w="1573" w:type="dxa"/>
            <w:vMerge w:val="restart"/>
            <w:vAlign w:val="center"/>
          </w:tcPr>
          <w:p>
            <w:pPr>
              <w:spacing w:line="240" w:lineRule="exact"/>
              <w:rPr>
                <w:rFonts w:ascii="宋体" w:hAnsi="宋体" w:cs="宋体"/>
                <w:kern w:val="0"/>
                <w:sz w:val="21"/>
                <w:szCs w:val="21"/>
              </w:rPr>
            </w:pPr>
            <w:r>
              <w:rPr>
                <w:rFonts w:hint="eastAsia" w:ascii="宋体" w:hAnsi="宋体" w:cs="宋体"/>
                <w:kern w:val="0"/>
                <w:sz w:val="21"/>
                <w:szCs w:val="21"/>
              </w:rPr>
              <w:t>有效性审查</w:t>
            </w:r>
          </w:p>
        </w:tc>
        <w:tc>
          <w:tcPr>
            <w:tcW w:w="1996" w:type="dxa"/>
            <w:vAlign w:val="center"/>
          </w:tcPr>
          <w:p>
            <w:pPr>
              <w:spacing w:line="240" w:lineRule="exact"/>
              <w:rPr>
                <w:rFonts w:ascii="宋体" w:hAnsi="宋体" w:cs="宋体"/>
                <w:kern w:val="0"/>
                <w:sz w:val="21"/>
                <w:szCs w:val="21"/>
              </w:rPr>
            </w:pPr>
            <w:r>
              <w:rPr>
                <w:rFonts w:hint="eastAsia" w:ascii="宋体" w:hAnsi="宋体"/>
                <w:sz w:val="21"/>
                <w:szCs w:val="21"/>
              </w:rPr>
              <w:t>响应文件签署</w:t>
            </w:r>
          </w:p>
        </w:tc>
        <w:tc>
          <w:tcPr>
            <w:tcW w:w="5220" w:type="dxa"/>
            <w:vAlign w:val="center"/>
          </w:tcPr>
          <w:p>
            <w:pPr>
              <w:spacing w:line="240" w:lineRule="exact"/>
              <w:rPr>
                <w:rFonts w:ascii="宋体" w:hAnsi="宋体" w:cs="宋体"/>
                <w:kern w:val="0"/>
                <w:sz w:val="21"/>
                <w:szCs w:val="21"/>
              </w:rPr>
            </w:pPr>
            <w:r>
              <w:rPr>
                <w:rFonts w:hint="eastAsia" w:ascii="宋体" w:hAnsi="宋体"/>
                <w:sz w:val="21"/>
                <w:szCs w:val="21"/>
              </w:rPr>
              <w:t>响应文件按照竞争性比选文件要求签字或盖章。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75" w:type="dxa"/>
            <w:vMerge w:val="continue"/>
            <w:vAlign w:val="center"/>
          </w:tcPr>
          <w:p>
            <w:pPr>
              <w:spacing w:line="240" w:lineRule="exact"/>
              <w:jc w:val="center"/>
              <w:rPr>
                <w:rFonts w:ascii="宋体" w:hAnsi="宋体" w:cs="宋体"/>
                <w:kern w:val="0"/>
                <w:sz w:val="21"/>
                <w:szCs w:val="21"/>
              </w:rPr>
            </w:pPr>
          </w:p>
        </w:tc>
        <w:tc>
          <w:tcPr>
            <w:tcW w:w="1573" w:type="dxa"/>
            <w:vMerge w:val="continue"/>
            <w:vAlign w:val="center"/>
          </w:tcPr>
          <w:p>
            <w:pPr>
              <w:spacing w:line="240" w:lineRule="exact"/>
              <w:rPr>
                <w:rFonts w:ascii="宋体" w:hAnsi="宋体" w:cs="宋体"/>
                <w:kern w:val="0"/>
                <w:sz w:val="21"/>
                <w:szCs w:val="21"/>
              </w:rPr>
            </w:pPr>
          </w:p>
        </w:tc>
        <w:tc>
          <w:tcPr>
            <w:tcW w:w="1996" w:type="dxa"/>
            <w:vAlign w:val="center"/>
          </w:tcPr>
          <w:p>
            <w:pPr>
              <w:spacing w:line="240" w:lineRule="exact"/>
              <w:rPr>
                <w:rFonts w:ascii="宋体" w:hAnsi="宋体" w:cs="仿宋_GB2312"/>
                <w:sz w:val="21"/>
                <w:szCs w:val="21"/>
                <w:lang w:val="zh-CN"/>
              </w:rPr>
            </w:pPr>
            <w:r>
              <w:rPr>
                <w:rFonts w:hint="eastAsia" w:ascii="宋体" w:hAnsi="宋体" w:cs="仿宋_GB2312"/>
                <w:sz w:val="21"/>
                <w:szCs w:val="21"/>
                <w:lang w:val="zh-CN"/>
              </w:rPr>
              <w:t>比选方案</w:t>
            </w:r>
          </w:p>
        </w:tc>
        <w:tc>
          <w:tcPr>
            <w:tcW w:w="5220" w:type="dxa"/>
            <w:vAlign w:val="center"/>
          </w:tcPr>
          <w:p>
            <w:pPr>
              <w:spacing w:line="240" w:lineRule="exact"/>
              <w:rPr>
                <w:rFonts w:ascii="宋体" w:hAnsi="宋体" w:cs="宋体"/>
                <w:kern w:val="0"/>
                <w:sz w:val="21"/>
                <w:szCs w:val="21"/>
              </w:rPr>
            </w:pPr>
            <w:r>
              <w:rPr>
                <w:rFonts w:hint="eastAsia" w:ascii="宋体" w:hAnsi="宋体" w:cs="仿宋_GB2312"/>
                <w:sz w:val="21"/>
                <w:szCs w:val="21"/>
                <w:lang w:val="zh-CN"/>
              </w:rPr>
              <w:t>只能有一个方案参与比选。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5" w:type="dxa"/>
            <w:vMerge w:val="continue"/>
            <w:vAlign w:val="center"/>
          </w:tcPr>
          <w:p>
            <w:pPr>
              <w:spacing w:line="240" w:lineRule="exact"/>
              <w:jc w:val="center"/>
              <w:rPr>
                <w:rFonts w:ascii="宋体" w:hAnsi="宋体" w:cs="宋体"/>
                <w:kern w:val="0"/>
                <w:sz w:val="21"/>
                <w:szCs w:val="21"/>
              </w:rPr>
            </w:pPr>
          </w:p>
        </w:tc>
        <w:tc>
          <w:tcPr>
            <w:tcW w:w="1573" w:type="dxa"/>
            <w:vMerge w:val="continue"/>
            <w:vAlign w:val="center"/>
          </w:tcPr>
          <w:p>
            <w:pPr>
              <w:spacing w:line="240" w:lineRule="exact"/>
              <w:rPr>
                <w:rFonts w:ascii="宋体" w:hAnsi="宋体" w:cs="宋体"/>
                <w:kern w:val="0"/>
                <w:sz w:val="21"/>
                <w:szCs w:val="21"/>
              </w:rPr>
            </w:pPr>
          </w:p>
        </w:tc>
        <w:tc>
          <w:tcPr>
            <w:tcW w:w="1996" w:type="dxa"/>
            <w:vAlign w:val="center"/>
          </w:tcPr>
          <w:p>
            <w:pPr>
              <w:spacing w:line="240" w:lineRule="exact"/>
              <w:rPr>
                <w:rFonts w:ascii="宋体" w:hAnsi="宋体" w:cs="仿宋_GB2312"/>
                <w:sz w:val="21"/>
                <w:szCs w:val="21"/>
                <w:lang w:val="zh-CN"/>
              </w:rPr>
            </w:pPr>
            <w:r>
              <w:rPr>
                <w:rFonts w:hint="eastAsia" w:ascii="宋体" w:hAnsi="宋体"/>
                <w:sz w:val="21"/>
                <w:szCs w:val="21"/>
              </w:rPr>
              <w:t>报价唯一</w:t>
            </w:r>
          </w:p>
        </w:tc>
        <w:tc>
          <w:tcPr>
            <w:tcW w:w="5220" w:type="dxa"/>
            <w:vAlign w:val="center"/>
          </w:tcPr>
          <w:p>
            <w:pPr>
              <w:spacing w:line="240" w:lineRule="exact"/>
              <w:rPr>
                <w:rFonts w:ascii="宋体" w:hAnsi="宋体" w:cs="宋体"/>
                <w:kern w:val="0"/>
                <w:sz w:val="21"/>
                <w:szCs w:val="21"/>
              </w:rPr>
            </w:pPr>
            <w:r>
              <w:rPr>
                <w:rFonts w:hint="eastAsia" w:ascii="宋体" w:hAnsi="宋体" w:cs="仿宋_GB2312"/>
                <w:sz w:val="21"/>
                <w:szCs w:val="21"/>
                <w:lang w:val="zh-CN"/>
              </w:rPr>
              <w:t>只能在采购预算范围内报价，</w:t>
            </w:r>
            <w:r>
              <w:rPr>
                <w:rFonts w:hint="eastAsia" w:ascii="宋体" w:hAnsi="宋体"/>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75" w:type="dxa"/>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2</w:t>
            </w:r>
          </w:p>
        </w:tc>
        <w:tc>
          <w:tcPr>
            <w:tcW w:w="1573" w:type="dxa"/>
            <w:vAlign w:val="center"/>
          </w:tcPr>
          <w:p>
            <w:pPr>
              <w:spacing w:line="240" w:lineRule="exact"/>
              <w:rPr>
                <w:rFonts w:ascii="宋体" w:hAnsi="宋体" w:cs="宋体"/>
                <w:kern w:val="0"/>
                <w:sz w:val="21"/>
                <w:szCs w:val="21"/>
              </w:rPr>
            </w:pPr>
            <w:r>
              <w:rPr>
                <w:rFonts w:hint="eastAsia" w:ascii="宋体" w:hAnsi="宋体" w:cs="宋体"/>
                <w:kern w:val="0"/>
                <w:sz w:val="21"/>
                <w:szCs w:val="21"/>
              </w:rPr>
              <w:t>完整性审查</w:t>
            </w:r>
          </w:p>
        </w:tc>
        <w:tc>
          <w:tcPr>
            <w:tcW w:w="1996" w:type="dxa"/>
            <w:vAlign w:val="center"/>
          </w:tcPr>
          <w:p>
            <w:pPr>
              <w:spacing w:line="240" w:lineRule="exact"/>
              <w:rPr>
                <w:rFonts w:ascii="宋体" w:hAnsi="宋体" w:cs="宋体"/>
                <w:kern w:val="0"/>
                <w:sz w:val="21"/>
                <w:szCs w:val="21"/>
              </w:rPr>
            </w:pPr>
            <w:r>
              <w:rPr>
                <w:rFonts w:hint="eastAsia" w:ascii="宋体" w:hAnsi="宋体" w:cs="仿宋_GB2312"/>
                <w:sz w:val="21"/>
                <w:szCs w:val="21"/>
                <w:lang w:val="zh-CN"/>
              </w:rPr>
              <w:t>响应文件份数</w:t>
            </w:r>
          </w:p>
        </w:tc>
        <w:tc>
          <w:tcPr>
            <w:tcW w:w="5220" w:type="dxa"/>
            <w:vAlign w:val="center"/>
          </w:tcPr>
          <w:p>
            <w:pPr>
              <w:spacing w:line="240" w:lineRule="exact"/>
              <w:rPr>
                <w:rFonts w:ascii="宋体" w:hAnsi="宋体" w:cs="宋体"/>
                <w:kern w:val="0"/>
                <w:sz w:val="21"/>
                <w:szCs w:val="21"/>
              </w:rPr>
            </w:pPr>
            <w:r>
              <w:rPr>
                <w:rFonts w:hint="eastAsia" w:ascii="宋体" w:hAnsi="宋体" w:cs="仿宋_GB2312"/>
                <w:sz w:val="21"/>
                <w:szCs w:val="21"/>
                <w:lang w:val="zh-CN"/>
              </w:rPr>
              <w:t>响应文件正、副本（含电子文档）数量符合竞争性比选文件要求。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675" w:type="dxa"/>
            <w:vMerge w:val="restart"/>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3</w:t>
            </w:r>
          </w:p>
        </w:tc>
        <w:tc>
          <w:tcPr>
            <w:tcW w:w="1573" w:type="dxa"/>
            <w:vMerge w:val="restart"/>
            <w:vAlign w:val="center"/>
          </w:tcPr>
          <w:p>
            <w:pPr>
              <w:spacing w:line="240" w:lineRule="exact"/>
              <w:rPr>
                <w:rFonts w:ascii="宋体" w:hAnsi="宋体" w:cs="仿宋_GB2312"/>
                <w:sz w:val="21"/>
                <w:szCs w:val="21"/>
                <w:lang w:val="zh-CN"/>
              </w:rPr>
            </w:pPr>
            <w:r>
              <w:rPr>
                <w:rFonts w:hint="eastAsia" w:ascii="宋体" w:hAnsi="宋体" w:cs="宋体"/>
                <w:kern w:val="0"/>
                <w:sz w:val="21"/>
                <w:szCs w:val="21"/>
              </w:rPr>
              <w:t>竞争性比选文件的响应程度审查</w:t>
            </w:r>
          </w:p>
        </w:tc>
        <w:tc>
          <w:tcPr>
            <w:tcW w:w="1996" w:type="dxa"/>
            <w:vAlign w:val="center"/>
          </w:tcPr>
          <w:p>
            <w:pPr>
              <w:spacing w:line="240" w:lineRule="exact"/>
              <w:rPr>
                <w:rFonts w:ascii="宋体" w:hAnsi="宋体" w:cs="宋体"/>
                <w:kern w:val="0"/>
                <w:sz w:val="21"/>
                <w:szCs w:val="21"/>
              </w:rPr>
            </w:pPr>
            <w:r>
              <w:rPr>
                <w:rFonts w:hint="eastAsia" w:ascii="宋体" w:hAnsi="宋体" w:cs="宋体"/>
                <w:kern w:val="0"/>
                <w:sz w:val="21"/>
                <w:szCs w:val="21"/>
              </w:rPr>
              <w:t>响应文件内容</w:t>
            </w:r>
          </w:p>
        </w:tc>
        <w:tc>
          <w:tcPr>
            <w:tcW w:w="5220" w:type="dxa"/>
            <w:vAlign w:val="center"/>
          </w:tcPr>
          <w:p>
            <w:pPr>
              <w:pStyle w:val="33"/>
              <w:spacing w:line="240" w:lineRule="exact"/>
              <w:rPr>
                <w:rFonts w:ascii="宋体" w:hAnsi="宋体" w:cs="宋体"/>
                <w:kern w:val="0"/>
                <w:sz w:val="21"/>
                <w:szCs w:val="21"/>
              </w:rPr>
            </w:pPr>
            <w:r>
              <w:rPr>
                <w:rFonts w:hint="eastAsia" w:ascii="宋体" w:hAnsi="宋体" w:cs="仿宋_GB2312"/>
                <w:sz w:val="21"/>
                <w:szCs w:val="21"/>
                <w:lang w:val="zh-CN"/>
              </w:rPr>
              <w:t>满足本竞争性比选文件第二篇、第三篇中（※）号标注的部分要求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75" w:type="dxa"/>
            <w:vMerge w:val="continue"/>
            <w:vAlign w:val="center"/>
          </w:tcPr>
          <w:p>
            <w:pPr>
              <w:spacing w:line="240" w:lineRule="exact"/>
              <w:jc w:val="center"/>
              <w:rPr>
                <w:rFonts w:ascii="宋体" w:hAnsi="宋体" w:cs="宋体"/>
                <w:kern w:val="0"/>
                <w:sz w:val="21"/>
                <w:szCs w:val="21"/>
              </w:rPr>
            </w:pPr>
          </w:p>
        </w:tc>
        <w:tc>
          <w:tcPr>
            <w:tcW w:w="1573" w:type="dxa"/>
            <w:vMerge w:val="continue"/>
            <w:vAlign w:val="center"/>
          </w:tcPr>
          <w:p>
            <w:pPr>
              <w:spacing w:line="240" w:lineRule="exact"/>
              <w:rPr>
                <w:rFonts w:ascii="宋体" w:hAnsi="宋体" w:cs="仿宋_GB2312"/>
                <w:sz w:val="21"/>
                <w:szCs w:val="21"/>
                <w:lang w:val="zh-CN"/>
              </w:rPr>
            </w:pPr>
          </w:p>
        </w:tc>
        <w:tc>
          <w:tcPr>
            <w:tcW w:w="1996" w:type="dxa"/>
            <w:vAlign w:val="center"/>
          </w:tcPr>
          <w:p>
            <w:pPr>
              <w:spacing w:line="240" w:lineRule="exact"/>
              <w:rPr>
                <w:rFonts w:ascii="宋体" w:hAnsi="宋体" w:cs="宋体"/>
                <w:kern w:val="0"/>
                <w:sz w:val="21"/>
                <w:szCs w:val="21"/>
              </w:rPr>
            </w:pPr>
            <w:r>
              <w:rPr>
                <w:rFonts w:hint="eastAsia" w:ascii="宋体" w:hAnsi="宋体" w:cs="宋体"/>
                <w:kern w:val="0"/>
                <w:sz w:val="21"/>
                <w:szCs w:val="21"/>
              </w:rPr>
              <w:t>比选有效期</w:t>
            </w:r>
          </w:p>
        </w:tc>
        <w:tc>
          <w:tcPr>
            <w:tcW w:w="5220" w:type="dxa"/>
            <w:vAlign w:val="center"/>
          </w:tcPr>
          <w:p>
            <w:pPr>
              <w:spacing w:line="240" w:lineRule="exact"/>
              <w:rPr>
                <w:rFonts w:ascii="宋体" w:hAnsi="宋体" w:cs="宋体"/>
                <w:kern w:val="0"/>
                <w:sz w:val="21"/>
                <w:szCs w:val="21"/>
              </w:rPr>
            </w:pPr>
            <w:r>
              <w:rPr>
                <w:rFonts w:hint="eastAsia" w:ascii="宋体" w:hAnsi="宋体" w:cs="宋体"/>
                <w:kern w:val="0"/>
                <w:sz w:val="21"/>
                <w:szCs w:val="21"/>
              </w:rPr>
              <w:t>满足竞争性比选文件</w:t>
            </w:r>
            <w:r>
              <w:rPr>
                <w:rFonts w:hint="eastAsia" w:ascii="宋体" w:hAnsi="宋体" w:cs="仿宋_GB2312"/>
                <w:sz w:val="21"/>
                <w:szCs w:val="21"/>
                <w:lang w:val="zh-CN"/>
              </w:rPr>
              <w:t>规定。</w:t>
            </w:r>
          </w:p>
        </w:tc>
      </w:tr>
    </w:tbl>
    <w:p>
      <w:pPr>
        <w:spacing w:line="360" w:lineRule="auto"/>
        <w:ind w:firstLine="480" w:firstLineChars="200"/>
        <w:rPr>
          <w:rFonts w:ascii="宋体" w:hAnsi="宋体"/>
          <w:sz w:val="24"/>
          <w:szCs w:val="24"/>
        </w:rPr>
      </w:pPr>
      <w:r>
        <w:rPr>
          <w:rFonts w:hint="eastAsia" w:ascii="宋体" w:hAnsi="宋体"/>
          <w:sz w:val="24"/>
          <w:szCs w:val="24"/>
        </w:rPr>
        <w:t>3.澄清有关问题。评审委员会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sz w:val="24"/>
          <w:szCs w:val="24"/>
        </w:rPr>
      </w:pPr>
      <w:r>
        <w:rPr>
          <w:rFonts w:hint="eastAsia" w:ascii="宋体" w:hAnsi="宋体"/>
          <w:sz w:val="24"/>
          <w:szCs w:val="24"/>
        </w:rPr>
        <w:t>4.评审委员会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Fonts w:ascii="宋体" w:hAnsi="宋体"/>
          <w:sz w:val="24"/>
          <w:szCs w:val="24"/>
        </w:rPr>
      </w:pPr>
      <w:r>
        <w:rPr>
          <w:rFonts w:hint="eastAsia" w:ascii="宋体" w:hAnsi="宋体"/>
          <w:sz w:val="24"/>
          <w:szCs w:val="24"/>
        </w:rPr>
        <w:t>5.在比选过程中比选的任何一方不得向他人透露与比选有关的技术资料、价格或其他信息。</w:t>
      </w:r>
    </w:p>
    <w:p>
      <w:pPr>
        <w:spacing w:line="360" w:lineRule="auto"/>
        <w:ind w:firstLine="480" w:firstLineChars="200"/>
        <w:rPr>
          <w:rFonts w:ascii="宋体" w:hAnsi="宋体"/>
          <w:sz w:val="24"/>
          <w:szCs w:val="24"/>
        </w:rPr>
      </w:pPr>
      <w:r>
        <w:rPr>
          <w:rFonts w:ascii="宋体" w:hAnsi="宋体"/>
          <w:sz w:val="24"/>
          <w:szCs w:val="24"/>
        </w:rPr>
        <w:t>6</w:t>
      </w:r>
      <w:r>
        <w:rPr>
          <w:rFonts w:hint="eastAsia" w:ascii="宋体" w:hAnsi="宋体"/>
          <w:sz w:val="24"/>
          <w:szCs w:val="24"/>
        </w:rPr>
        <w:t>.供应商在比选时作出的所有书面承诺须由法定代表人或其授权代表签字。</w:t>
      </w:r>
    </w:p>
    <w:p>
      <w:pPr>
        <w:spacing w:line="360" w:lineRule="auto"/>
        <w:ind w:firstLine="480" w:firstLineChars="200"/>
        <w:rPr>
          <w:rFonts w:ascii="宋体" w:hAnsi="宋体"/>
          <w:sz w:val="24"/>
          <w:szCs w:val="24"/>
        </w:rPr>
      </w:pPr>
      <w:r>
        <w:rPr>
          <w:rFonts w:ascii="宋体" w:hAnsi="宋体"/>
          <w:sz w:val="24"/>
          <w:szCs w:val="24"/>
        </w:rPr>
        <w:t>7</w:t>
      </w:r>
      <w:r>
        <w:rPr>
          <w:rFonts w:hint="eastAsia" w:ascii="宋体" w:hAnsi="宋体"/>
          <w:sz w:val="24"/>
          <w:szCs w:val="24"/>
        </w:rPr>
        <w:t>.评审委员会采用综合评分法对合格供应商的响应文件和报价进行综合评分，综合评分法是指响应文件满足竞争性比选文件全部实质性要求且按照评审因素的量化指标评审得分最高的供应商为成交候选供应商的评审方法。供应商总得分为价格、商务、技术等评定因素分别按照相应权重值计算分项得分后相加，满分为100分（详见评审标准）</w:t>
      </w:r>
    </w:p>
    <w:p>
      <w:pPr>
        <w:spacing w:line="360" w:lineRule="auto"/>
        <w:ind w:firstLine="480" w:firstLineChars="200"/>
        <w:rPr>
          <w:rFonts w:ascii="宋体" w:hAnsi="宋体"/>
          <w:sz w:val="24"/>
          <w:szCs w:val="24"/>
        </w:rPr>
      </w:pPr>
      <w:r>
        <w:rPr>
          <w:rFonts w:ascii="宋体" w:hAnsi="宋体"/>
          <w:sz w:val="24"/>
          <w:szCs w:val="24"/>
        </w:rPr>
        <w:t>8</w:t>
      </w:r>
      <w:r>
        <w:rPr>
          <w:rFonts w:hint="eastAsia" w:ascii="宋体" w:hAnsi="宋体"/>
          <w:sz w:val="24"/>
          <w:szCs w:val="24"/>
        </w:rPr>
        <w:t>.评审委员会各成员独立对每个有效响应的文件进行评价、打分，然后汇总每个供应商每项评分因素的得分，并根据综合评分情况按照评审得分由高到低顺序推荐3名以上成交候选供应商，并编写评审报告。若供应商的评审得分相同的，按照报价由低到高的顺序排列推荐。评审得分且报价相同的，按照服务指标优劣顺序排列推荐。以上都相同的，按服务条款的优劣顺序排列推荐。</w:t>
      </w:r>
    </w:p>
    <w:p>
      <w:pPr>
        <w:pStyle w:val="6"/>
        <w:spacing w:before="0" w:after="0" w:line="440" w:lineRule="exact"/>
        <w:ind w:firstLine="482" w:firstLineChars="200"/>
        <w:rPr>
          <w:rFonts w:ascii="宋体" w:hAnsi="宋体"/>
          <w:sz w:val="24"/>
          <w:szCs w:val="24"/>
        </w:rPr>
      </w:pPr>
      <w:bookmarkStart w:id="73" w:name="_Toc152145318"/>
      <w:r>
        <w:rPr>
          <w:rFonts w:hint="eastAsia" w:ascii="宋体" w:hAnsi="宋体"/>
          <w:sz w:val="24"/>
          <w:szCs w:val="24"/>
        </w:rPr>
        <w:t>二、</w:t>
      </w:r>
      <w:bookmarkStart w:id="74" w:name="_Toc102227320"/>
      <w:bookmarkStart w:id="75" w:name="_Toc342913394"/>
      <w:r>
        <w:rPr>
          <w:rFonts w:hint="eastAsia" w:ascii="宋体" w:hAnsi="宋体"/>
          <w:sz w:val="24"/>
          <w:szCs w:val="24"/>
        </w:rPr>
        <w:t>评审标准</w:t>
      </w:r>
      <w:bookmarkEnd w:id="73"/>
    </w:p>
    <w:tbl>
      <w:tblPr>
        <w:tblStyle w:val="58"/>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1276"/>
        <w:gridCol w:w="439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blHeader/>
        </w:trPr>
        <w:tc>
          <w:tcPr>
            <w:tcW w:w="567" w:type="dxa"/>
            <w:vAlign w:val="center"/>
          </w:tcPr>
          <w:p>
            <w:pPr>
              <w:spacing w:line="240" w:lineRule="atLeast"/>
              <w:ind w:firstLine="28"/>
              <w:jc w:val="center"/>
              <w:rPr>
                <w:rFonts w:ascii="宋体" w:hAnsi="宋体"/>
                <w:b/>
                <w:sz w:val="21"/>
                <w:szCs w:val="21"/>
              </w:rPr>
            </w:pPr>
            <w:r>
              <w:rPr>
                <w:rFonts w:ascii="宋体" w:hAnsi="宋体"/>
                <w:b/>
                <w:sz w:val="21"/>
                <w:szCs w:val="21"/>
              </w:rPr>
              <w:t>序号</w:t>
            </w:r>
          </w:p>
        </w:tc>
        <w:tc>
          <w:tcPr>
            <w:tcW w:w="1276" w:type="dxa"/>
            <w:vAlign w:val="center"/>
          </w:tcPr>
          <w:p>
            <w:pPr>
              <w:spacing w:line="240" w:lineRule="atLeast"/>
              <w:ind w:firstLine="28"/>
              <w:jc w:val="center"/>
              <w:rPr>
                <w:rFonts w:ascii="宋体" w:hAnsi="宋体"/>
                <w:b/>
                <w:sz w:val="21"/>
                <w:szCs w:val="21"/>
              </w:rPr>
            </w:pPr>
            <w:r>
              <w:rPr>
                <w:rFonts w:ascii="宋体" w:hAnsi="宋体"/>
                <w:b/>
                <w:sz w:val="21"/>
                <w:szCs w:val="21"/>
              </w:rPr>
              <w:t>评分因素</w:t>
            </w:r>
          </w:p>
          <w:p>
            <w:pPr>
              <w:spacing w:line="240" w:lineRule="atLeast"/>
              <w:ind w:firstLine="28"/>
              <w:jc w:val="center"/>
              <w:rPr>
                <w:rFonts w:ascii="宋体" w:hAnsi="宋体"/>
                <w:b/>
                <w:sz w:val="21"/>
                <w:szCs w:val="21"/>
              </w:rPr>
            </w:pPr>
            <w:r>
              <w:rPr>
                <w:rFonts w:ascii="宋体" w:hAnsi="宋体"/>
                <w:b/>
                <w:sz w:val="21"/>
                <w:szCs w:val="21"/>
              </w:rPr>
              <w:t>及权值</w:t>
            </w:r>
          </w:p>
        </w:tc>
        <w:tc>
          <w:tcPr>
            <w:tcW w:w="1276" w:type="dxa"/>
            <w:vAlign w:val="center"/>
          </w:tcPr>
          <w:p>
            <w:pPr>
              <w:spacing w:line="240" w:lineRule="atLeast"/>
              <w:ind w:firstLine="28"/>
              <w:jc w:val="center"/>
              <w:rPr>
                <w:rFonts w:ascii="宋体" w:hAnsi="宋体"/>
                <w:b/>
                <w:sz w:val="21"/>
                <w:szCs w:val="21"/>
              </w:rPr>
            </w:pPr>
            <w:r>
              <w:rPr>
                <w:rFonts w:ascii="宋体" w:hAnsi="宋体"/>
                <w:b/>
                <w:sz w:val="21"/>
                <w:szCs w:val="21"/>
              </w:rPr>
              <w:t>分值</w:t>
            </w:r>
          </w:p>
        </w:tc>
        <w:tc>
          <w:tcPr>
            <w:tcW w:w="4394" w:type="dxa"/>
            <w:vAlign w:val="center"/>
          </w:tcPr>
          <w:p>
            <w:pPr>
              <w:spacing w:line="240" w:lineRule="atLeast"/>
              <w:ind w:firstLine="28"/>
              <w:jc w:val="center"/>
              <w:rPr>
                <w:rFonts w:ascii="宋体" w:hAnsi="宋体"/>
                <w:b/>
                <w:sz w:val="21"/>
                <w:szCs w:val="21"/>
              </w:rPr>
            </w:pPr>
            <w:r>
              <w:rPr>
                <w:rFonts w:ascii="宋体" w:hAnsi="宋体"/>
                <w:b/>
                <w:sz w:val="21"/>
                <w:szCs w:val="21"/>
              </w:rPr>
              <w:t>评分标准</w:t>
            </w:r>
          </w:p>
        </w:tc>
        <w:tc>
          <w:tcPr>
            <w:tcW w:w="1985" w:type="dxa"/>
            <w:vAlign w:val="center"/>
          </w:tcPr>
          <w:p>
            <w:pPr>
              <w:spacing w:line="240" w:lineRule="atLeast"/>
              <w:jc w:val="center"/>
              <w:rPr>
                <w:rFonts w:ascii="宋体" w:hAnsi="宋体"/>
                <w:b/>
                <w:sz w:val="21"/>
                <w:szCs w:val="21"/>
              </w:rPr>
            </w:pPr>
            <w:r>
              <w:rPr>
                <w:rFonts w:ascii="宋体" w:hAnsi="宋体"/>
                <w:b/>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trPr>
        <w:tc>
          <w:tcPr>
            <w:tcW w:w="567" w:type="dxa"/>
            <w:vAlign w:val="center"/>
          </w:tcPr>
          <w:p>
            <w:pPr>
              <w:spacing w:line="240" w:lineRule="atLeast"/>
              <w:ind w:firstLine="28"/>
              <w:jc w:val="center"/>
              <w:rPr>
                <w:rFonts w:ascii="宋体" w:hAnsi="宋体"/>
                <w:sz w:val="21"/>
                <w:szCs w:val="21"/>
              </w:rPr>
            </w:pPr>
            <w:r>
              <w:rPr>
                <w:rFonts w:ascii="宋体" w:hAnsi="宋体"/>
                <w:sz w:val="21"/>
                <w:szCs w:val="21"/>
              </w:rPr>
              <w:t>1</w:t>
            </w:r>
          </w:p>
        </w:tc>
        <w:tc>
          <w:tcPr>
            <w:tcW w:w="1276" w:type="dxa"/>
            <w:vAlign w:val="center"/>
          </w:tcPr>
          <w:p>
            <w:pPr>
              <w:jc w:val="center"/>
              <w:rPr>
                <w:rFonts w:ascii="宋体" w:hAnsi="宋体"/>
                <w:sz w:val="21"/>
                <w:szCs w:val="21"/>
              </w:rPr>
            </w:pPr>
            <w:r>
              <w:rPr>
                <w:rFonts w:hint="eastAsia" w:ascii="宋体" w:hAnsi="宋体"/>
                <w:sz w:val="21"/>
                <w:szCs w:val="21"/>
              </w:rPr>
              <w:t>比选报价</w:t>
            </w:r>
          </w:p>
          <w:p>
            <w:pPr>
              <w:spacing w:line="240" w:lineRule="atLeast"/>
              <w:ind w:firstLine="28"/>
              <w:jc w:val="center"/>
              <w:rPr>
                <w:rFonts w:ascii="宋体" w:hAnsi="宋体"/>
                <w:sz w:val="21"/>
                <w:szCs w:val="21"/>
              </w:rPr>
            </w:pPr>
            <w:r>
              <w:rPr>
                <w:rFonts w:hint="eastAsia" w:ascii="宋体" w:hAnsi="宋体"/>
                <w:sz w:val="21"/>
                <w:szCs w:val="21"/>
              </w:rPr>
              <w:t>（</w:t>
            </w:r>
            <w:r>
              <w:rPr>
                <w:rFonts w:ascii="宋体" w:hAnsi="宋体"/>
                <w:sz w:val="21"/>
                <w:szCs w:val="21"/>
              </w:rPr>
              <w:t>15</w:t>
            </w:r>
            <w:r>
              <w:rPr>
                <w:rFonts w:hint="eastAsia" w:ascii="宋体" w:hAnsi="宋体"/>
                <w:sz w:val="21"/>
                <w:szCs w:val="21"/>
              </w:rPr>
              <w:t>%）</w:t>
            </w:r>
          </w:p>
        </w:tc>
        <w:tc>
          <w:tcPr>
            <w:tcW w:w="1276" w:type="dxa"/>
            <w:vAlign w:val="center"/>
          </w:tcPr>
          <w:p>
            <w:pPr>
              <w:spacing w:line="240" w:lineRule="atLeast"/>
              <w:ind w:firstLine="28"/>
              <w:jc w:val="center"/>
              <w:rPr>
                <w:rFonts w:ascii="宋体" w:hAnsi="宋体"/>
                <w:sz w:val="21"/>
                <w:szCs w:val="21"/>
              </w:rPr>
            </w:pPr>
            <w:r>
              <w:rPr>
                <w:rFonts w:ascii="宋体" w:hAnsi="宋体"/>
                <w:sz w:val="21"/>
                <w:szCs w:val="21"/>
              </w:rPr>
              <w:t>15</w:t>
            </w:r>
            <w:r>
              <w:rPr>
                <w:rFonts w:hint="eastAsia" w:ascii="宋体" w:hAnsi="宋体"/>
                <w:sz w:val="21"/>
                <w:szCs w:val="21"/>
              </w:rPr>
              <w:t>分</w:t>
            </w:r>
          </w:p>
        </w:tc>
        <w:tc>
          <w:tcPr>
            <w:tcW w:w="4394" w:type="dxa"/>
            <w:vAlign w:val="center"/>
          </w:tcPr>
          <w:p>
            <w:pPr>
              <w:spacing w:line="240" w:lineRule="atLeast"/>
              <w:rPr>
                <w:rFonts w:ascii="宋体" w:hAnsi="宋体"/>
                <w:sz w:val="21"/>
                <w:szCs w:val="21"/>
              </w:rPr>
            </w:pPr>
            <w:r>
              <w:rPr>
                <w:rFonts w:hint="eastAsia" w:ascii="宋体" w:hAnsi="宋体"/>
                <w:sz w:val="21"/>
                <w:szCs w:val="21"/>
              </w:rPr>
              <w:t>满足比选文件要求且报价最低的供应商的价格为比选基准价，其价格分为满分。按照下列公式计算每个供应商的比选报价得分。</w:t>
            </w:r>
          </w:p>
          <w:p>
            <w:pPr>
              <w:spacing w:line="240" w:lineRule="atLeast"/>
              <w:rPr>
                <w:rFonts w:ascii="宋体" w:hAnsi="宋体"/>
                <w:sz w:val="21"/>
                <w:szCs w:val="21"/>
              </w:rPr>
            </w:pPr>
            <w:r>
              <w:rPr>
                <w:rFonts w:hint="eastAsia" w:ascii="宋体" w:hAnsi="宋体"/>
                <w:sz w:val="21"/>
                <w:szCs w:val="21"/>
              </w:rPr>
              <w:t>比选报价得分=（比选基准价/比选报价）×价格权值×100</w:t>
            </w:r>
          </w:p>
        </w:tc>
        <w:tc>
          <w:tcPr>
            <w:tcW w:w="1985" w:type="dxa"/>
            <w:vAlign w:val="center"/>
          </w:tcPr>
          <w:p>
            <w:pPr>
              <w:spacing w:line="240" w:lineRule="atLeast"/>
              <w:rPr>
                <w:rFonts w:ascii="宋体" w:hAnsi="宋体"/>
                <w:sz w:val="21"/>
                <w:szCs w:val="21"/>
              </w:rPr>
            </w:pPr>
            <w:r>
              <w:rPr>
                <w:rFonts w:hint="eastAsia" w:ascii="宋体" w:hAnsi="宋体"/>
                <w:sz w:val="21"/>
                <w:szCs w:val="21"/>
              </w:rPr>
              <w:t>对小微企业的价格用扣除后的价格参与评审，详见“关于小微企业报价扣除比例说明”。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8" w:hRule="atLeast"/>
        </w:trPr>
        <w:tc>
          <w:tcPr>
            <w:tcW w:w="567" w:type="dxa"/>
            <w:vMerge w:val="restart"/>
            <w:vAlign w:val="center"/>
          </w:tcPr>
          <w:p>
            <w:pPr>
              <w:spacing w:line="240" w:lineRule="atLeast"/>
              <w:ind w:firstLine="28"/>
              <w:jc w:val="center"/>
              <w:rPr>
                <w:rFonts w:ascii="宋体" w:hAnsi="宋体"/>
                <w:sz w:val="21"/>
                <w:szCs w:val="21"/>
              </w:rPr>
            </w:pPr>
            <w:r>
              <w:rPr>
                <w:rFonts w:ascii="宋体" w:hAnsi="宋体"/>
                <w:sz w:val="21"/>
                <w:szCs w:val="21"/>
              </w:rPr>
              <w:t>2</w:t>
            </w:r>
          </w:p>
        </w:tc>
        <w:tc>
          <w:tcPr>
            <w:tcW w:w="1276" w:type="dxa"/>
            <w:vMerge w:val="restart"/>
            <w:vAlign w:val="center"/>
          </w:tcPr>
          <w:p>
            <w:pPr>
              <w:spacing w:line="240" w:lineRule="atLeast"/>
              <w:ind w:firstLine="28"/>
              <w:jc w:val="center"/>
              <w:rPr>
                <w:rFonts w:ascii="宋体" w:hAnsi="宋体"/>
                <w:sz w:val="21"/>
                <w:szCs w:val="21"/>
              </w:rPr>
            </w:pPr>
            <w:r>
              <w:rPr>
                <w:rFonts w:hint="eastAsia" w:ascii="宋体" w:hAnsi="宋体"/>
                <w:sz w:val="21"/>
                <w:szCs w:val="21"/>
              </w:rPr>
              <w:t>技术部分</w:t>
            </w:r>
          </w:p>
          <w:p>
            <w:pPr>
              <w:spacing w:line="240" w:lineRule="atLeast"/>
              <w:ind w:firstLine="28"/>
              <w:jc w:val="center"/>
              <w:rPr>
                <w:rFonts w:ascii="宋体" w:hAnsi="宋体"/>
                <w:sz w:val="21"/>
                <w:szCs w:val="21"/>
              </w:rPr>
            </w:pPr>
            <w:r>
              <w:rPr>
                <w:rFonts w:hint="eastAsia" w:ascii="宋体" w:hAnsi="宋体"/>
                <w:sz w:val="21"/>
                <w:szCs w:val="21"/>
              </w:rPr>
              <w:t>（50%）</w:t>
            </w:r>
          </w:p>
        </w:tc>
        <w:tc>
          <w:tcPr>
            <w:tcW w:w="1276" w:type="dxa"/>
            <w:vMerge w:val="restart"/>
            <w:vAlign w:val="center"/>
          </w:tcPr>
          <w:p>
            <w:pPr>
              <w:spacing w:line="240" w:lineRule="atLeast"/>
              <w:ind w:firstLine="28"/>
              <w:jc w:val="center"/>
              <w:rPr>
                <w:rFonts w:ascii="宋体" w:hAnsi="宋体"/>
                <w:sz w:val="21"/>
                <w:szCs w:val="21"/>
              </w:rPr>
            </w:pPr>
            <w:r>
              <w:rPr>
                <w:rFonts w:hint="eastAsia" w:ascii="宋体" w:hAnsi="宋体"/>
                <w:sz w:val="21"/>
                <w:szCs w:val="21"/>
              </w:rPr>
              <w:t>服务方案</w:t>
            </w:r>
          </w:p>
          <w:p>
            <w:pPr>
              <w:spacing w:line="240" w:lineRule="atLeast"/>
              <w:ind w:firstLine="28"/>
              <w:jc w:val="center"/>
              <w:rPr>
                <w:rFonts w:ascii="宋体" w:hAnsi="宋体"/>
                <w:sz w:val="21"/>
                <w:szCs w:val="21"/>
              </w:rPr>
            </w:pPr>
            <w:r>
              <w:rPr>
                <w:rFonts w:hint="eastAsia" w:ascii="宋体" w:hAnsi="宋体"/>
                <w:sz w:val="21"/>
                <w:szCs w:val="21"/>
              </w:rPr>
              <w:t>（50分）</w:t>
            </w:r>
          </w:p>
        </w:tc>
        <w:tc>
          <w:tcPr>
            <w:tcW w:w="4394" w:type="dxa"/>
            <w:vAlign w:val="center"/>
          </w:tcPr>
          <w:p>
            <w:pPr>
              <w:spacing w:line="240" w:lineRule="atLeast"/>
              <w:rPr>
                <w:rFonts w:ascii="宋体" w:hAnsi="宋体"/>
                <w:sz w:val="21"/>
                <w:szCs w:val="21"/>
              </w:rPr>
            </w:pPr>
            <w:r>
              <w:rPr>
                <w:rFonts w:hint="eastAsia" w:ascii="宋体" w:hAnsi="宋体"/>
                <w:sz w:val="21"/>
                <w:szCs w:val="21"/>
              </w:rPr>
              <w:t>1.项目总体理解（</w:t>
            </w:r>
            <w:r>
              <w:rPr>
                <w:rFonts w:ascii="宋体" w:hAnsi="宋体"/>
                <w:sz w:val="21"/>
                <w:szCs w:val="21"/>
              </w:rPr>
              <w:t>10</w:t>
            </w:r>
            <w:r>
              <w:rPr>
                <w:rFonts w:hint="eastAsia" w:ascii="宋体" w:hAnsi="宋体"/>
                <w:sz w:val="21"/>
                <w:szCs w:val="21"/>
              </w:rPr>
              <w:t>分）</w:t>
            </w:r>
          </w:p>
          <w:p>
            <w:pPr>
              <w:spacing w:line="240" w:lineRule="atLeast"/>
              <w:rPr>
                <w:rFonts w:ascii="宋体" w:hAnsi="宋体"/>
                <w:sz w:val="21"/>
                <w:szCs w:val="21"/>
              </w:rPr>
            </w:pPr>
            <w:r>
              <w:rPr>
                <w:rFonts w:hint="eastAsia" w:ascii="宋体" w:hAnsi="宋体"/>
                <w:sz w:val="21"/>
                <w:szCs w:val="21"/>
              </w:rPr>
              <w:t>供应商对本项目背景、目的、意义及具体要求等进行阐述，根据供应商总体理解的准确性、合理性、详尽程度进行评分。</w:t>
            </w:r>
          </w:p>
          <w:p>
            <w:pPr>
              <w:spacing w:line="240" w:lineRule="atLeast"/>
              <w:rPr>
                <w:rFonts w:ascii="宋体" w:hAnsi="宋体"/>
                <w:sz w:val="21"/>
                <w:szCs w:val="21"/>
              </w:rPr>
            </w:pPr>
            <w:r>
              <w:rPr>
                <w:rFonts w:hint="eastAsia" w:ascii="宋体" w:hAnsi="宋体"/>
                <w:sz w:val="21"/>
                <w:szCs w:val="21"/>
              </w:rPr>
              <w:t>理解准确、合理、详尽得1</w:t>
            </w:r>
            <w:r>
              <w:rPr>
                <w:rFonts w:ascii="宋体" w:hAnsi="宋体"/>
                <w:sz w:val="21"/>
                <w:szCs w:val="21"/>
              </w:rPr>
              <w:t>0</w:t>
            </w:r>
            <w:r>
              <w:rPr>
                <w:rFonts w:hint="eastAsia" w:ascii="宋体" w:hAnsi="宋体"/>
                <w:sz w:val="21"/>
                <w:szCs w:val="21"/>
              </w:rPr>
              <w:t>分；理解较准确、较合理、较详尽得7分；理解一般得4分；理解不准确、不合理、不详尽得1分；未提供不得分。</w:t>
            </w:r>
          </w:p>
        </w:tc>
        <w:tc>
          <w:tcPr>
            <w:tcW w:w="1985" w:type="dxa"/>
            <w:vMerge w:val="restart"/>
            <w:vAlign w:val="center"/>
          </w:tcPr>
          <w:p>
            <w:pPr>
              <w:spacing w:line="240" w:lineRule="atLeast"/>
              <w:ind w:left="-38"/>
              <w:rPr>
                <w:rFonts w:ascii="宋体" w:hAnsi="宋体"/>
                <w:sz w:val="21"/>
                <w:szCs w:val="21"/>
              </w:rPr>
            </w:pPr>
            <w:r>
              <w:rPr>
                <w:rFonts w:hint="eastAsia" w:ascii="宋体" w:hAnsi="宋体"/>
                <w:sz w:val="21"/>
                <w:szCs w:val="21"/>
              </w:rPr>
              <w:t>根据供应商提供的方案进行打分。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67" w:type="dxa"/>
            <w:vMerge w:val="continue"/>
            <w:vAlign w:val="center"/>
          </w:tcPr>
          <w:p>
            <w:pPr>
              <w:spacing w:line="240" w:lineRule="atLeast"/>
              <w:ind w:firstLine="28"/>
              <w:jc w:val="center"/>
              <w:rPr>
                <w:rFonts w:ascii="宋体" w:hAnsi="宋体"/>
                <w:sz w:val="21"/>
                <w:szCs w:val="21"/>
              </w:rPr>
            </w:pPr>
          </w:p>
        </w:tc>
        <w:tc>
          <w:tcPr>
            <w:tcW w:w="1276" w:type="dxa"/>
            <w:vMerge w:val="continue"/>
            <w:vAlign w:val="center"/>
          </w:tcPr>
          <w:p>
            <w:pPr>
              <w:spacing w:line="240" w:lineRule="atLeast"/>
              <w:ind w:firstLine="28"/>
              <w:jc w:val="center"/>
              <w:rPr>
                <w:rFonts w:ascii="宋体" w:hAnsi="宋体"/>
                <w:sz w:val="21"/>
                <w:szCs w:val="21"/>
              </w:rPr>
            </w:pPr>
          </w:p>
        </w:tc>
        <w:tc>
          <w:tcPr>
            <w:tcW w:w="1276" w:type="dxa"/>
            <w:vMerge w:val="continue"/>
            <w:vAlign w:val="center"/>
          </w:tcPr>
          <w:p>
            <w:pPr>
              <w:spacing w:line="240" w:lineRule="atLeast"/>
              <w:ind w:firstLine="28"/>
              <w:jc w:val="center"/>
              <w:rPr>
                <w:rFonts w:ascii="宋体" w:hAnsi="宋体"/>
                <w:sz w:val="21"/>
                <w:szCs w:val="21"/>
              </w:rPr>
            </w:pPr>
          </w:p>
        </w:tc>
        <w:tc>
          <w:tcPr>
            <w:tcW w:w="4394" w:type="dxa"/>
            <w:vAlign w:val="center"/>
          </w:tcPr>
          <w:p>
            <w:pPr>
              <w:spacing w:line="240" w:lineRule="atLeast"/>
              <w:rPr>
                <w:rFonts w:ascii="宋体" w:hAnsi="宋体"/>
                <w:sz w:val="21"/>
                <w:szCs w:val="21"/>
              </w:rPr>
            </w:pPr>
            <w:r>
              <w:rPr>
                <w:rFonts w:hint="eastAsia" w:ascii="宋体" w:hAnsi="宋体"/>
                <w:sz w:val="21"/>
                <w:szCs w:val="21"/>
              </w:rPr>
              <w:t>2.《陆海新通道》的编制方案与分析框架说明（20分）</w:t>
            </w:r>
          </w:p>
          <w:p>
            <w:pPr>
              <w:spacing w:line="240" w:lineRule="atLeast"/>
              <w:rPr>
                <w:rFonts w:ascii="宋体" w:hAnsi="宋体"/>
                <w:sz w:val="21"/>
                <w:szCs w:val="21"/>
              </w:rPr>
            </w:pPr>
            <w:r>
              <w:rPr>
                <w:rFonts w:hint="eastAsia" w:ascii="宋体" w:hAnsi="宋体"/>
                <w:sz w:val="21"/>
                <w:szCs w:val="21"/>
              </w:rPr>
              <w:t>供应商提供陆海新通道经济运行分析监测指标表，明确数据内容、数据来源与时效性，以及分析内容的框架结构、分析深度和市场调研等。根据供应商提供内容的合理性、针对性、可操作性进行评分。</w:t>
            </w:r>
          </w:p>
          <w:p>
            <w:pPr>
              <w:spacing w:line="240" w:lineRule="atLeast"/>
              <w:rPr>
                <w:rFonts w:ascii="宋体" w:hAnsi="宋体"/>
                <w:sz w:val="21"/>
                <w:szCs w:val="21"/>
              </w:rPr>
            </w:pPr>
            <w:r>
              <w:rPr>
                <w:rFonts w:hint="eastAsia" w:ascii="宋体" w:hAnsi="宋体"/>
                <w:sz w:val="21"/>
                <w:szCs w:val="21"/>
              </w:rPr>
              <w:t>方案合理、针对性与可操作性强得</w:t>
            </w:r>
            <w:r>
              <w:rPr>
                <w:rFonts w:ascii="宋体" w:hAnsi="宋体"/>
                <w:sz w:val="21"/>
                <w:szCs w:val="21"/>
              </w:rPr>
              <w:t>20</w:t>
            </w:r>
            <w:r>
              <w:rPr>
                <w:rFonts w:hint="eastAsia" w:ascii="宋体" w:hAnsi="宋体"/>
                <w:sz w:val="21"/>
                <w:szCs w:val="21"/>
              </w:rPr>
              <w:t>分；方案较合理、针对性与可操作性较强得</w:t>
            </w:r>
            <w:r>
              <w:rPr>
                <w:rFonts w:ascii="宋体" w:hAnsi="宋体"/>
                <w:sz w:val="21"/>
                <w:szCs w:val="21"/>
              </w:rPr>
              <w:t>12</w:t>
            </w:r>
            <w:r>
              <w:rPr>
                <w:rFonts w:hint="eastAsia" w:ascii="宋体" w:hAnsi="宋体"/>
                <w:sz w:val="21"/>
                <w:szCs w:val="21"/>
              </w:rPr>
              <w:t>分；方案一般、针对性与可操作性一般得</w:t>
            </w:r>
            <w:r>
              <w:rPr>
                <w:rFonts w:ascii="宋体" w:hAnsi="宋体"/>
                <w:sz w:val="21"/>
                <w:szCs w:val="21"/>
              </w:rPr>
              <w:t>4</w:t>
            </w:r>
            <w:r>
              <w:rPr>
                <w:rFonts w:hint="eastAsia" w:ascii="宋体" w:hAnsi="宋体"/>
                <w:sz w:val="21"/>
                <w:szCs w:val="21"/>
              </w:rPr>
              <w:t>分；方案不合理、针对性与可操作性不强得1分；未提供不得分。</w:t>
            </w:r>
          </w:p>
        </w:tc>
        <w:tc>
          <w:tcPr>
            <w:tcW w:w="1985" w:type="dxa"/>
            <w:vMerge w:val="continue"/>
            <w:vAlign w:val="center"/>
          </w:tcPr>
          <w:p>
            <w:pPr>
              <w:spacing w:line="240" w:lineRule="atLeast"/>
              <w:ind w:left="-38"/>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567" w:type="dxa"/>
            <w:vMerge w:val="continue"/>
            <w:vAlign w:val="center"/>
          </w:tcPr>
          <w:p>
            <w:pPr>
              <w:spacing w:line="240" w:lineRule="atLeast"/>
              <w:ind w:firstLine="28"/>
              <w:jc w:val="center"/>
              <w:rPr>
                <w:rFonts w:ascii="宋体" w:hAnsi="宋体"/>
                <w:sz w:val="21"/>
                <w:szCs w:val="21"/>
              </w:rPr>
            </w:pPr>
          </w:p>
        </w:tc>
        <w:tc>
          <w:tcPr>
            <w:tcW w:w="1276" w:type="dxa"/>
            <w:vMerge w:val="continue"/>
            <w:vAlign w:val="center"/>
          </w:tcPr>
          <w:p>
            <w:pPr>
              <w:spacing w:line="240" w:lineRule="atLeast"/>
              <w:ind w:firstLine="28"/>
              <w:jc w:val="center"/>
              <w:rPr>
                <w:rFonts w:ascii="宋体" w:hAnsi="宋体"/>
                <w:sz w:val="21"/>
                <w:szCs w:val="21"/>
              </w:rPr>
            </w:pPr>
          </w:p>
        </w:tc>
        <w:tc>
          <w:tcPr>
            <w:tcW w:w="1276" w:type="dxa"/>
            <w:vMerge w:val="continue"/>
            <w:vAlign w:val="center"/>
          </w:tcPr>
          <w:p>
            <w:pPr>
              <w:spacing w:line="240" w:lineRule="atLeast"/>
              <w:ind w:firstLine="28"/>
              <w:jc w:val="center"/>
              <w:rPr>
                <w:rFonts w:ascii="宋体" w:hAnsi="宋体"/>
                <w:sz w:val="21"/>
                <w:szCs w:val="21"/>
              </w:rPr>
            </w:pPr>
          </w:p>
        </w:tc>
        <w:tc>
          <w:tcPr>
            <w:tcW w:w="4394" w:type="dxa"/>
            <w:vAlign w:val="center"/>
          </w:tcPr>
          <w:p>
            <w:pPr>
              <w:spacing w:line="240" w:lineRule="atLeast"/>
              <w:rPr>
                <w:rFonts w:ascii="宋体" w:hAnsi="宋体"/>
                <w:sz w:val="21"/>
                <w:szCs w:val="21"/>
              </w:rPr>
            </w:pPr>
            <w:r>
              <w:rPr>
                <w:rFonts w:hint="eastAsia" w:ascii="宋体" w:hAnsi="宋体"/>
                <w:sz w:val="21"/>
                <w:szCs w:val="21"/>
              </w:rPr>
              <w:t>3.《陆海新通道》的框架说明（10分）</w:t>
            </w:r>
          </w:p>
          <w:p>
            <w:pPr>
              <w:spacing w:line="240" w:lineRule="atLeast"/>
              <w:rPr>
                <w:rFonts w:ascii="宋体" w:hAnsi="宋体"/>
                <w:sz w:val="21"/>
                <w:szCs w:val="21"/>
              </w:rPr>
            </w:pPr>
            <w:r>
              <w:rPr>
                <w:rFonts w:hint="eastAsia" w:ascii="宋体" w:hAnsi="宋体"/>
                <w:sz w:val="21"/>
                <w:szCs w:val="21"/>
              </w:rPr>
              <w:t>供应商提供《陆海新通道》报告框架，对分析内容、分析深度等重点说明。根据供应商提供报告框架的逻辑性、层次性和分析深度进行评分。</w:t>
            </w:r>
          </w:p>
          <w:p>
            <w:pPr>
              <w:spacing w:line="240" w:lineRule="atLeast"/>
              <w:rPr>
                <w:rFonts w:ascii="宋体" w:hAnsi="宋体"/>
                <w:sz w:val="21"/>
                <w:szCs w:val="21"/>
              </w:rPr>
            </w:pPr>
            <w:r>
              <w:rPr>
                <w:rFonts w:hint="eastAsia" w:ascii="宋体" w:hAnsi="宋体"/>
                <w:sz w:val="21"/>
                <w:szCs w:val="21"/>
              </w:rPr>
              <w:t>提供报告框架层次清晰、思考严密、分析透彻、决策建议参考性大，得10分；层次较清晰、思考较严密、分析较透彻、决策建议参考性一般，得8分；层次一般、思路一般、分析一般、决策建议针对性弱，得4分；层次、思路与分析均不透彻、决策建议没有参考性，得</w:t>
            </w:r>
            <w:r>
              <w:rPr>
                <w:rFonts w:ascii="宋体" w:hAnsi="宋体"/>
                <w:sz w:val="21"/>
                <w:szCs w:val="21"/>
              </w:rPr>
              <w:t>1</w:t>
            </w:r>
            <w:r>
              <w:rPr>
                <w:rFonts w:hint="eastAsia" w:ascii="宋体" w:hAnsi="宋体"/>
                <w:sz w:val="21"/>
                <w:szCs w:val="21"/>
              </w:rPr>
              <w:t>分；未提供不得分。</w:t>
            </w:r>
          </w:p>
        </w:tc>
        <w:tc>
          <w:tcPr>
            <w:tcW w:w="1985" w:type="dxa"/>
            <w:vMerge w:val="continue"/>
            <w:vAlign w:val="center"/>
          </w:tcPr>
          <w:p>
            <w:pPr>
              <w:spacing w:line="240" w:lineRule="atLeast"/>
              <w:ind w:left="-38"/>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9" w:hRule="atLeast"/>
        </w:trPr>
        <w:tc>
          <w:tcPr>
            <w:tcW w:w="567" w:type="dxa"/>
            <w:vMerge w:val="continue"/>
            <w:vAlign w:val="center"/>
          </w:tcPr>
          <w:p>
            <w:pPr>
              <w:spacing w:line="240" w:lineRule="atLeast"/>
              <w:ind w:firstLine="28"/>
              <w:jc w:val="center"/>
              <w:rPr>
                <w:rFonts w:ascii="宋体" w:hAnsi="宋体"/>
                <w:sz w:val="21"/>
                <w:szCs w:val="21"/>
              </w:rPr>
            </w:pPr>
          </w:p>
        </w:tc>
        <w:tc>
          <w:tcPr>
            <w:tcW w:w="1276" w:type="dxa"/>
            <w:vMerge w:val="continue"/>
            <w:vAlign w:val="center"/>
          </w:tcPr>
          <w:p>
            <w:pPr>
              <w:spacing w:line="240" w:lineRule="atLeast"/>
              <w:ind w:firstLine="28"/>
              <w:jc w:val="center"/>
              <w:rPr>
                <w:rFonts w:ascii="宋体" w:hAnsi="宋体"/>
                <w:sz w:val="21"/>
                <w:szCs w:val="21"/>
              </w:rPr>
            </w:pPr>
          </w:p>
        </w:tc>
        <w:tc>
          <w:tcPr>
            <w:tcW w:w="1276" w:type="dxa"/>
            <w:vMerge w:val="continue"/>
            <w:vAlign w:val="center"/>
          </w:tcPr>
          <w:p>
            <w:pPr>
              <w:spacing w:line="240" w:lineRule="atLeast"/>
              <w:ind w:firstLine="28"/>
              <w:jc w:val="center"/>
              <w:rPr>
                <w:rFonts w:ascii="宋体" w:hAnsi="宋体"/>
                <w:sz w:val="21"/>
                <w:szCs w:val="21"/>
              </w:rPr>
            </w:pPr>
          </w:p>
        </w:tc>
        <w:tc>
          <w:tcPr>
            <w:tcW w:w="4394" w:type="dxa"/>
            <w:vAlign w:val="center"/>
          </w:tcPr>
          <w:p>
            <w:pPr>
              <w:spacing w:line="240" w:lineRule="atLeast"/>
              <w:rPr>
                <w:rFonts w:ascii="宋体" w:hAnsi="宋体"/>
                <w:sz w:val="21"/>
                <w:szCs w:val="21"/>
              </w:rPr>
            </w:pPr>
            <w:r>
              <w:rPr>
                <w:rFonts w:hint="eastAsia" w:ascii="宋体" w:hAnsi="宋体"/>
                <w:sz w:val="21"/>
                <w:szCs w:val="21"/>
              </w:rPr>
              <w:t>4.工作计划及人员组织方案（10分）</w:t>
            </w:r>
          </w:p>
          <w:p>
            <w:pPr>
              <w:spacing w:line="240" w:lineRule="atLeast"/>
              <w:rPr>
                <w:rFonts w:ascii="宋体" w:hAnsi="宋体"/>
                <w:sz w:val="21"/>
                <w:szCs w:val="21"/>
              </w:rPr>
            </w:pPr>
            <w:r>
              <w:rPr>
                <w:rFonts w:hint="eastAsia" w:ascii="宋体" w:hAnsi="宋体"/>
                <w:sz w:val="21"/>
                <w:szCs w:val="21"/>
              </w:rPr>
              <w:t>根据供应商提出的具体工作方案，对时间进度安排计划、人员组织方案等，从合理性、操作性、可实施性进行评分。</w:t>
            </w:r>
          </w:p>
          <w:p>
            <w:pPr>
              <w:spacing w:line="240" w:lineRule="atLeast"/>
              <w:rPr>
                <w:rFonts w:ascii="宋体" w:hAnsi="宋体"/>
                <w:sz w:val="21"/>
                <w:szCs w:val="21"/>
              </w:rPr>
            </w:pPr>
            <w:r>
              <w:rPr>
                <w:rFonts w:hint="eastAsia" w:ascii="宋体" w:hAnsi="宋体"/>
                <w:sz w:val="21"/>
                <w:szCs w:val="21"/>
              </w:rPr>
              <w:t>进度计划安排合理、人员组织得当、时间控制严谨，得1</w:t>
            </w:r>
            <w:r>
              <w:rPr>
                <w:rFonts w:ascii="宋体" w:hAnsi="宋体"/>
                <w:sz w:val="21"/>
                <w:szCs w:val="21"/>
              </w:rPr>
              <w:t>0</w:t>
            </w:r>
            <w:r>
              <w:rPr>
                <w:rFonts w:hint="eastAsia" w:ascii="宋体" w:hAnsi="宋体"/>
                <w:sz w:val="21"/>
                <w:szCs w:val="21"/>
              </w:rPr>
              <w:t>分；计划安排较合理、人员组织较得当、时间控制相对紧凑，得7分；计划安排一般、人员组织一般、时间控制相对松散，得4分；计划安排不合理、人员组织不当、时间安排无统筹，得1分；未提供不得分。</w:t>
            </w:r>
          </w:p>
        </w:tc>
        <w:tc>
          <w:tcPr>
            <w:tcW w:w="1985" w:type="dxa"/>
            <w:vMerge w:val="continue"/>
            <w:vAlign w:val="center"/>
          </w:tcPr>
          <w:p>
            <w:pPr>
              <w:spacing w:line="240" w:lineRule="atLeast"/>
              <w:ind w:left="-38"/>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trPr>
        <w:tc>
          <w:tcPr>
            <w:tcW w:w="567" w:type="dxa"/>
            <w:vMerge w:val="restart"/>
            <w:vAlign w:val="center"/>
          </w:tcPr>
          <w:p>
            <w:pPr>
              <w:spacing w:line="240" w:lineRule="atLeast"/>
              <w:ind w:firstLine="28"/>
              <w:jc w:val="center"/>
              <w:rPr>
                <w:rFonts w:ascii="宋体" w:hAnsi="宋体"/>
                <w:sz w:val="21"/>
                <w:szCs w:val="21"/>
              </w:rPr>
            </w:pPr>
            <w:r>
              <w:rPr>
                <w:rFonts w:hint="eastAsia" w:ascii="宋体" w:hAnsi="宋体"/>
                <w:sz w:val="21"/>
                <w:szCs w:val="21"/>
              </w:rPr>
              <w:t>3</w:t>
            </w:r>
          </w:p>
        </w:tc>
        <w:tc>
          <w:tcPr>
            <w:tcW w:w="1276" w:type="dxa"/>
            <w:vMerge w:val="restart"/>
            <w:vAlign w:val="center"/>
          </w:tcPr>
          <w:p>
            <w:pPr>
              <w:spacing w:line="240" w:lineRule="atLeast"/>
              <w:ind w:firstLine="28"/>
              <w:jc w:val="center"/>
              <w:rPr>
                <w:rFonts w:ascii="宋体" w:hAnsi="宋体"/>
                <w:sz w:val="21"/>
                <w:szCs w:val="21"/>
              </w:rPr>
            </w:pPr>
            <w:r>
              <w:rPr>
                <w:rFonts w:hint="eastAsia" w:ascii="宋体" w:hAnsi="宋体"/>
                <w:sz w:val="21"/>
                <w:szCs w:val="21"/>
              </w:rPr>
              <w:t>商务部分</w:t>
            </w:r>
          </w:p>
          <w:p>
            <w:pPr>
              <w:spacing w:line="240" w:lineRule="atLeast"/>
              <w:ind w:firstLine="28"/>
              <w:jc w:val="center"/>
              <w:rPr>
                <w:rFonts w:ascii="宋体" w:hAnsi="宋体"/>
                <w:sz w:val="21"/>
                <w:szCs w:val="21"/>
              </w:rPr>
            </w:pPr>
            <w:r>
              <w:rPr>
                <w:rFonts w:hint="eastAsia" w:ascii="宋体" w:hAnsi="宋体"/>
                <w:sz w:val="21"/>
                <w:szCs w:val="21"/>
              </w:rPr>
              <w:t>（</w:t>
            </w:r>
            <w:r>
              <w:rPr>
                <w:rFonts w:ascii="宋体" w:hAnsi="宋体"/>
                <w:sz w:val="21"/>
                <w:szCs w:val="21"/>
              </w:rPr>
              <w:t>35</w:t>
            </w:r>
            <w:r>
              <w:rPr>
                <w:rFonts w:hint="eastAsia" w:ascii="宋体" w:hAnsi="宋体"/>
                <w:sz w:val="21"/>
                <w:szCs w:val="21"/>
              </w:rPr>
              <w:t>%）</w:t>
            </w:r>
          </w:p>
        </w:tc>
        <w:tc>
          <w:tcPr>
            <w:tcW w:w="1276" w:type="dxa"/>
            <w:vAlign w:val="center"/>
          </w:tcPr>
          <w:p>
            <w:pPr>
              <w:spacing w:line="240" w:lineRule="atLeast"/>
              <w:jc w:val="center"/>
              <w:rPr>
                <w:rFonts w:ascii="宋体" w:hAnsi="宋体"/>
                <w:sz w:val="21"/>
                <w:szCs w:val="21"/>
              </w:rPr>
            </w:pPr>
            <w:r>
              <w:rPr>
                <w:rFonts w:hint="eastAsia" w:ascii="宋体" w:hAnsi="宋体"/>
                <w:sz w:val="21"/>
                <w:szCs w:val="21"/>
              </w:rPr>
              <w:t>业绩</w:t>
            </w:r>
          </w:p>
          <w:p>
            <w:pPr>
              <w:spacing w:line="240" w:lineRule="atLeast"/>
              <w:ind w:firstLine="28"/>
              <w:jc w:val="center"/>
              <w:rPr>
                <w:rFonts w:ascii="宋体" w:hAnsi="宋体"/>
                <w:sz w:val="21"/>
                <w:szCs w:val="21"/>
              </w:rPr>
            </w:pPr>
            <w:r>
              <w:rPr>
                <w:rFonts w:hint="eastAsia" w:ascii="宋体" w:hAnsi="宋体"/>
                <w:sz w:val="21"/>
                <w:szCs w:val="21"/>
              </w:rPr>
              <w:t>（15分）</w:t>
            </w:r>
          </w:p>
        </w:tc>
        <w:tc>
          <w:tcPr>
            <w:tcW w:w="4394" w:type="dxa"/>
            <w:vAlign w:val="center"/>
          </w:tcPr>
          <w:p>
            <w:pPr>
              <w:spacing w:line="240" w:lineRule="atLeast"/>
              <w:rPr>
                <w:rFonts w:ascii="宋体" w:hAnsi="宋体"/>
                <w:sz w:val="21"/>
                <w:szCs w:val="21"/>
              </w:rPr>
            </w:pPr>
            <w:r>
              <w:rPr>
                <w:rFonts w:hint="eastAsia" w:ascii="宋体" w:hAnsi="宋体"/>
                <w:sz w:val="21"/>
                <w:szCs w:val="21"/>
              </w:rPr>
              <w:t>201</w:t>
            </w:r>
            <w:r>
              <w:rPr>
                <w:rFonts w:ascii="宋体" w:hAnsi="宋体"/>
                <w:sz w:val="21"/>
                <w:szCs w:val="21"/>
              </w:rPr>
              <w:t>8</w:t>
            </w:r>
            <w:r>
              <w:rPr>
                <w:rFonts w:hint="eastAsia" w:ascii="宋体" w:hAnsi="宋体"/>
                <w:sz w:val="21"/>
                <w:szCs w:val="21"/>
              </w:rPr>
              <w:t>年1月1日至响应文件递交截止时间，供应商承接过产业类规划或行业研究或行业调查项目业绩的，1项得</w:t>
            </w:r>
            <w:r>
              <w:rPr>
                <w:rFonts w:ascii="宋体" w:hAnsi="宋体"/>
                <w:sz w:val="21"/>
                <w:szCs w:val="21"/>
              </w:rPr>
              <w:t>5</w:t>
            </w:r>
            <w:r>
              <w:rPr>
                <w:rFonts w:hint="eastAsia" w:ascii="宋体" w:hAnsi="宋体"/>
                <w:sz w:val="21"/>
                <w:szCs w:val="21"/>
              </w:rPr>
              <w:t>分，满分1</w:t>
            </w:r>
            <w:r>
              <w:rPr>
                <w:rFonts w:ascii="宋体" w:hAnsi="宋体"/>
                <w:sz w:val="21"/>
                <w:szCs w:val="21"/>
              </w:rPr>
              <w:t>5</w:t>
            </w:r>
            <w:r>
              <w:rPr>
                <w:rFonts w:hint="eastAsia" w:ascii="宋体" w:hAnsi="宋体"/>
                <w:sz w:val="21"/>
                <w:szCs w:val="21"/>
              </w:rPr>
              <w:t>分。</w:t>
            </w:r>
          </w:p>
        </w:tc>
        <w:tc>
          <w:tcPr>
            <w:tcW w:w="1985" w:type="dxa"/>
            <w:vAlign w:val="center"/>
          </w:tcPr>
          <w:p>
            <w:pPr>
              <w:spacing w:line="240" w:lineRule="atLeast"/>
              <w:ind w:left="-38"/>
              <w:rPr>
                <w:rFonts w:ascii="宋体" w:hAnsi="宋体"/>
                <w:sz w:val="21"/>
                <w:szCs w:val="21"/>
              </w:rPr>
            </w:pPr>
            <w:r>
              <w:rPr>
                <w:rFonts w:hint="eastAsia" w:ascii="宋体" w:hAnsi="宋体"/>
                <w:sz w:val="21"/>
                <w:szCs w:val="21"/>
              </w:rPr>
              <w:t>提供合同复印件，加盖供应商公章。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567" w:type="dxa"/>
            <w:vMerge w:val="continue"/>
            <w:vAlign w:val="center"/>
          </w:tcPr>
          <w:p>
            <w:pPr>
              <w:spacing w:line="240" w:lineRule="atLeast"/>
              <w:ind w:firstLine="28"/>
              <w:jc w:val="center"/>
              <w:rPr>
                <w:rFonts w:ascii="宋体" w:hAnsi="宋体"/>
                <w:sz w:val="21"/>
                <w:szCs w:val="21"/>
              </w:rPr>
            </w:pPr>
          </w:p>
        </w:tc>
        <w:tc>
          <w:tcPr>
            <w:tcW w:w="1276" w:type="dxa"/>
            <w:vMerge w:val="continue"/>
            <w:vAlign w:val="center"/>
          </w:tcPr>
          <w:p>
            <w:pPr>
              <w:spacing w:line="240" w:lineRule="atLeast"/>
              <w:ind w:firstLine="28"/>
              <w:jc w:val="center"/>
              <w:rPr>
                <w:rFonts w:ascii="宋体" w:hAnsi="宋体"/>
                <w:sz w:val="21"/>
                <w:szCs w:val="21"/>
              </w:rPr>
            </w:pPr>
          </w:p>
        </w:tc>
        <w:tc>
          <w:tcPr>
            <w:tcW w:w="1276" w:type="dxa"/>
            <w:vAlign w:val="center"/>
          </w:tcPr>
          <w:p>
            <w:pPr>
              <w:spacing w:line="240" w:lineRule="atLeast"/>
              <w:jc w:val="center"/>
              <w:rPr>
                <w:rFonts w:ascii="宋体" w:hAnsi="宋体"/>
                <w:sz w:val="21"/>
                <w:szCs w:val="21"/>
              </w:rPr>
            </w:pPr>
            <w:r>
              <w:rPr>
                <w:rFonts w:hint="eastAsia" w:ascii="宋体" w:hAnsi="宋体"/>
                <w:sz w:val="21"/>
                <w:szCs w:val="21"/>
              </w:rPr>
              <w:t>项目团队</w:t>
            </w:r>
          </w:p>
          <w:p>
            <w:pPr>
              <w:spacing w:line="240" w:lineRule="atLeast"/>
              <w:jc w:val="center"/>
              <w:rPr>
                <w:rFonts w:ascii="宋体" w:hAnsi="宋体"/>
                <w:sz w:val="21"/>
                <w:szCs w:val="21"/>
              </w:rPr>
            </w:pPr>
            <w:r>
              <w:rPr>
                <w:rFonts w:hint="eastAsia" w:ascii="宋体" w:hAnsi="宋体"/>
                <w:sz w:val="21"/>
                <w:szCs w:val="21"/>
              </w:rPr>
              <w:t>（</w:t>
            </w:r>
            <w:r>
              <w:rPr>
                <w:rFonts w:ascii="宋体" w:hAnsi="宋体"/>
                <w:sz w:val="21"/>
                <w:szCs w:val="21"/>
              </w:rPr>
              <w:t>15</w:t>
            </w:r>
            <w:r>
              <w:rPr>
                <w:rFonts w:hint="eastAsia" w:ascii="宋体" w:hAnsi="宋体"/>
                <w:sz w:val="21"/>
                <w:szCs w:val="21"/>
              </w:rPr>
              <w:t>分）</w:t>
            </w:r>
          </w:p>
        </w:tc>
        <w:tc>
          <w:tcPr>
            <w:tcW w:w="4394" w:type="dxa"/>
            <w:vAlign w:val="center"/>
          </w:tcPr>
          <w:p>
            <w:pPr>
              <w:spacing w:line="240" w:lineRule="atLeast"/>
              <w:rPr>
                <w:rFonts w:ascii="宋体" w:hAnsi="宋体"/>
                <w:sz w:val="21"/>
                <w:szCs w:val="21"/>
              </w:rPr>
            </w:pPr>
            <w:r>
              <w:rPr>
                <w:rFonts w:hint="eastAsia" w:ascii="宋体" w:hAnsi="宋体"/>
                <w:sz w:val="21"/>
                <w:szCs w:val="21"/>
              </w:rPr>
              <w:t>1</w:t>
            </w:r>
            <w:r>
              <w:rPr>
                <w:rFonts w:ascii="宋体" w:hAnsi="宋体"/>
                <w:sz w:val="21"/>
                <w:szCs w:val="21"/>
              </w:rPr>
              <w:t>.</w:t>
            </w:r>
            <w:r>
              <w:rPr>
                <w:rFonts w:hint="eastAsia" w:ascii="宋体" w:hAnsi="宋体"/>
                <w:sz w:val="21"/>
                <w:szCs w:val="21"/>
              </w:rPr>
              <w:t>具备新闻类副高级及以上职称的，1人得</w:t>
            </w:r>
            <w:r>
              <w:rPr>
                <w:rFonts w:ascii="宋体" w:hAnsi="宋体"/>
                <w:sz w:val="21"/>
                <w:szCs w:val="21"/>
              </w:rPr>
              <w:t>3</w:t>
            </w:r>
            <w:r>
              <w:rPr>
                <w:rFonts w:hint="eastAsia" w:ascii="宋体" w:hAnsi="宋体"/>
                <w:sz w:val="21"/>
                <w:szCs w:val="21"/>
              </w:rPr>
              <w:t>分，满分</w:t>
            </w:r>
            <w:r>
              <w:rPr>
                <w:rFonts w:ascii="宋体" w:hAnsi="宋体"/>
                <w:sz w:val="21"/>
                <w:szCs w:val="21"/>
              </w:rPr>
              <w:t>6</w:t>
            </w:r>
            <w:r>
              <w:rPr>
                <w:rFonts w:hint="eastAsia" w:ascii="宋体" w:hAnsi="宋体"/>
                <w:sz w:val="21"/>
                <w:szCs w:val="21"/>
              </w:rPr>
              <w:t>分；</w:t>
            </w:r>
          </w:p>
          <w:p>
            <w:pPr>
              <w:spacing w:line="240" w:lineRule="atLeast"/>
              <w:rPr>
                <w:rFonts w:ascii="宋体" w:hAnsi="宋体"/>
                <w:sz w:val="21"/>
                <w:szCs w:val="21"/>
              </w:rPr>
            </w:pPr>
            <w:r>
              <w:rPr>
                <w:rFonts w:ascii="宋体" w:hAnsi="宋体"/>
                <w:sz w:val="21"/>
                <w:szCs w:val="21"/>
              </w:rPr>
              <w:t>2.</w:t>
            </w:r>
            <w:r>
              <w:rPr>
                <w:rFonts w:hint="eastAsia" w:ascii="宋体" w:hAnsi="宋体"/>
                <w:sz w:val="21"/>
                <w:szCs w:val="21"/>
              </w:rPr>
              <w:t>具备出版专业技术人员职业资格证书的，1人得2分，满分4分；</w:t>
            </w:r>
          </w:p>
          <w:p>
            <w:pPr>
              <w:spacing w:line="240" w:lineRule="atLeast"/>
            </w:pPr>
            <w:r>
              <w:rPr>
                <w:rFonts w:hint="eastAsia" w:ascii="宋体" w:hAnsi="宋体"/>
                <w:sz w:val="21"/>
                <w:szCs w:val="21"/>
              </w:rPr>
              <w:t>3</w:t>
            </w:r>
            <w:r>
              <w:rPr>
                <w:rFonts w:ascii="宋体" w:hAnsi="宋体"/>
                <w:sz w:val="21"/>
                <w:szCs w:val="21"/>
              </w:rPr>
              <w:t>.</w:t>
            </w:r>
            <w:r>
              <w:rPr>
                <w:rFonts w:hint="eastAsia" w:ascii="宋体" w:hAnsi="宋体"/>
                <w:sz w:val="21"/>
                <w:szCs w:val="21"/>
              </w:rPr>
              <w:t>具备记者证的，1人得</w:t>
            </w:r>
            <w:r>
              <w:rPr>
                <w:rFonts w:ascii="宋体" w:hAnsi="宋体"/>
                <w:sz w:val="21"/>
                <w:szCs w:val="21"/>
              </w:rPr>
              <w:t>1</w:t>
            </w:r>
            <w:r>
              <w:rPr>
                <w:rFonts w:hint="eastAsia" w:ascii="宋体" w:hAnsi="宋体"/>
                <w:sz w:val="21"/>
                <w:szCs w:val="21"/>
              </w:rPr>
              <w:t>分，满分</w:t>
            </w:r>
            <w:r>
              <w:rPr>
                <w:rFonts w:ascii="宋体" w:hAnsi="宋体"/>
                <w:sz w:val="21"/>
                <w:szCs w:val="21"/>
              </w:rPr>
              <w:t>5</w:t>
            </w:r>
            <w:r>
              <w:rPr>
                <w:rFonts w:hint="eastAsia" w:ascii="宋体" w:hAnsi="宋体"/>
                <w:sz w:val="21"/>
                <w:szCs w:val="21"/>
              </w:rPr>
              <w:t>分。</w:t>
            </w:r>
          </w:p>
        </w:tc>
        <w:tc>
          <w:tcPr>
            <w:tcW w:w="1985" w:type="dxa"/>
            <w:vAlign w:val="center"/>
          </w:tcPr>
          <w:p>
            <w:pPr>
              <w:spacing w:line="240" w:lineRule="atLeast"/>
              <w:ind w:left="-38"/>
              <w:rPr>
                <w:rFonts w:ascii="宋体" w:hAnsi="宋体"/>
                <w:sz w:val="21"/>
                <w:szCs w:val="21"/>
              </w:rPr>
            </w:pPr>
            <w:r>
              <w:rPr>
                <w:rFonts w:hint="eastAsia" w:ascii="宋体" w:hAnsi="宋体"/>
                <w:sz w:val="21"/>
                <w:szCs w:val="21"/>
              </w:rPr>
              <w:t>项目团队须是供应商在职员工，提供证书复印件、供应商为其购买的社保证明复印件，加盖供应商公章。</w:t>
            </w:r>
          </w:p>
          <w:p>
            <w:pPr>
              <w:spacing w:line="240" w:lineRule="atLeast"/>
              <w:ind w:left="-38"/>
              <w:rPr>
                <w:b/>
                <w:bCs/>
              </w:rPr>
            </w:pPr>
            <w:r>
              <w:rPr>
                <w:rFonts w:hint="eastAsia" w:ascii="宋体" w:hAnsi="宋体"/>
                <w:b/>
                <w:bCs/>
                <w:sz w:val="21"/>
                <w:szCs w:val="21"/>
              </w:rPr>
              <w:t>同一人员具备多项证书不重复得分。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567" w:type="dxa"/>
            <w:vMerge w:val="continue"/>
            <w:vAlign w:val="center"/>
          </w:tcPr>
          <w:p>
            <w:pPr>
              <w:spacing w:line="240" w:lineRule="atLeast"/>
              <w:ind w:firstLine="28"/>
              <w:jc w:val="center"/>
              <w:rPr>
                <w:rFonts w:ascii="宋体" w:hAnsi="宋体"/>
                <w:sz w:val="21"/>
                <w:szCs w:val="21"/>
              </w:rPr>
            </w:pPr>
          </w:p>
        </w:tc>
        <w:tc>
          <w:tcPr>
            <w:tcW w:w="1276" w:type="dxa"/>
            <w:vMerge w:val="continue"/>
            <w:vAlign w:val="center"/>
          </w:tcPr>
          <w:p>
            <w:pPr>
              <w:spacing w:line="240" w:lineRule="atLeast"/>
              <w:ind w:firstLine="28"/>
              <w:jc w:val="center"/>
              <w:rPr>
                <w:rFonts w:ascii="宋体" w:hAnsi="宋体"/>
                <w:sz w:val="21"/>
                <w:szCs w:val="21"/>
              </w:rPr>
            </w:pPr>
          </w:p>
        </w:tc>
        <w:tc>
          <w:tcPr>
            <w:tcW w:w="1276" w:type="dxa"/>
            <w:vAlign w:val="center"/>
          </w:tcPr>
          <w:p>
            <w:pPr>
              <w:spacing w:line="240" w:lineRule="atLeast"/>
              <w:jc w:val="center"/>
              <w:rPr>
                <w:rFonts w:ascii="宋体" w:hAnsi="宋体"/>
                <w:sz w:val="21"/>
                <w:szCs w:val="21"/>
              </w:rPr>
            </w:pPr>
            <w:r>
              <w:rPr>
                <w:rFonts w:hint="eastAsia" w:ascii="宋体" w:hAnsi="宋体"/>
                <w:sz w:val="21"/>
                <w:szCs w:val="21"/>
              </w:rPr>
              <w:t>企业荣誉</w:t>
            </w:r>
          </w:p>
          <w:p>
            <w:pPr>
              <w:spacing w:line="240" w:lineRule="atLeast"/>
              <w:jc w:val="center"/>
              <w:rPr>
                <w:rFonts w:ascii="宋体" w:hAnsi="宋体"/>
                <w:sz w:val="21"/>
                <w:szCs w:val="21"/>
              </w:rPr>
            </w:pPr>
            <w:r>
              <w:rPr>
                <w:rFonts w:hint="eastAsia" w:ascii="宋体" w:hAnsi="宋体"/>
                <w:sz w:val="21"/>
                <w:szCs w:val="21"/>
              </w:rPr>
              <w:t>（5分）</w:t>
            </w:r>
          </w:p>
        </w:tc>
        <w:tc>
          <w:tcPr>
            <w:tcW w:w="4394" w:type="dxa"/>
            <w:vAlign w:val="center"/>
          </w:tcPr>
          <w:p>
            <w:pPr>
              <w:spacing w:line="240" w:lineRule="atLeast"/>
              <w:rPr>
                <w:rFonts w:ascii="宋体" w:hAnsi="宋体"/>
                <w:sz w:val="21"/>
                <w:szCs w:val="21"/>
              </w:rPr>
            </w:pPr>
            <w:r>
              <w:rPr>
                <w:rFonts w:hint="eastAsia" w:ascii="宋体" w:hAnsi="宋体"/>
                <w:sz w:val="21"/>
                <w:szCs w:val="21"/>
              </w:rPr>
              <w:t>201</w:t>
            </w:r>
            <w:r>
              <w:rPr>
                <w:rFonts w:ascii="宋体" w:hAnsi="宋体"/>
                <w:sz w:val="21"/>
                <w:szCs w:val="21"/>
              </w:rPr>
              <w:t>8</w:t>
            </w:r>
            <w:r>
              <w:rPr>
                <w:rFonts w:hint="eastAsia" w:ascii="宋体" w:hAnsi="宋体"/>
                <w:sz w:val="21"/>
                <w:szCs w:val="21"/>
              </w:rPr>
              <w:t>年1月1日至响应文件递交截止时间，供应商或供应商在职员工获得过省级及以上新闻出版类奖项的，1项得2</w:t>
            </w:r>
            <w:r>
              <w:rPr>
                <w:rFonts w:ascii="宋体" w:hAnsi="宋体"/>
                <w:sz w:val="21"/>
                <w:szCs w:val="21"/>
              </w:rPr>
              <w:t>.5</w:t>
            </w:r>
            <w:r>
              <w:rPr>
                <w:rFonts w:hint="eastAsia" w:ascii="宋体" w:hAnsi="宋体"/>
                <w:sz w:val="21"/>
                <w:szCs w:val="21"/>
              </w:rPr>
              <w:t>分，满分5分。</w:t>
            </w:r>
          </w:p>
        </w:tc>
        <w:tc>
          <w:tcPr>
            <w:tcW w:w="1985" w:type="dxa"/>
            <w:vAlign w:val="center"/>
          </w:tcPr>
          <w:p>
            <w:pPr>
              <w:spacing w:line="240" w:lineRule="atLeast"/>
              <w:ind w:left="-38"/>
              <w:rPr>
                <w:rFonts w:ascii="宋体" w:hAnsi="宋体"/>
                <w:sz w:val="21"/>
                <w:szCs w:val="21"/>
              </w:rPr>
            </w:pPr>
            <w:r>
              <w:rPr>
                <w:rFonts w:hint="eastAsia" w:ascii="宋体" w:hAnsi="宋体"/>
                <w:sz w:val="21"/>
                <w:szCs w:val="21"/>
              </w:rPr>
              <w:t>提供表彰材料复印件，若为供应商在职员工获得表彰的，还应提供供应商为其缴纳的社保证明复印件。以上证明材料均需加盖供应商公章。</w:t>
            </w:r>
          </w:p>
        </w:tc>
      </w:tr>
    </w:tbl>
    <w:p>
      <w:pPr>
        <w:snapToGrid w:val="0"/>
        <w:spacing w:line="360" w:lineRule="auto"/>
        <w:ind w:firstLine="465"/>
        <w:rPr>
          <w:rFonts w:ascii="宋体" w:hAnsi="宋体"/>
          <w:b/>
          <w:sz w:val="24"/>
          <w:szCs w:val="24"/>
        </w:rPr>
      </w:pPr>
      <w:r>
        <w:rPr>
          <w:rFonts w:hint="eastAsia" w:ascii="宋体" w:hAnsi="宋体"/>
          <w:b/>
          <w:sz w:val="24"/>
          <w:szCs w:val="24"/>
        </w:rPr>
        <w:t>说明：</w:t>
      </w:r>
    </w:p>
    <w:p>
      <w:pPr>
        <w:snapToGrid w:val="0"/>
        <w:spacing w:line="360" w:lineRule="auto"/>
        <w:ind w:firstLine="465"/>
        <w:rPr>
          <w:rFonts w:ascii="宋体" w:hAnsi="宋体"/>
          <w:sz w:val="24"/>
          <w:szCs w:val="24"/>
        </w:rPr>
      </w:pPr>
      <w:r>
        <w:rPr>
          <w:rFonts w:hint="eastAsia" w:ascii="宋体" w:hAnsi="宋体"/>
          <w:sz w:val="24"/>
          <w:szCs w:val="24"/>
        </w:rPr>
        <w:t>（一）评审委员会认为，排名在前面的成交供应商候选人的比选报价或者某些分项报价明显不合理或者低于成本，有可能影响服务质量和不能诚信履约的，将要求其在规定的期限内提供书面文件予以解释说明，并提交相关证明材料；否则，评审委员会可以取消该成交供应商候选人资格，按顺序由排在后一位的成交供应商候选人递补，以此类推。</w:t>
      </w:r>
    </w:p>
    <w:p>
      <w:pPr>
        <w:snapToGrid w:val="0"/>
        <w:spacing w:line="360" w:lineRule="auto"/>
        <w:ind w:firstLine="465"/>
        <w:rPr>
          <w:rFonts w:ascii="宋体" w:hAnsi="宋体"/>
          <w:sz w:val="24"/>
          <w:szCs w:val="24"/>
        </w:rPr>
      </w:pPr>
      <w:r>
        <w:rPr>
          <w:rFonts w:hint="eastAsia" w:ascii="宋体" w:hAnsi="宋体"/>
          <w:sz w:val="24"/>
          <w:szCs w:val="24"/>
        </w:rPr>
        <w:t>（二）关于小微企业报价扣除比例说明</w:t>
      </w:r>
    </w:p>
    <w:p>
      <w:pPr>
        <w:snapToGrid w:val="0"/>
        <w:spacing w:line="360" w:lineRule="auto"/>
        <w:ind w:firstLine="465"/>
        <w:rPr>
          <w:rFonts w:ascii="宋体" w:hAnsi="宋体"/>
          <w:sz w:val="24"/>
          <w:szCs w:val="24"/>
        </w:rPr>
      </w:pPr>
      <w:r>
        <w:rPr>
          <w:rFonts w:hint="eastAsia" w:ascii="宋体" w:hAnsi="宋体"/>
          <w:sz w:val="24"/>
          <w:szCs w:val="24"/>
        </w:rPr>
        <w:t>1.按《关于印发&lt;政府采购促进中小企业发展管理办法&gt;的通知》（财库〔2020〕46号）之规定，在政府采购活动中，供应商提供的货物、工程或者服务符合下列情形的，享受本办法规定的中小企业扶持政策：</w:t>
      </w:r>
    </w:p>
    <w:p>
      <w:pPr>
        <w:snapToGrid w:val="0"/>
        <w:spacing w:line="360" w:lineRule="auto"/>
        <w:ind w:firstLine="465"/>
        <w:rPr>
          <w:rFonts w:ascii="宋体" w:hAnsi="宋体"/>
          <w:sz w:val="24"/>
          <w:szCs w:val="24"/>
        </w:rPr>
      </w:pPr>
      <w:r>
        <w:rPr>
          <w:rFonts w:hint="eastAsia" w:ascii="宋体" w:hAnsi="宋体"/>
          <w:sz w:val="24"/>
          <w:szCs w:val="24"/>
        </w:rPr>
        <w:t>（1）在货物采购项目中，货物由中小企业制造，即货物由中小企业生产且使用该中小企业商号或者注册商标。在货物采购项目中，供应商提供的货物既有中小企业制造货物，也有大型企业制造货物的，不享受本办法规定的中小企业扶持政策；</w:t>
      </w:r>
    </w:p>
    <w:p>
      <w:pPr>
        <w:snapToGrid w:val="0"/>
        <w:spacing w:line="360" w:lineRule="auto"/>
        <w:ind w:firstLine="465"/>
        <w:rPr>
          <w:rFonts w:ascii="宋体" w:hAnsi="宋体"/>
          <w:sz w:val="24"/>
          <w:szCs w:val="24"/>
        </w:rPr>
      </w:pPr>
      <w:r>
        <w:rPr>
          <w:rFonts w:hint="eastAsia" w:ascii="宋体" w:hAnsi="宋体"/>
          <w:sz w:val="24"/>
          <w:szCs w:val="24"/>
        </w:rPr>
        <w:t>（2）在工程采购项目中，工程由中小企业承建，即工程施工单位为中小企业；</w:t>
      </w:r>
    </w:p>
    <w:p>
      <w:pPr>
        <w:snapToGrid w:val="0"/>
        <w:spacing w:line="360" w:lineRule="auto"/>
        <w:ind w:firstLine="465"/>
        <w:rPr>
          <w:rFonts w:ascii="宋体" w:hAnsi="宋体"/>
          <w:sz w:val="24"/>
          <w:szCs w:val="24"/>
        </w:rPr>
      </w:pPr>
      <w:r>
        <w:rPr>
          <w:rFonts w:hint="eastAsia" w:ascii="宋体" w:hAnsi="宋体"/>
          <w:sz w:val="24"/>
          <w:szCs w:val="24"/>
        </w:rPr>
        <w:t>（3）在服务采购项目中，服务由中小企业承接，即提供服务的人员为中小企业依照《中华人民共和国民法典》订立劳动合同的从业人员。</w:t>
      </w:r>
    </w:p>
    <w:p>
      <w:pPr>
        <w:snapToGrid w:val="0"/>
        <w:spacing w:line="360" w:lineRule="auto"/>
        <w:ind w:firstLine="465"/>
        <w:rPr>
          <w:rFonts w:ascii="宋体" w:hAnsi="宋体"/>
          <w:sz w:val="24"/>
          <w:szCs w:val="24"/>
        </w:rPr>
      </w:pPr>
      <w:r>
        <w:rPr>
          <w:rFonts w:hint="eastAsia" w:ascii="宋体" w:hAnsi="宋体"/>
          <w:sz w:val="24"/>
          <w:szCs w:val="24"/>
        </w:rPr>
        <w:t>2.对小微型企业给予</w:t>
      </w:r>
      <w:r>
        <w:rPr>
          <w:rFonts w:hint="eastAsia" w:ascii="宋体" w:hAnsi="宋体"/>
          <w:sz w:val="24"/>
          <w:szCs w:val="24"/>
          <w:u w:val="single"/>
        </w:rPr>
        <w:t xml:space="preserve"> </w:t>
      </w:r>
      <w:r>
        <w:rPr>
          <w:rFonts w:ascii="宋体" w:hAnsi="宋体"/>
          <w:b/>
          <w:bCs/>
          <w:sz w:val="24"/>
          <w:szCs w:val="24"/>
          <w:u w:val="single"/>
        </w:rPr>
        <w:t>10</w:t>
      </w:r>
      <w:r>
        <w:rPr>
          <w:rFonts w:hint="eastAsia" w:ascii="宋体" w:hAnsi="宋体"/>
          <w:b/>
          <w:bCs/>
          <w:sz w:val="24"/>
          <w:szCs w:val="24"/>
          <w:u w:val="single"/>
        </w:rPr>
        <w:t xml:space="preserve"> %</w:t>
      </w:r>
      <w:r>
        <w:rPr>
          <w:rFonts w:hint="eastAsia" w:ascii="宋体" w:hAnsi="宋体"/>
          <w:sz w:val="24"/>
          <w:szCs w:val="24"/>
        </w:rPr>
        <w:t>的扣除，以扣除后的报价参与评审。</w:t>
      </w:r>
    </w:p>
    <w:p>
      <w:pPr>
        <w:snapToGrid w:val="0"/>
        <w:spacing w:line="360" w:lineRule="auto"/>
        <w:ind w:firstLine="465"/>
        <w:rPr>
          <w:rFonts w:ascii="宋体" w:hAnsi="宋体"/>
          <w:sz w:val="24"/>
          <w:szCs w:val="24"/>
        </w:rPr>
      </w:pPr>
      <w:r>
        <w:rPr>
          <w:rFonts w:hint="eastAsia" w:ascii="宋体" w:hAnsi="宋体"/>
          <w:sz w:val="24"/>
          <w:szCs w:val="24"/>
        </w:rPr>
        <w:t>3.监狱企业、残疾人福利性单位视同小型、微型企业。</w:t>
      </w:r>
    </w:p>
    <w:p>
      <w:pPr>
        <w:pStyle w:val="6"/>
        <w:spacing w:before="0" w:after="0" w:line="360" w:lineRule="auto"/>
        <w:ind w:firstLine="482" w:firstLineChars="200"/>
        <w:rPr>
          <w:rFonts w:ascii="宋体" w:hAnsi="宋体"/>
          <w:sz w:val="24"/>
          <w:szCs w:val="24"/>
        </w:rPr>
      </w:pPr>
      <w:bookmarkStart w:id="76" w:name="_Toc152145319"/>
      <w:r>
        <w:rPr>
          <w:rFonts w:hint="eastAsia" w:ascii="宋体" w:hAnsi="宋体"/>
          <w:sz w:val="24"/>
          <w:szCs w:val="24"/>
        </w:rPr>
        <w:t>三、无效响应</w:t>
      </w:r>
      <w:bookmarkEnd w:id="76"/>
    </w:p>
    <w:p>
      <w:pPr>
        <w:snapToGrid w:val="0"/>
        <w:spacing w:line="360" w:lineRule="auto"/>
        <w:ind w:firstLine="465"/>
        <w:rPr>
          <w:rFonts w:ascii="宋体" w:hAnsi="宋体"/>
          <w:sz w:val="24"/>
          <w:szCs w:val="24"/>
        </w:rPr>
      </w:pPr>
      <w:r>
        <w:rPr>
          <w:rFonts w:hint="eastAsia" w:ascii="宋体" w:hAnsi="宋体"/>
          <w:sz w:val="24"/>
          <w:szCs w:val="24"/>
        </w:rPr>
        <w:t>供应商发生以下条款情况之一者，视为无效响应：</w:t>
      </w:r>
    </w:p>
    <w:p>
      <w:pPr>
        <w:snapToGrid w:val="0"/>
        <w:spacing w:line="360" w:lineRule="auto"/>
        <w:ind w:firstLine="465"/>
        <w:rPr>
          <w:rFonts w:ascii="宋体" w:hAnsi="宋体"/>
          <w:sz w:val="24"/>
          <w:szCs w:val="24"/>
        </w:rPr>
      </w:pPr>
      <w:r>
        <w:rPr>
          <w:rFonts w:hint="eastAsia" w:ascii="宋体" w:hAnsi="宋体"/>
          <w:sz w:val="24"/>
          <w:szCs w:val="24"/>
        </w:rPr>
        <w:t>（一）供应商不符合规定的基本资格条件或特定资格条件的；</w:t>
      </w:r>
    </w:p>
    <w:p>
      <w:pPr>
        <w:snapToGrid w:val="0"/>
        <w:spacing w:line="360" w:lineRule="auto"/>
        <w:ind w:firstLine="465"/>
        <w:rPr>
          <w:rFonts w:ascii="宋体" w:hAnsi="宋体"/>
          <w:sz w:val="24"/>
          <w:szCs w:val="24"/>
        </w:rPr>
      </w:pPr>
      <w:r>
        <w:rPr>
          <w:rFonts w:hint="eastAsia" w:ascii="宋体" w:hAnsi="宋体"/>
          <w:sz w:val="24"/>
          <w:szCs w:val="24"/>
        </w:rPr>
        <w:t>（二）供应商的法定代表人或其授权代表未参加比选；</w:t>
      </w:r>
    </w:p>
    <w:p>
      <w:pPr>
        <w:snapToGrid w:val="0"/>
        <w:spacing w:line="360" w:lineRule="auto"/>
        <w:ind w:firstLine="465"/>
        <w:rPr>
          <w:rFonts w:ascii="宋体" w:hAnsi="宋体"/>
          <w:sz w:val="24"/>
          <w:szCs w:val="24"/>
        </w:rPr>
      </w:pPr>
      <w:r>
        <w:rPr>
          <w:rFonts w:hint="eastAsia" w:ascii="宋体" w:hAnsi="宋体"/>
          <w:sz w:val="24"/>
          <w:szCs w:val="24"/>
        </w:rPr>
        <w:t>（三）供应商未按照竞争性比选文件的要求缴纳比选保证金；</w:t>
      </w:r>
    </w:p>
    <w:p>
      <w:pPr>
        <w:snapToGrid w:val="0"/>
        <w:spacing w:line="360" w:lineRule="auto"/>
        <w:ind w:firstLine="465"/>
        <w:rPr>
          <w:rFonts w:ascii="宋体" w:hAnsi="宋体"/>
          <w:sz w:val="24"/>
          <w:szCs w:val="24"/>
        </w:rPr>
      </w:pPr>
      <w:r>
        <w:rPr>
          <w:rFonts w:hint="eastAsia" w:ascii="宋体" w:hAnsi="宋体"/>
          <w:sz w:val="24"/>
          <w:szCs w:val="24"/>
        </w:rPr>
        <w:t>（四）供应商所提交的响应文件不按第七篇“响应文件编制要求”规定签字、盖章；</w:t>
      </w:r>
    </w:p>
    <w:p>
      <w:pPr>
        <w:snapToGrid w:val="0"/>
        <w:spacing w:line="360" w:lineRule="auto"/>
        <w:ind w:firstLine="465"/>
        <w:rPr>
          <w:rFonts w:ascii="宋体" w:hAnsi="宋体"/>
          <w:sz w:val="24"/>
          <w:szCs w:val="24"/>
        </w:rPr>
      </w:pPr>
      <w:r>
        <w:rPr>
          <w:rFonts w:hint="eastAsia" w:ascii="宋体" w:hAnsi="宋体"/>
          <w:sz w:val="24"/>
          <w:szCs w:val="24"/>
        </w:rPr>
        <w:t>（五）供应商的报价超过采购预算金额或最高限价的；</w:t>
      </w:r>
    </w:p>
    <w:p>
      <w:pPr>
        <w:snapToGrid w:val="0"/>
        <w:spacing w:line="360" w:lineRule="auto"/>
        <w:ind w:firstLine="465"/>
        <w:rPr>
          <w:rFonts w:ascii="宋体" w:hAnsi="宋体"/>
          <w:sz w:val="24"/>
          <w:szCs w:val="24"/>
        </w:rPr>
      </w:pPr>
      <w:r>
        <w:rPr>
          <w:rFonts w:hint="eastAsia" w:ascii="宋体" w:hAnsi="宋体"/>
          <w:sz w:val="24"/>
          <w:szCs w:val="24"/>
        </w:rPr>
        <w:t>（六）单位负责人为同一人或者存在直接控股、管理关系的不同供应商，参加同一合同项下的政府采购活动的；</w:t>
      </w:r>
    </w:p>
    <w:p>
      <w:pPr>
        <w:snapToGrid w:val="0"/>
        <w:spacing w:line="360" w:lineRule="auto"/>
        <w:ind w:firstLine="480" w:firstLineChars="200"/>
        <w:rPr>
          <w:rFonts w:ascii="宋体" w:hAnsi="宋体"/>
          <w:sz w:val="24"/>
          <w:szCs w:val="24"/>
        </w:rPr>
      </w:pPr>
      <w:r>
        <w:rPr>
          <w:rFonts w:hint="eastAsia" w:ascii="宋体" w:hAnsi="宋体"/>
          <w:sz w:val="24"/>
          <w:szCs w:val="24"/>
        </w:rPr>
        <w:t>（七）</w:t>
      </w:r>
      <w:r>
        <w:rPr>
          <w:rFonts w:ascii="宋体" w:hAnsi="宋体"/>
          <w:sz w:val="24"/>
          <w:szCs w:val="24"/>
        </w:rPr>
        <w:t>为采购项目提供整体设计、规范编制或者项目管理、监理、检测等服务的供应商，再参加</w:t>
      </w:r>
      <w:r>
        <w:rPr>
          <w:rFonts w:hint="eastAsia" w:ascii="宋体" w:hAnsi="宋体"/>
          <w:sz w:val="24"/>
          <w:szCs w:val="24"/>
        </w:rPr>
        <w:t>该采购</w:t>
      </w:r>
      <w:r>
        <w:rPr>
          <w:rFonts w:ascii="宋体" w:hAnsi="宋体"/>
          <w:sz w:val="24"/>
          <w:szCs w:val="24"/>
        </w:rPr>
        <w:t>项目的</w:t>
      </w:r>
      <w:r>
        <w:rPr>
          <w:rFonts w:hint="eastAsia" w:ascii="宋体" w:hAnsi="宋体"/>
          <w:sz w:val="24"/>
          <w:szCs w:val="24"/>
        </w:rPr>
        <w:t>其他</w:t>
      </w:r>
      <w:r>
        <w:rPr>
          <w:rFonts w:ascii="宋体" w:hAnsi="宋体"/>
          <w:sz w:val="24"/>
          <w:szCs w:val="24"/>
        </w:rPr>
        <w:t>采购活动</w:t>
      </w:r>
      <w:r>
        <w:rPr>
          <w:rFonts w:hint="eastAsia" w:ascii="宋体" w:hAnsi="宋体"/>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（八）所提供的产品不符合必须强制执行的国家标准的；</w:t>
      </w:r>
    </w:p>
    <w:p>
      <w:pPr>
        <w:snapToGrid w:val="0"/>
        <w:spacing w:line="360" w:lineRule="auto"/>
        <w:ind w:firstLine="480" w:firstLineChars="200"/>
        <w:rPr>
          <w:rFonts w:ascii="宋体" w:hAnsi="宋体"/>
          <w:sz w:val="24"/>
          <w:szCs w:val="24"/>
        </w:rPr>
      </w:pPr>
      <w:r>
        <w:rPr>
          <w:rFonts w:hint="eastAsia" w:ascii="宋体" w:hAnsi="宋体"/>
          <w:sz w:val="24"/>
          <w:szCs w:val="24"/>
        </w:rPr>
        <w:t>（九）供应商的服务时间、服务质保期及比选有效期不满足竞争性比选文件要求的；</w:t>
      </w:r>
    </w:p>
    <w:p>
      <w:pPr>
        <w:snapToGrid w:val="0"/>
        <w:spacing w:line="360" w:lineRule="auto"/>
        <w:ind w:firstLine="465"/>
        <w:rPr>
          <w:rFonts w:ascii="宋体" w:hAnsi="宋体"/>
          <w:sz w:val="24"/>
          <w:szCs w:val="24"/>
        </w:rPr>
      </w:pPr>
      <w:r>
        <w:rPr>
          <w:rFonts w:hint="eastAsia" w:ascii="宋体" w:hAnsi="宋体"/>
          <w:sz w:val="24"/>
          <w:szCs w:val="24"/>
        </w:rPr>
        <w:t>（十）供应商响应文件内容有与国家现行法律法规相违背的内容，或附有采购人无法接受的条件。</w:t>
      </w:r>
    </w:p>
    <w:p>
      <w:pPr>
        <w:pStyle w:val="6"/>
        <w:spacing w:before="0" w:after="0" w:line="360" w:lineRule="auto"/>
        <w:ind w:firstLine="482" w:firstLineChars="200"/>
        <w:rPr>
          <w:rFonts w:ascii="宋体" w:hAnsi="宋体"/>
          <w:sz w:val="24"/>
          <w:szCs w:val="24"/>
        </w:rPr>
      </w:pPr>
      <w:bookmarkStart w:id="77" w:name="_Toc152145320"/>
      <w:r>
        <w:rPr>
          <w:rFonts w:hint="eastAsia" w:ascii="宋体" w:hAnsi="宋体"/>
          <w:sz w:val="24"/>
          <w:szCs w:val="24"/>
        </w:rPr>
        <w:t>四、</w:t>
      </w:r>
      <w:bookmarkEnd w:id="74"/>
      <w:bookmarkEnd w:id="75"/>
      <w:r>
        <w:rPr>
          <w:rFonts w:hint="eastAsia" w:ascii="宋体" w:hAnsi="宋体"/>
          <w:sz w:val="24"/>
          <w:szCs w:val="24"/>
        </w:rPr>
        <w:t>采购终止</w:t>
      </w:r>
      <w:bookmarkEnd w:id="77"/>
    </w:p>
    <w:p>
      <w:pPr>
        <w:snapToGrid w:val="0"/>
        <w:spacing w:line="360" w:lineRule="auto"/>
        <w:ind w:firstLine="465"/>
        <w:rPr>
          <w:rFonts w:ascii="宋体" w:hAnsi="宋体"/>
          <w:sz w:val="24"/>
          <w:szCs w:val="24"/>
        </w:rPr>
      </w:pPr>
      <w:r>
        <w:rPr>
          <w:rFonts w:hint="eastAsia" w:ascii="宋体" w:hAnsi="宋体"/>
          <w:sz w:val="24"/>
          <w:szCs w:val="24"/>
        </w:rPr>
        <w:t>出现下列情形之一的，采购人或者采购代理机构应当终止竞争性比选采购活动，发布项目终止公告并说明原因，重新开展采购活动：</w:t>
      </w:r>
    </w:p>
    <w:p>
      <w:pPr>
        <w:snapToGrid w:val="0"/>
        <w:spacing w:line="360" w:lineRule="auto"/>
        <w:ind w:firstLine="465"/>
        <w:rPr>
          <w:rFonts w:ascii="宋体" w:hAnsi="宋体"/>
          <w:sz w:val="24"/>
          <w:szCs w:val="24"/>
        </w:rPr>
      </w:pPr>
      <w:r>
        <w:rPr>
          <w:rFonts w:hint="eastAsia" w:ascii="宋体" w:hAnsi="宋体"/>
          <w:sz w:val="24"/>
          <w:szCs w:val="24"/>
        </w:rPr>
        <w:t>（一）因情况变化，不再符合规定的竞争性比选采购方式适用情形的；</w:t>
      </w:r>
    </w:p>
    <w:p>
      <w:pPr>
        <w:snapToGrid w:val="0"/>
        <w:spacing w:line="360" w:lineRule="auto"/>
        <w:ind w:firstLine="465"/>
        <w:rPr>
          <w:rFonts w:ascii="宋体" w:hAnsi="宋体"/>
          <w:sz w:val="24"/>
          <w:szCs w:val="24"/>
        </w:rPr>
        <w:sectPr>
          <w:footerReference r:id="rId8" w:type="default"/>
          <w:footerReference r:id="rId9" w:type="even"/>
          <w:pgSz w:w="11907" w:h="16840"/>
          <w:pgMar w:top="1134" w:right="1191" w:bottom="1134" w:left="1191" w:header="964" w:footer="992" w:gutter="0"/>
          <w:pgNumType w:fmt="numberInDash"/>
          <w:cols w:space="720" w:num="1"/>
          <w:docGrid w:linePitch="312" w:charSpace="0"/>
        </w:sectPr>
      </w:pPr>
      <w:r>
        <w:rPr>
          <w:rFonts w:hint="eastAsia" w:ascii="宋体" w:hAnsi="宋体"/>
          <w:sz w:val="24"/>
          <w:szCs w:val="24"/>
        </w:rPr>
        <w:t>（二）出现影响采购公正的违法、违规行为的。</w:t>
      </w:r>
    </w:p>
    <w:p>
      <w:pPr>
        <w:pStyle w:val="5"/>
        <w:spacing w:line="360" w:lineRule="auto"/>
        <w:jc w:val="center"/>
        <w:rPr>
          <w:rFonts w:ascii="宋体" w:hAnsi="宋体" w:eastAsia="宋体"/>
          <w:sz w:val="36"/>
          <w:szCs w:val="30"/>
        </w:rPr>
      </w:pPr>
      <w:bookmarkStart w:id="78" w:name="_Toc102227313"/>
      <w:bookmarkStart w:id="79" w:name="_Toc152145321"/>
      <w:r>
        <w:rPr>
          <w:rFonts w:hint="eastAsia" w:ascii="宋体" w:hAnsi="宋体" w:eastAsia="宋体"/>
          <w:sz w:val="36"/>
          <w:szCs w:val="30"/>
        </w:rPr>
        <w:t>第五篇  供应商须知</w:t>
      </w:r>
      <w:bookmarkEnd w:id="78"/>
      <w:bookmarkEnd w:id="79"/>
    </w:p>
    <w:p>
      <w:pPr>
        <w:pStyle w:val="6"/>
        <w:spacing w:before="0" w:after="0" w:line="360" w:lineRule="auto"/>
        <w:ind w:firstLine="482" w:firstLineChars="200"/>
        <w:rPr>
          <w:rFonts w:ascii="宋体" w:hAnsi="宋体"/>
          <w:sz w:val="24"/>
          <w:szCs w:val="24"/>
        </w:rPr>
      </w:pPr>
      <w:bookmarkStart w:id="80" w:name="_Toc152145322"/>
      <w:bookmarkStart w:id="81" w:name="_Toc342913389"/>
      <w:r>
        <w:rPr>
          <w:rFonts w:hint="eastAsia" w:ascii="宋体" w:hAnsi="宋体"/>
          <w:sz w:val="24"/>
          <w:szCs w:val="24"/>
        </w:rPr>
        <w:t>一、比选费用</w:t>
      </w:r>
      <w:bookmarkEnd w:id="80"/>
      <w:bookmarkEnd w:id="81"/>
    </w:p>
    <w:p>
      <w:pPr>
        <w:pStyle w:val="199"/>
        <w:spacing w:line="360" w:lineRule="auto"/>
        <w:ind w:firstLine="480" w:firstLineChars="200"/>
        <w:rPr>
          <w:rFonts w:hAnsi="宋体"/>
          <w:sz w:val="24"/>
          <w:szCs w:val="24"/>
        </w:rPr>
      </w:pPr>
      <w:r>
        <w:rPr>
          <w:rFonts w:hint="eastAsia" w:hAnsi="宋体"/>
          <w:sz w:val="24"/>
          <w:szCs w:val="24"/>
        </w:rPr>
        <w:t>参与比选的供应商应承担其编制响应文件与递交响应文件所涉及的一切费用，不论比选结果如何，采购人和采购代理机构在任何情况下无义务也无责任承担这些费用。</w:t>
      </w:r>
    </w:p>
    <w:p>
      <w:pPr>
        <w:pStyle w:val="6"/>
        <w:tabs>
          <w:tab w:val="left" w:pos="2640"/>
        </w:tabs>
        <w:spacing w:before="0" w:after="0" w:line="360" w:lineRule="auto"/>
        <w:ind w:firstLine="482" w:firstLineChars="200"/>
        <w:rPr>
          <w:rFonts w:ascii="宋体" w:hAnsi="宋体"/>
          <w:sz w:val="24"/>
          <w:szCs w:val="24"/>
        </w:rPr>
      </w:pPr>
      <w:bookmarkStart w:id="82" w:name="_Toc342913391"/>
      <w:bookmarkStart w:id="83" w:name="_Toc152145323"/>
      <w:r>
        <w:rPr>
          <w:rFonts w:hint="eastAsia" w:ascii="宋体" w:hAnsi="宋体"/>
          <w:sz w:val="24"/>
          <w:szCs w:val="24"/>
        </w:rPr>
        <w:t>二、竞争性比选文件</w:t>
      </w:r>
      <w:bookmarkEnd w:id="82"/>
      <w:bookmarkEnd w:id="83"/>
    </w:p>
    <w:p>
      <w:pPr>
        <w:snapToGrid w:val="0"/>
        <w:spacing w:line="360" w:lineRule="auto"/>
        <w:ind w:firstLine="480" w:firstLineChars="200"/>
        <w:rPr>
          <w:rFonts w:ascii="宋体" w:hAnsi="宋体"/>
          <w:sz w:val="24"/>
          <w:szCs w:val="24"/>
        </w:rPr>
      </w:pPr>
      <w:r>
        <w:rPr>
          <w:rFonts w:hint="eastAsia" w:ascii="宋体" w:hAnsi="宋体"/>
          <w:sz w:val="24"/>
          <w:szCs w:val="24"/>
        </w:rPr>
        <w:t>（一）竞争性比选文件由采购邀请书；采购服务需求；采购商务需求；比选程序及方法、评审标准、无效响应和采购终止；供应商须知；合同草案条款；响应文件编制要求共七部分组成。</w:t>
      </w:r>
    </w:p>
    <w:p>
      <w:pPr>
        <w:snapToGrid w:val="0"/>
        <w:spacing w:line="360" w:lineRule="auto"/>
        <w:ind w:firstLine="480" w:firstLineChars="200"/>
        <w:rPr>
          <w:rFonts w:ascii="宋体" w:hAnsi="宋体"/>
          <w:sz w:val="24"/>
          <w:szCs w:val="24"/>
        </w:rPr>
      </w:pPr>
      <w:r>
        <w:rPr>
          <w:rFonts w:hint="eastAsia" w:ascii="宋体" w:hAnsi="宋体"/>
          <w:sz w:val="24"/>
          <w:szCs w:val="24"/>
        </w:rPr>
        <w:t>（二）采购人（或采购代理机构）所作的一切有效的书面通知、修改及补充，都是竞争性比选文件不可分割的部分。</w:t>
      </w:r>
    </w:p>
    <w:p>
      <w:pPr>
        <w:snapToGrid w:val="0"/>
        <w:spacing w:line="360" w:lineRule="auto"/>
        <w:ind w:firstLine="480" w:firstLineChars="200"/>
        <w:rPr>
          <w:rFonts w:ascii="宋体" w:hAnsi="宋体"/>
          <w:sz w:val="24"/>
          <w:szCs w:val="24"/>
        </w:rPr>
      </w:pPr>
      <w:r>
        <w:rPr>
          <w:rFonts w:hint="eastAsia" w:ascii="宋体" w:hAnsi="宋体"/>
          <w:sz w:val="24"/>
          <w:szCs w:val="24"/>
        </w:rPr>
        <w:t>（三）竞争性比选文件的解释</w:t>
      </w:r>
    </w:p>
    <w:p>
      <w:pPr>
        <w:spacing w:line="360" w:lineRule="auto"/>
        <w:ind w:firstLine="480" w:firstLineChars="200"/>
        <w:rPr>
          <w:rFonts w:ascii="宋体" w:hAnsi="宋体"/>
          <w:sz w:val="24"/>
          <w:szCs w:val="24"/>
        </w:rPr>
      </w:pPr>
      <w:r>
        <w:rPr>
          <w:rFonts w:hint="eastAsia" w:ascii="宋体" w:hAnsi="宋体"/>
          <w:sz w:val="24"/>
          <w:szCs w:val="24"/>
        </w:rPr>
        <w:t>供应商如对竞争性比选文件有疑问，必须以书面形式在提交响应文件截止时间3个工作日前向采购人（或采购代理机构）要求澄清，采购人（或采购代理机构）可视具体情况做出处理或答复。如供应商未提出疑问，视为完全理解并同意本竞争性比选文件。一经进入比选程序，即视为供应商已详细阅读全部文件资料，完全理解竞争性比选文件所有条款内容并同意放弃对这方面有不明白及误解的权利。</w:t>
      </w:r>
      <w:bookmarkStart w:id="84" w:name="_Toc318159349"/>
      <w:bookmarkStart w:id="85" w:name="_Toc318159160"/>
      <w:bookmarkStart w:id="86" w:name="_Toc318166429"/>
      <w:bookmarkStart w:id="87" w:name="_Toc318159780"/>
    </w:p>
    <w:p>
      <w:pPr>
        <w:spacing w:line="360" w:lineRule="auto"/>
        <w:ind w:firstLine="480" w:firstLineChars="200"/>
        <w:rPr>
          <w:rFonts w:ascii="宋体" w:hAnsi="宋体"/>
          <w:sz w:val="24"/>
          <w:szCs w:val="24"/>
        </w:rPr>
      </w:pPr>
      <w:r>
        <w:rPr>
          <w:rFonts w:hint="eastAsia" w:ascii="宋体" w:hAnsi="宋体"/>
          <w:sz w:val="24"/>
          <w:szCs w:val="24"/>
        </w:rPr>
        <w:t>（四）评审的依据为竞争性比选文件和响应文件（含有效的书面承诺）。评审委员会判断响应文件对竞争性比选文件的响应，仅基于响应文件本身而不靠外部证据。</w:t>
      </w:r>
    </w:p>
    <w:bookmarkEnd w:id="84"/>
    <w:bookmarkEnd w:id="85"/>
    <w:bookmarkEnd w:id="86"/>
    <w:bookmarkEnd w:id="87"/>
    <w:p>
      <w:pPr>
        <w:pStyle w:val="6"/>
        <w:spacing w:before="0" w:after="0" w:line="360" w:lineRule="auto"/>
        <w:ind w:firstLine="482" w:firstLineChars="200"/>
        <w:rPr>
          <w:rFonts w:ascii="宋体" w:hAnsi="宋体"/>
          <w:sz w:val="24"/>
          <w:szCs w:val="24"/>
        </w:rPr>
      </w:pPr>
      <w:bookmarkStart w:id="88" w:name="_Toc102227318"/>
      <w:bookmarkStart w:id="89" w:name="_Toc342913392"/>
      <w:bookmarkStart w:id="90" w:name="_Toc179714297"/>
      <w:bookmarkStart w:id="91" w:name="_Toc152145324"/>
      <w:r>
        <w:rPr>
          <w:rFonts w:hint="eastAsia" w:ascii="宋体" w:hAnsi="宋体"/>
          <w:sz w:val="24"/>
          <w:szCs w:val="24"/>
        </w:rPr>
        <w:t>三、比选要求</w:t>
      </w:r>
      <w:bookmarkEnd w:id="88"/>
      <w:bookmarkEnd w:id="89"/>
      <w:bookmarkEnd w:id="90"/>
      <w:bookmarkEnd w:id="91"/>
    </w:p>
    <w:p>
      <w:pPr>
        <w:spacing w:line="360" w:lineRule="auto"/>
        <w:ind w:firstLine="480" w:firstLineChars="200"/>
        <w:rPr>
          <w:rFonts w:ascii="宋体" w:hAnsi="宋体"/>
          <w:sz w:val="24"/>
          <w:szCs w:val="24"/>
        </w:rPr>
      </w:pPr>
      <w:r>
        <w:rPr>
          <w:rFonts w:hint="eastAsia" w:ascii="宋体" w:hAnsi="宋体"/>
          <w:sz w:val="24"/>
          <w:szCs w:val="24"/>
        </w:rPr>
        <w:t>（一）响应文件</w:t>
      </w:r>
    </w:p>
    <w:p>
      <w:pPr>
        <w:spacing w:line="360" w:lineRule="auto"/>
        <w:ind w:firstLine="480" w:firstLineChars="200"/>
        <w:rPr>
          <w:rFonts w:ascii="宋体" w:hAnsi="宋体"/>
          <w:sz w:val="24"/>
          <w:szCs w:val="24"/>
        </w:rPr>
      </w:pPr>
      <w:r>
        <w:rPr>
          <w:rFonts w:hint="eastAsia" w:ascii="宋体" w:hAnsi="宋体"/>
          <w:sz w:val="24"/>
          <w:szCs w:val="24"/>
        </w:rPr>
        <w:t>1.供应商应当按照竞争性比选文件的要求编制响应文件，并对竞争性比选文件提出的要求和条件作出实质性响应，响应文件原则上采用软面订本，同时应编制完整的页码、目录。</w:t>
      </w:r>
    </w:p>
    <w:p>
      <w:pPr>
        <w:spacing w:line="360" w:lineRule="auto"/>
        <w:ind w:firstLine="480" w:firstLineChars="200"/>
        <w:rPr>
          <w:rFonts w:ascii="宋体" w:hAnsi="宋体"/>
          <w:sz w:val="24"/>
          <w:szCs w:val="24"/>
        </w:rPr>
      </w:pPr>
      <w:r>
        <w:rPr>
          <w:rFonts w:hint="eastAsia" w:ascii="宋体" w:hAnsi="宋体"/>
          <w:sz w:val="24"/>
          <w:szCs w:val="24"/>
        </w:rPr>
        <w:t>2.响应文件组成</w:t>
      </w:r>
    </w:p>
    <w:p>
      <w:pPr>
        <w:spacing w:line="360" w:lineRule="auto"/>
        <w:ind w:firstLine="480" w:firstLineChars="200"/>
        <w:rPr>
          <w:rFonts w:ascii="宋体" w:hAnsi="宋体"/>
          <w:sz w:val="24"/>
          <w:szCs w:val="24"/>
        </w:rPr>
      </w:pPr>
      <w:r>
        <w:rPr>
          <w:rFonts w:hint="eastAsia" w:ascii="宋体" w:hAnsi="宋体"/>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360" w:lineRule="auto"/>
        <w:ind w:firstLine="480" w:firstLineChars="200"/>
        <w:rPr>
          <w:rFonts w:ascii="宋体" w:hAnsi="宋体"/>
          <w:sz w:val="24"/>
          <w:szCs w:val="24"/>
        </w:rPr>
      </w:pPr>
      <w:r>
        <w:rPr>
          <w:rFonts w:hint="eastAsia" w:ascii="宋体" w:hAnsi="宋体"/>
          <w:sz w:val="24"/>
          <w:szCs w:val="24"/>
        </w:rPr>
        <w:t>（二）联合体</w:t>
      </w:r>
    </w:p>
    <w:p>
      <w:pPr>
        <w:spacing w:line="360" w:lineRule="auto"/>
        <w:ind w:firstLine="480" w:firstLineChars="200"/>
        <w:rPr>
          <w:rFonts w:ascii="宋体" w:hAnsi="宋体"/>
          <w:sz w:val="24"/>
          <w:szCs w:val="24"/>
        </w:rPr>
      </w:pPr>
      <w:r>
        <w:rPr>
          <w:rFonts w:hint="eastAsia" w:ascii="宋体" w:hAnsi="宋体"/>
          <w:sz w:val="24"/>
          <w:szCs w:val="24"/>
        </w:rPr>
        <w:t>本项目不接受联合体比选。</w:t>
      </w:r>
    </w:p>
    <w:p>
      <w:pPr>
        <w:spacing w:line="360" w:lineRule="auto"/>
        <w:ind w:firstLine="480" w:firstLineChars="200"/>
        <w:rPr>
          <w:rFonts w:ascii="宋体" w:hAnsi="宋体"/>
          <w:sz w:val="24"/>
          <w:szCs w:val="24"/>
        </w:rPr>
      </w:pPr>
      <w:r>
        <w:rPr>
          <w:rFonts w:hint="eastAsia" w:ascii="宋体" w:hAnsi="宋体"/>
          <w:sz w:val="24"/>
          <w:szCs w:val="24"/>
        </w:rPr>
        <w:t>（三）比选有效期：响应文件及有关承诺文件有效期为提交响应文件截止时间起90天。</w:t>
      </w:r>
    </w:p>
    <w:p>
      <w:pPr>
        <w:spacing w:line="360" w:lineRule="auto"/>
        <w:ind w:firstLine="480" w:firstLineChars="200"/>
        <w:rPr>
          <w:rFonts w:ascii="宋体" w:hAnsi="宋体"/>
          <w:sz w:val="24"/>
          <w:szCs w:val="24"/>
        </w:rPr>
      </w:pPr>
      <w:r>
        <w:rPr>
          <w:rFonts w:hint="eastAsia" w:ascii="宋体" w:hAnsi="宋体"/>
          <w:sz w:val="24"/>
          <w:szCs w:val="24"/>
        </w:rPr>
        <w:t>（四）比选保证金：</w:t>
      </w:r>
    </w:p>
    <w:p>
      <w:pPr>
        <w:spacing w:line="360" w:lineRule="auto"/>
        <w:ind w:firstLine="480" w:firstLineChars="200"/>
        <w:rPr>
          <w:rFonts w:ascii="宋体" w:hAnsi="宋体"/>
          <w:sz w:val="24"/>
          <w:szCs w:val="24"/>
        </w:rPr>
      </w:pPr>
      <w:r>
        <w:rPr>
          <w:rFonts w:hint="eastAsia" w:ascii="宋体" w:hAnsi="宋体"/>
          <w:sz w:val="24"/>
          <w:szCs w:val="24"/>
        </w:rPr>
        <w:t>1.供应商提交保证金金额和方式详见本文件第一篇“五、比选保证金”；</w:t>
      </w:r>
    </w:p>
    <w:p>
      <w:pPr>
        <w:spacing w:line="360" w:lineRule="auto"/>
        <w:ind w:firstLine="480" w:firstLineChars="200"/>
        <w:rPr>
          <w:rFonts w:ascii="宋体" w:hAnsi="宋体"/>
          <w:sz w:val="24"/>
          <w:szCs w:val="24"/>
        </w:rPr>
      </w:pPr>
      <w:r>
        <w:rPr>
          <w:rFonts w:hint="eastAsia" w:ascii="宋体" w:hAnsi="宋体"/>
          <w:sz w:val="24"/>
          <w:szCs w:val="24"/>
        </w:rPr>
        <w:t>2.发生以下情况之一者，比选保证金不予退还：</w:t>
      </w:r>
    </w:p>
    <w:p>
      <w:pPr>
        <w:spacing w:line="360" w:lineRule="auto"/>
        <w:ind w:firstLine="480" w:firstLineChars="200"/>
        <w:rPr>
          <w:rFonts w:ascii="宋体" w:hAnsi="宋体"/>
          <w:sz w:val="24"/>
          <w:szCs w:val="24"/>
        </w:rPr>
      </w:pPr>
      <w:r>
        <w:rPr>
          <w:rFonts w:hint="eastAsia" w:ascii="宋体" w:hAnsi="宋体"/>
          <w:sz w:val="24"/>
          <w:szCs w:val="24"/>
        </w:rPr>
        <w:t>2.1 供应商在提交响应文件截止时间后撤回响应文件的；</w:t>
      </w:r>
    </w:p>
    <w:p>
      <w:pPr>
        <w:spacing w:line="360" w:lineRule="auto"/>
        <w:ind w:firstLine="480" w:firstLineChars="200"/>
        <w:rPr>
          <w:rFonts w:ascii="宋体" w:hAnsi="宋体"/>
          <w:sz w:val="24"/>
          <w:szCs w:val="24"/>
        </w:rPr>
      </w:pPr>
      <w:r>
        <w:rPr>
          <w:rFonts w:hint="eastAsia" w:ascii="宋体" w:hAnsi="宋体"/>
          <w:sz w:val="24"/>
          <w:szCs w:val="24"/>
        </w:rPr>
        <w:t>2.2 供应商在响应文件中提供虚假材料的；</w:t>
      </w:r>
    </w:p>
    <w:p>
      <w:pPr>
        <w:spacing w:line="360" w:lineRule="auto"/>
        <w:ind w:firstLine="480" w:firstLineChars="200"/>
        <w:rPr>
          <w:rFonts w:ascii="宋体" w:hAnsi="宋体"/>
          <w:sz w:val="24"/>
          <w:szCs w:val="24"/>
        </w:rPr>
      </w:pPr>
      <w:r>
        <w:rPr>
          <w:rFonts w:hint="eastAsia" w:ascii="宋体" w:hAnsi="宋体"/>
          <w:sz w:val="24"/>
          <w:szCs w:val="24"/>
        </w:rPr>
        <w:t>2.3 除因不可抗力或竞争性比选文件认可的情形以外，成交供应商不与采购人签订合同的；</w:t>
      </w:r>
    </w:p>
    <w:p>
      <w:pPr>
        <w:spacing w:line="360" w:lineRule="auto"/>
        <w:ind w:firstLine="480" w:firstLineChars="200"/>
        <w:rPr>
          <w:rFonts w:ascii="宋体" w:hAnsi="宋体"/>
          <w:sz w:val="24"/>
          <w:szCs w:val="24"/>
        </w:rPr>
      </w:pPr>
      <w:r>
        <w:rPr>
          <w:rFonts w:hint="eastAsia" w:ascii="宋体" w:hAnsi="宋体"/>
          <w:sz w:val="24"/>
          <w:szCs w:val="24"/>
        </w:rPr>
        <w:t>2.4 供应商与采购人、其他供应商或者采购代理机构恶意串通的；</w:t>
      </w:r>
    </w:p>
    <w:p>
      <w:pPr>
        <w:spacing w:line="360" w:lineRule="auto"/>
        <w:ind w:firstLine="480" w:firstLineChars="200"/>
        <w:rPr>
          <w:rFonts w:ascii="宋体" w:hAnsi="宋体"/>
          <w:sz w:val="24"/>
          <w:szCs w:val="24"/>
        </w:rPr>
      </w:pPr>
      <w:r>
        <w:rPr>
          <w:rFonts w:hint="eastAsia" w:ascii="宋体" w:hAnsi="宋体"/>
          <w:sz w:val="24"/>
          <w:szCs w:val="24"/>
        </w:rPr>
        <w:t>2.5 成交供应商不按规定的时间或拒绝按成交状态签订合同。</w:t>
      </w:r>
    </w:p>
    <w:p>
      <w:pPr>
        <w:spacing w:line="360" w:lineRule="auto"/>
        <w:ind w:firstLine="480" w:firstLineChars="200"/>
        <w:rPr>
          <w:rFonts w:ascii="宋体" w:hAnsi="宋体"/>
          <w:sz w:val="24"/>
          <w:szCs w:val="24"/>
        </w:rPr>
      </w:pPr>
      <w:r>
        <w:rPr>
          <w:rFonts w:hint="eastAsia" w:ascii="宋体" w:hAnsi="宋体"/>
          <w:sz w:val="24"/>
          <w:szCs w:val="24"/>
        </w:rPr>
        <w:t>（四）修正错误</w:t>
      </w:r>
    </w:p>
    <w:p>
      <w:pPr>
        <w:spacing w:line="360" w:lineRule="auto"/>
        <w:ind w:firstLine="480" w:firstLineChars="200"/>
        <w:rPr>
          <w:rFonts w:ascii="宋体" w:hAnsi="宋体"/>
          <w:sz w:val="24"/>
          <w:szCs w:val="24"/>
        </w:rPr>
      </w:pPr>
      <w:r>
        <w:rPr>
          <w:rFonts w:hint="eastAsia" w:ascii="宋体" w:hAnsi="宋体"/>
          <w:sz w:val="24"/>
          <w:szCs w:val="24"/>
        </w:rPr>
        <w:t>1.若供应商所递交的响应文件或报价中的价格出现大写金额和小写金额不一致的错误，以大写金额修正为准。</w:t>
      </w:r>
    </w:p>
    <w:p>
      <w:pPr>
        <w:spacing w:line="360" w:lineRule="auto"/>
        <w:ind w:firstLine="480" w:firstLineChars="200"/>
        <w:rPr>
          <w:rFonts w:ascii="宋体" w:hAnsi="宋体"/>
          <w:sz w:val="24"/>
          <w:szCs w:val="24"/>
        </w:rPr>
      </w:pPr>
      <w:r>
        <w:rPr>
          <w:rFonts w:hint="eastAsia" w:ascii="宋体" w:hAnsi="宋体"/>
          <w:sz w:val="24"/>
          <w:szCs w:val="24"/>
        </w:rPr>
        <w:t>2.评审委员会按上述修正错误的原则及方法修正供应商的报价，供应商同意并签字确认后，修正后的报价对供应商具有约束作用。如果供应商不接受修正后的价格，将失去成为成交供应商的资格。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rPr>
          <w:rFonts w:ascii="宋体" w:hAnsi="宋体"/>
          <w:sz w:val="24"/>
          <w:szCs w:val="24"/>
        </w:rPr>
      </w:pPr>
      <w:r>
        <w:rPr>
          <w:rFonts w:hint="eastAsia" w:ascii="宋体" w:hAnsi="宋体"/>
          <w:sz w:val="24"/>
          <w:szCs w:val="24"/>
        </w:rPr>
        <w:t>（五）提交响应文件的份数和签署</w:t>
      </w:r>
    </w:p>
    <w:p>
      <w:pPr>
        <w:snapToGrid w:val="0"/>
        <w:spacing w:line="360" w:lineRule="auto"/>
        <w:ind w:firstLine="480" w:firstLineChars="200"/>
        <w:rPr>
          <w:rFonts w:ascii="宋体" w:hAnsi="宋体"/>
          <w:sz w:val="24"/>
          <w:szCs w:val="24"/>
        </w:rPr>
      </w:pPr>
      <w:r>
        <w:rPr>
          <w:rFonts w:hint="eastAsia" w:ascii="宋体" w:hAnsi="宋体"/>
          <w:sz w:val="24"/>
          <w:szCs w:val="24"/>
        </w:rPr>
        <w:t>1.响应文件一式四份，其中正本一份，副本二份，电子文档一份；副本可为正本的复印件，应与正本一致，如出现不一致情况以正本为准。</w:t>
      </w:r>
    </w:p>
    <w:p>
      <w:pPr>
        <w:snapToGrid w:val="0"/>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rPr>
        <w:t>在响应文件正本中，竞争性比选文件第七篇响应文件编制要求中规定签字、盖章的地方必须按其规定签字、盖章。</w:t>
      </w:r>
    </w:p>
    <w:p>
      <w:pPr>
        <w:snapToGrid w:val="0"/>
        <w:spacing w:line="360" w:lineRule="auto"/>
        <w:ind w:firstLine="480" w:firstLineChars="200"/>
        <w:rPr>
          <w:rFonts w:ascii="宋体" w:hAnsi="宋体"/>
          <w:sz w:val="24"/>
          <w:szCs w:val="24"/>
        </w:rPr>
      </w:pPr>
      <w:r>
        <w:rPr>
          <w:rFonts w:hint="eastAsia" w:ascii="宋体" w:hAnsi="宋体"/>
          <w:sz w:val="24"/>
          <w:szCs w:val="24"/>
        </w:rPr>
        <w:t>（六）响应文件的递交</w:t>
      </w:r>
    </w:p>
    <w:p>
      <w:pPr>
        <w:snapToGrid w:val="0"/>
        <w:spacing w:line="360" w:lineRule="auto"/>
        <w:ind w:firstLine="480" w:firstLineChars="200"/>
        <w:rPr>
          <w:rFonts w:ascii="宋体" w:hAnsi="宋体"/>
          <w:sz w:val="24"/>
          <w:szCs w:val="24"/>
        </w:rPr>
      </w:pPr>
      <w:r>
        <w:rPr>
          <w:rFonts w:hint="eastAsia" w:ascii="宋体" w:hAnsi="宋体"/>
          <w:sz w:val="24"/>
          <w:szCs w:val="24"/>
        </w:rPr>
        <w:t>1.响应文件的密封与标记</w:t>
      </w:r>
    </w:p>
    <w:p>
      <w:pPr>
        <w:snapToGrid w:val="0"/>
        <w:spacing w:line="360" w:lineRule="auto"/>
        <w:ind w:firstLine="480" w:firstLineChars="200"/>
        <w:rPr>
          <w:rFonts w:ascii="宋体" w:hAnsi="宋体"/>
          <w:sz w:val="24"/>
          <w:szCs w:val="24"/>
        </w:rPr>
      </w:pPr>
      <w:r>
        <w:rPr>
          <w:rFonts w:hint="eastAsia" w:ascii="宋体" w:hAnsi="宋体"/>
          <w:sz w:val="24"/>
          <w:szCs w:val="24"/>
        </w:rPr>
        <w:t>响应文件的正本、副本以及电子文档均应密封送达递交响应文件地点，应在封套上注明项目名称、供应商名称。若正本、副本以及电子文档分别进行密封的，还应在封套上注明“正本”、“副本”、“电子文档”字样。</w:t>
      </w:r>
    </w:p>
    <w:p>
      <w:pPr>
        <w:snapToGrid w:val="0"/>
        <w:spacing w:line="360" w:lineRule="auto"/>
        <w:ind w:firstLine="480" w:firstLineChars="200"/>
        <w:rPr>
          <w:rFonts w:ascii="宋体" w:hAnsi="宋体"/>
          <w:sz w:val="24"/>
          <w:szCs w:val="24"/>
        </w:rPr>
      </w:pPr>
      <w:r>
        <w:rPr>
          <w:rFonts w:hint="eastAsia" w:ascii="宋体" w:hAnsi="宋体"/>
          <w:sz w:val="24"/>
          <w:szCs w:val="24"/>
        </w:rPr>
        <w:t>响应文件的装订形式为</w:t>
      </w:r>
      <w:r>
        <w:rPr>
          <w:rFonts w:hint="eastAsia" w:ascii="宋体" w:hAnsi="宋体"/>
          <w:b/>
          <w:sz w:val="24"/>
          <w:szCs w:val="24"/>
        </w:rPr>
        <w:t>胶装</w:t>
      </w:r>
      <w:r>
        <w:rPr>
          <w:rFonts w:hint="eastAsia" w:ascii="宋体" w:hAnsi="宋体"/>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2.响应文件递交截止时间：参阅采购邀请书。</w:t>
      </w:r>
    </w:p>
    <w:p>
      <w:pPr>
        <w:snapToGrid w:val="0"/>
        <w:spacing w:line="360" w:lineRule="auto"/>
        <w:ind w:firstLine="480" w:firstLineChars="200"/>
        <w:rPr>
          <w:rFonts w:ascii="宋体" w:hAnsi="宋体"/>
          <w:sz w:val="24"/>
          <w:szCs w:val="24"/>
        </w:rPr>
      </w:pPr>
      <w:r>
        <w:rPr>
          <w:rFonts w:hint="eastAsia" w:ascii="宋体" w:hAnsi="宋体"/>
          <w:sz w:val="24"/>
          <w:szCs w:val="24"/>
        </w:rPr>
        <w:t>3.响应文件语言：简体中文</w:t>
      </w:r>
    </w:p>
    <w:p>
      <w:pPr>
        <w:snapToGrid w:val="0"/>
        <w:spacing w:line="360" w:lineRule="auto"/>
        <w:ind w:firstLine="480" w:firstLineChars="200"/>
        <w:rPr>
          <w:rFonts w:ascii="宋体" w:hAnsi="宋体"/>
          <w:sz w:val="24"/>
          <w:szCs w:val="24"/>
        </w:rPr>
      </w:pPr>
      <w:r>
        <w:rPr>
          <w:rFonts w:hint="eastAsia" w:ascii="宋体" w:hAnsi="宋体"/>
          <w:sz w:val="24"/>
          <w:szCs w:val="24"/>
        </w:rPr>
        <w:t>（七）供应商参与人员</w:t>
      </w:r>
    </w:p>
    <w:p>
      <w:pPr>
        <w:snapToGrid w:val="0"/>
        <w:spacing w:line="360" w:lineRule="auto"/>
        <w:ind w:firstLine="480" w:firstLineChars="200"/>
        <w:rPr>
          <w:rFonts w:ascii="宋体" w:hAnsi="宋体"/>
          <w:sz w:val="24"/>
          <w:szCs w:val="24"/>
        </w:rPr>
      </w:pPr>
      <w:r>
        <w:rPr>
          <w:rFonts w:hint="eastAsia" w:ascii="宋体" w:hAnsi="宋体"/>
          <w:sz w:val="24"/>
          <w:szCs w:val="24"/>
        </w:rPr>
        <w:t>各个供应商可派1-2名代表参与比选，至少1人应为法定代表人或具有法定代表人授权委托书的授权代表。</w:t>
      </w:r>
    </w:p>
    <w:p>
      <w:pPr>
        <w:pStyle w:val="6"/>
        <w:spacing w:before="0" w:after="0" w:line="360" w:lineRule="auto"/>
        <w:ind w:firstLine="482" w:firstLineChars="200"/>
        <w:rPr>
          <w:rFonts w:ascii="宋体" w:hAnsi="宋体"/>
          <w:sz w:val="24"/>
          <w:szCs w:val="24"/>
        </w:rPr>
      </w:pPr>
      <w:bookmarkStart w:id="92" w:name="_Toc152145325"/>
      <w:r>
        <w:rPr>
          <w:rFonts w:hint="eastAsia" w:ascii="宋体" w:hAnsi="宋体"/>
          <w:sz w:val="24"/>
          <w:szCs w:val="24"/>
        </w:rPr>
        <w:t>四、成交供应商的确认和变更</w:t>
      </w:r>
      <w:bookmarkEnd w:id="92"/>
    </w:p>
    <w:p>
      <w:pPr>
        <w:snapToGrid w:val="0"/>
        <w:spacing w:line="360" w:lineRule="auto"/>
        <w:ind w:firstLine="480" w:firstLineChars="200"/>
        <w:rPr>
          <w:rFonts w:ascii="宋体" w:hAnsi="宋体"/>
          <w:sz w:val="24"/>
          <w:szCs w:val="24"/>
        </w:rPr>
      </w:pPr>
      <w:r>
        <w:rPr>
          <w:rFonts w:hint="eastAsia" w:ascii="宋体" w:hAnsi="宋体"/>
          <w:sz w:val="24"/>
          <w:szCs w:val="24"/>
        </w:rPr>
        <w:t>（一）成交供应商的确认</w:t>
      </w:r>
    </w:p>
    <w:p>
      <w:pPr>
        <w:snapToGrid w:val="0"/>
        <w:spacing w:line="360" w:lineRule="auto"/>
        <w:ind w:firstLine="480" w:firstLineChars="200"/>
        <w:rPr>
          <w:rFonts w:ascii="宋体" w:hAnsi="宋体"/>
          <w:sz w:val="24"/>
          <w:szCs w:val="24"/>
        </w:rPr>
      </w:pPr>
      <w:r>
        <w:rPr>
          <w:rFonts w:ascii="宋体" w:hAnsi="宋体"/>
          <w:sz w:val="24"/>
          <w:szCs w:val="24"/>
        </w:rPr>
        <w:t>采购代理机构应当在评审结束后2个工作日内将评审报告送采购人确认。采购人应当在收到评审报告后5个工作日内</w:t>
      </w:r>
      <w:r>
        <w:rPr>
          <w:rFonts w:hint="eastAsia" w:ascii="宋体" w:hAnsi="宋体"/>
          <w:sz w:val="24"/>
          <w:szCs w:val="24"/>
        </w:rPr>
        <w:t>，从评审报告提出的成交候选供应商中，按照排序由高到低的原则确定成交供应商，也可以书面授权评审委员会直接确定成交供应商。采购人逾期未确定成交供应商且不提出异议的，视为确定评审报告提出的排序第一的供应商为成交供应商。</w:t>
      </w:r>
    </w:p>
    <w:p>
      <w:pPr>
        <w:snapToGrid w:val="0"/>
        <w:spacing w:line="360" w:lineRule="auto"/>
        <w:ind w:firstLine="480" w:firstLineChars="200"/>
        <w:rPr>
          <w:rFonts w:ascii="宋体" w:hAnsi="宋体"/>
          <w:sz w:val="24"/>
          <w:szCs w:val="24"/>
        </w:rPr>
      </w:pPr>
      <w:r>
        <w:rPr>
          <w:rFonts w:hint="eastAsia" w:ascii="宋体" w:hAnsi="宋体"/>
          <w:sz w:val="24"/>
          <w:szCs w:val="24"/>
        </w:rPr>
        <w:t>（二）成交供应商的变更</w:t>
      </w:r>
    </w:p>
    <w:p>
      <w:pPr>
        <w:snapToGrid w:val="0"/>
        <w:spacing w:line="360" w:lineRule="auto"/>
        <w:ind w:firstLine="480" w:firstLineChars="200"/>
        <w:rPr>
          <w:rFonts w:ascii="宋体" w:hAnsi="宋体"/>
          <w:sz w:val="24"/>
          <w:szCs w:val="24"/>
        </w:rPr>
      </w:pPr>
      <w:r>
        <w:rPr>
          <w:rFonts w:hint="eastAsia" w:ascii="宋体" w:hAnsi="宋体"/>
          <w:sz w:val="24"/>
          <w:szCs w:val="24"/>
        </w:rPr>
        <w:t>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360" w:lineRule="auto"/>
        <w:ind w:firstLine="480" w:firstLineChars="200"/>
        <w:rPr>
          <w:rFonts w:ascii="宋体" w:hAnsi="宋体"/>
          <w:sz w:val="24"/>
          <w:szCs w:val="24"/>
        </w:rPr>
      </w:pPr>
      <w:r>
        <w:rPr>
          <w:rFonts w:hint="eastAsia" w:ascii="宋体" w:hAnsi="宋体"/>
          <w:sz w:val="24"/>
          <w:szCs w:val="24"/>
        </w:rPr>
        <w:t>2.成交供应商无充分理由放弃成交的，采购人将会同采购代理机构把相关情况报财政部门，财政部门将根据相关法律法规的规定对违规供应商进行处罚。</w:t>
      </w:r>
    </w:p>
    <w:p>
      <w:pPr>
        <w:pStyle w:val="6"/>
        <w:spacing w:before="0" w:after="0" w:line="360" w:lineRule="auto"/>
        <w:ind w:firstLine="482" w:firstLineChars="200"/>
        <w:rPr>
          <w:rFonts w:ascii="宋体" w:hAnsi="宋体"/>
          <w:sz w:val="24"/>
          <w:szCs w:val="24"/>
        </w:rPr>
      </w:pPr>
      <w:bookmarkStart w:id="93" w:name="_Toc152145326"/>
      <w:bookmarkStart w:id="94" w:name="_Toc102227321"/>
      <w:bookmarkStart w:id="95" w:name="_Toc342913395"/>
      <w:r>
        <w:rPr>
          <w:rFonts w:hint="eastAsia" w:ascii="宋体" w:hAnsi="宋体"/>
          <w:sz w:val="24"/>
          <w:szCs w:val="24"/>
        </w:rPr>
        <w:t>五、成交通知</w:t>
      </w:r>
      <w:bookmarkEnd w:id="93"/>
      <w:bookmarkEnd w:id="94"/>
      <w:bookmarkEnd w:id="95"/>
    </w:p>
    <w:p>
      <w:pPr>
        <w:spacing w:line="360" w:lineRule="auto"/>
        <w:ind w:firstLine="480" w:firstLineChars="200"/>
        <w:rPr>
          <w:rFonts w:ascii="宋体" w:hAnsi="宋体"/>
          <w:sz w:val="24"/>
          <w:szCs w:val="24"/>
        </w:rPr>
      </w:pPr>
      <w:r>
        <w:rPr>
          <w:rFonts w:hint="eastAsia" w:ascii="宋体" w:hAnsi="宋体"/>
          <w:sz w:val="24"/>
          <w:szCs w:val="24"/>
        </w:rPr>
        <w:t>（一）成交供应商确定后，采购代理机构将在重庆市人民政府口岸和物流办公室官网（http://zfkawlb.cq.gov.cn/）发布成交结果公告。</w:t>
      </w:r>
    </w:p>
    <w:p>
      <w:pPr>
        <w:spacing w:line="360" w:lineRule="auto"/>
        <w:ind w:firstLine="480" w:firstLineChars="200"/>
        <w:rPr>
          <w:rFonts w:ascii="宋体" w:hAnsi="宋体"/>
          <w:sz w:val="24"/>
          <w:szCs w:val="24"/>
        </w:rPr>
      </w:pPr>
      <w:r>
        <w:rPr>
          <w:rFonts w:hint="eastAsia" w:ascii="宋体" w:hAnsi="宋体"/>
          <w:sz w:val="24"/>
          <w:szCs w:val="24"/>
        </w:rPr>
        <w:t>（二）结果公告期结束后，采购代理机构将以书面形式发出《成交通知书》。《成交通知书》一经发出即发生法律效力。</w:t>
      </w:r>
    </w:p>
    <w:p>
      <w:pPr>
        <w:spacing w:line="360" w:lineRule="auto"/>
        <w:ind w:firstLine="480" w:firstLineChars="200"/>
        <w:rPr>
          <w:rFonts w:ascii="宋体" w:hAnsi="宋体"/>
          <w:sz w:val="24"/>
          <w:szCs w:val="24"/>
        </w:rPr>
      </w:pPr>
      <w:r>
        <w:rPr>
          <w:rFonts w:hint="eastAsia" w:ascii="宋体" w:hAnsi="宋体"/>
          <w:sz w:val="24"/>
          <w:szCs w:val="24"/>
        </w:rPr>
        <w:t>（三）《成交通知书》将作为签订合同的依据。</w:t>
      </w:r>
    </w:p>
    <w:p>
      <w:pPr>
        <w:spacing w:line="360" w:lineRule="auto"/>
        <w:ind w:firstLine="480" w:firstLineChars="200"/>
        <w:rPr>
          <w:rFonts w:ascii="宋体" w:hAnsi="宋体"/>
        </w:rPr>
      </w:pPr>
      <w:r>
        <w:rPr>
          <w:rFonts w:hint="eastAsia" w:ascii="宋体" w:hAnsi="宋体"/>
          <w:sz w:val="24"/>
          <w:szCs w:val="24"/>
        </w:rPr>
        <w:t>（四）如有供应商对成交结果提出质疑的，在质疑处理完毕后发出成交通知书。</w:t>
      </w:r>
    </w:p>
    <w:p>
      <w:pPr>
        <w:pStyle w:val="6"/>
        <w:spacing w:before="0" w:after="0" w:line="360" w:lineRule="auto"/>
        <w:ind w:firstLine="482" w:firstLineChars="200"/>
        <w:rPr>
          <w:rFonts w:ascii="宋体" w:hAnsi="宋体"/>
          <w:sz w:val="24"/>
          <w:szCs w:val="24"/>
        </w:rPr>
      </w:pPr>
      <w:bookmarkStart w:id="96" w:name="_Toc152145327"/>
      <w:r>
        <w:rPr>
          <w:rFonts w:hint="eastAsia" w:ascii="宋体" w:hAnsi="宋体"/>
          <w:sz w:val="24"/>
          <w:szCs w:val="24"/>
        </w:rPr>
        <w:t>六、关于质疑和投诉</w:t>
      </w:r>
      <w:bookmarkEnd w:id="96"/>
    </w:p>
    <w:p>
      <w:pPr>
        <w:spacing w:line="360" w:lineRule="auto"/>
        <w:ind w:firstLine="480" w:firstLineChars="200"/>
        <w:rPr>
          <w:rFonts w:ascii="宋体" w:hAnsi="宋体"/>
          <w:sz w:val="24"/>
          <w:szCs w:val="24"/>
        </w:rPr>
      </w:pPr>
      <w:r>
        <w:rPr>
          <w:rFonts w:hint="eastAsia" w:ascii="宋体" w:hAnsi="宋体"/>
          <w:sz w:val="24"/>
          <w:szCs w:val="24"/>
        </w:rPr>
        <w:t>（一）质疑</w:t>
      </w:r>
    </w:p>
    <w:p>
      <w:pPr>
        <w:spacing w:line="360" w:lineRule="auto"/>
        <w:ind w:firstLine="570"/>
        <w:rPr>
          <w:rFonts w:ascii="宋体" w:hAnsi="宋体"/>
          <w:sz w:val="24"/>
          <w:szCs w:val="24"/>
        </w:rPr>
      </w:pPr>
      <w:r>
        <w:rPr>
          <w:rFonts w:hint="eastAsia" w:ascii="宋体" w:hAnsi="宋体"/>
          <w:sz w:val="24"/>
          <w:szCs w:val="24"/>
        </w:rPr>
        <w:t>供应商认为比选文件、采购过程和成交结果使自己的权益收到伤害的，可向采购人或采购代理机构以书面形式提出质疑。</w:t>
      </w:r>
    </w:p>
    <w:p>
      <w:pPr>
        <w:spacing w:line="360" w:lineRule="auto"/>
        <w:ind w:firstLine="570"/>
        <w:rPr>
          <w:rFonts w:ascii="宋体" w:hAnsi="宋体"/>
          <w:sz w:val="24"/>
          <w:szCs w:val="24"/>
        </w:rPr>
      </w:pPr>
      <w:r>
        <w:rPr>
          <w:rFonts w:hint="eastAsia" w:ascii="宋体" w:hAnsi="宋体"/>
          <w:sz w:val="24"/>
          <w:szCs w:val="24"/>
        </w:rPr>
        <w:t>提出质疑的应当是参与所质疑项目采购活动的供应商。</w:t>
      </w:r>
    </w:p>
    <w:p>
      <w:pPr>
        <w:spacing w:line="360" w:lineRule="auto"/>
        <w:ind w:firstLine="570"/>
        <w:rPr>
          <w:rFonts w:ascii="宋体" w:hAnsi="宋体"/>
          <w:sz w:val="24"/>
          <w:szCs w:val="24"/>
        </w:rPr>
      </w:pPr>
      <w:r>
        <w:rPr>
          <w:rFonts w:hint="eastAsia" w:ascii="宋体" w:hAnsi="宋体"/>
          <w:sz w:val="24"/>
          <w:szCs w:val="24"/>
        </w:rPr>
        <w:t>1.质疑内容、时限</w:t>
      </w:r>
    </w:p>
    <w:p>
      <w:pPr>
        <w:spacing w:line="360" w:lineRule="auto"/>
        <w:ind w:firstLine="570"/>
        <w:rPr>
          <w:rFonts w:ascii="宋体" w:hAnsi="宋体"/>
          <w:sz w:val="24"/>
          <w:szCs w:val="24"/>
        </w:rPr>
      </w:pPr>
      <w:r>
        <w:rPr>
          <w:rFonts w:hint="eastAsia" w:ascii="宋体" w:hAnsi="宋体"/>
          <w:sz w:val="24"/>
          <w:szCs w:val="24"/>
        </w:rPr>
        <w:t>1.1供应商认为比选文件、采购过程、成交结果使自己的权益受到损害的，可以在知道或者应知其权益受到损害之日起7个工作日内，以书面形式向采购人、采购代理机构提出质疑。</w:t>
      </w:r>
    </w:p>
    <w:p>
      <w:pPr>
        <w:spacing w:line="360" w:lineRule="auto"/>
        <w:ind w:firstLine="570"/>
        <w:rPr>
          <w:rFonts w:ascii="宋体" w:hAnsi="宋体"/>
          <w:sz w:val="24"/>
          <w:szCs w:val="24"/>
        </w:rPr>
      </w:pPr>
      <w:r>
        <w:rPr>
          <w:rFonts w:hint="eastAsia" w:ascii="宋体" w:hAnsi="宋体"/>
          <w:sz w:val="24"/>
          <w:szCs w:val="24"/>
        </w:rPr>
        <w:t>1.2 供应商提出质疑应当提交质疑函和必要的证明材料，质疑函应当包括下列内容：</w:t>
      </w:r>
    </w:p>
    <w:p>
      <w:pPr>
        <w:spacing w:line="360" w:lineRule="auto"/>
        <w:ind w:firstLine="570"/>
        <w:rPr>
          <w:rFonts w:ascii="宋体" w:hAnsi="宋体"/>
          <w:sz w:val="24"/>
          <w:szCs w:val="24"/>
        </w:rPr>
      </w:pPr>
      <w:r>
        <w:rPr>
          <w:rFonts w:hint="eastAsia" w:ascii="宋体" w:hAnsi="宋体"/>
          <w:sz w:val="24"/>
          <w:szCs w:val="24"/>
        </w:rPr>
        <w:t>（1）供应商的姓名或者名称、地址、邮编、联系人及联系电话；</w:t>
      </w:r>
    </w:p>
    <w:p>
      <w:pPr>
        <w:spacing w:line="360" w:lineRule="auto"/>
        <w:ind w:firstLine="570"/>
        <w:rPr>
          <w:rFonts w:ascii="宋体" w:hAnsi="宋体"/>
          <w:sz w:val="24"/>
          <w:szCs w:val="24"/>
        </w:rPr>
      </w:pPr>
      <w:r>
        <w:rPr>
          <w:rFonts w:hint="eastAsia" w:ascii="宋体" w:hAnsi="宋体"/>
          <w:sz w:val="24"/>
          <w:szCs w:val="24"/>
        </w:rPr>
        <w:t>（2）质疑项目的名称、项目号以及招标项目编号；</w:t>
      </w:r>
    </w:p>
    <w:p>
      <w:pPr>
        <w:spacing w:line="360" w:lineRule="auto"/>
        <w:ind w:firstLine="570"/>
        <w:rPr>
          <w:rFonts w:ascii="宋体" w:hAnsi="宋体"/>
          <w:sz w:val="24"/>
          <w:szCs w:val="24"/>
        </w:rPr>
      </w:pPr>
      <w:r>
        <w:rPr>
          <w:rFonts w:hint="eastAsia" w:ascii="宋体" w:hAnsi="宋体"/>
          <w:sz w:val="24"/>
          <w:szCs w:val="24"/>
        </w:rPr>
        <w:t>（3）具体、明确的质疑事项和与质疑事项相关的请求；</w:t>
      </w:r>
    </w:p>
    <w:p>
      <w:pPr>
        <w:spacing w:line="360" w:lineRule="auto"/>
        <w:ind w:firstLine="570"/>
        <w:rPr>
          <w:rFonts w:ascii="宋体" w:hAnsi="宋体"/>
          <w:sz w:val="24"/>
          <w:szCs w:val="24"/>
        </w:rPr>
      </w:pPr>
      <w:r>
        <w:rPr>
          <w:rFonts w:hint="eastAsia" w:ascii="宋体" w:hAnsi="宋体"/>
          <w:sz w:val="24"/>
          <w:szCs w:val="24"/>
        </w:rPr>
        <w:t>（4）事实依据；</w:t>
      </w:r>
    </w:p>
    <w:p>
      <w:pPr>
        <w:spacing w:line="360" w:lineRule="auto"/>
        <w:ind w:firstLine="570"/>
        <w:rPr>
          <w:rFonts w:ascii="宋体" w:hAnsi="宋体"/>
          <w:sz w:val="24"/>
          <w:szCs w:val="24"/>
        </w:rPr>
      </w:pPr>
      <w:r>
        <w:rPr>
          <w:rFonts w:hint="eastAsia" w:ascii="宋体" w:hAnsi="宋体"/>
          <w:sz w:val="24"/>
          <w:szCs w:val="24"/>
        </w:rPr>
        <w:t>（5）必要的法律依据；</w:t>
      </w:r>
    </w:p>
    <w:p>
      <w:pPr>
        <w:spacing w:line="360" w:lineRule="auto"/>
        <w:ind w:firstLine="570"/>
        <w:rPr>
          <w:rFonts w:ascii="宋体" w:hAnsi="宋体"/>
          <w:sz w:val="24"/>
          <w:szCs w:val="24"/>
        </w:rPr>
      </w:pPr>
      <w:r>
        <w:rPr>
          <w:rFonts w:hint="eastAsia" w:ascii="宋体" w:hAnsi="宋体"/>
          <w:sz w:val="24"/>
          <w:szCs w:val="24"/>
        </w:rPr>
        <w:t>（6）提出质疑的日期；</w:t>
      </w:r>
    </w:p>
    <w:p>
      <w:pPr>
        <w:spacing w:line="360" w:lineRule="auto"/>
        <w:ind w:firstLine="570"/>
        <w:rPr>
          <w:rFonts w:ascii="宋体" w:hAnsi="宋体"/>
          <w:sz w:val="24"/>
          <w:szCs w:val="24"/>
        </w:rPr>
      </w:pPr>
      <w:r>
        <w:rPr>
          <w:rFonts w:hint="eastAsia" w:ascii="宋体" w:hAnsi="宋体"/>
          <w:sz w:val="24"/>
          <w:szCs w:val="24"/>
        </w:rPr>
        <w:t>（7）营业执照（或事业单位法人证书，或个体工商户营业执照或有效的自然人身份证明、组织机构代码证）复印件；</w:t>
      </w:r>
    </w:p>
    <w:p>
      <w:pPr>
        <w:spacing w:line="360" w:lineRule="auto"/>
        <w:ind w:firstLine="570"/>
        <w:rPr>
          <w:rFonts w:ascii="宋体" w:hAnsi="宋体"/>
          <w:sz w:val="24"/>
          <w:szCs w:val="24"/>
        </w:rPr>
      </w:pPr>
      <w:r>
        <w:rPr>
          <w:rFonts w:hint="eastAsia" w:ascii="宋体" w:hAnsi="宋体"/>
          <w:sz w:val="24"/>
          <w:szCs w:val="24"/>
        </w:rPr>
        <w:t>（8）法定代表人授权委托书原件、法定代表人身份证复印件和其授权代表的身份证复印件（供应商为自然人的提供自然人身份证复印件）；</w:t>
      </w:r>
    </w:p>
    <w:p>
      <w:pPr>
        <w:spacing w:line="360" w:lineRule="auto"/>
        <w:ind w:firstLine="570"/>
        <w:rPr>
          <w:rFonts w:ascii="宋体" w:hAnsi="宋体"/>
          <w:sz w:val="24"/>
          <w:szCs w:val="24"/>
        </w:rPr>
      </w:pPr>
      <w:r>
        <w:rPr>
          <w:rFonts w:hint="eastAsia" w:ascii="宋体" w:hAnsi="宋体"/>
          <w:sz w:val="24"/>
          <w:szCs w:val="24"/>
        </w:rPr>
        <w:t>1.3 供应商为自然人的，质疑函应当由本人签字；供应商为法人或者其他组织的，质疑函应当由法定代表人、主要负责人，或者其授权代表签字或者盖章，并加盖公章。</w:t>
      </w:r>
    </w:p>
    <w:p>
      <w:pPr>
        <w:spacing w:line="360" w:lineRule="auto"/>
        <w:ind w:firstLine="570"/>
        <w:rPr>
          <w:rFonts w:ascii="宋体" w:hAnsi="宋体"/>
          <w:sz w:val="24"/>
          <w:szCs w:val="24"/>
        </w:rPr>
      </w:pPr>
      <w:r>
        <w:rPr>
          <w:rFonts w:hint="eastAsia" w:ascii="宋体" w:hAnsi="宋体"/>
          <w:sz w:val="24"/>
          <w:szCs w:val="24"/>
        </w:rPr>
        <w:t>2.质疑答复</w:t>
      </w:r>
    </w:p>
    <w:p>
      <w:pPr>
        <w:spacing w:line="360" w:lineRule="auto"/>
        <w:ind w:firstLine="570"/>
        <w:rPr>
          <w:rFonts w:ascii="宋体" w:hAnsi="宋体"/>
          <w:sz w:val="24"/>
          <w:szCs w:val="24"/>
        </w:rPr>
      </w:pPr>
      <w:r>
        <w:rPr>
          <w:rFonts w:hint="eastAsia" w:ascii="宋体" w:hAnsi="宋体"/>
          <w:sz w:val="24"/>
          <w:szCs w:val="24"/>
        </w:rPr>
        <w:t>采购人、采购代理机构应当在收到供应商的书面质疑后七个工作日内作出答复，并以书面形式通知质疑供应商和其他有关供应商。</w:t>
      </w:r>
    </w:p>
    <w:p>
      <w:pPr>
        <w:spacing w:line="360" w:lineRule="auto"/>
        <w:ind w:firstLine="570"/>
        <w:rPr>
          <w:rFonts w:ascii="宋体" w:hAnsi="宋体"/>
          <w:sz w:val="24"/>
          <w:szCs w:val="24"/>
        </w:rPr>
      </w:pPr>
      <w:r>
        <w:rPr>
          <w:rFonts w:hint="eastAsia" w:ascii="宋体" w:hAnsi="宋体"/>
          <w:sz w:val="24"/>
          <w:szCs w:val="24"/>
        </w:rPr>
        <w:t>3.其他</w:t>
      </w:r>
    </w:p>
    <w:p>
      <w:pPr>
        <w:spacing w:line="360" w:lineRule="auto"/>
        <w:ind w:firstLine="570"/>
        <w:rPr>
          <w:rFonts w:ascii="宋体" w:hAnsi="宋体"/>
          <w:sz w:val="24"/>
          <w:szCs w:val="24"/>
        </w:rPr>
      </w:pPr>
      <w:r>
        <w:rPr>
          <w:rFonts w:hint="eastAsia" w:ascii="宋体" w:hAnsi="宋体"/>
          <w:sz w:val="24"/>
          <w:szCs w:val="24"/>
        </w:rPr>
        <w:t>3.1 供应商应按照《政府采购质疑和投诉办法》（财政部令第94号）及相关法律法规要求，在法定质疑期内一次性提出针对同一采购程序环节的质疑。</w:t>
      </w:r>
    </w:p>
    <w:p>
      <w:pPr>
        <w:spacing w:line="360" w:lineRule="auto"/>
        <w:ind w:firstLine="570"/>
        <w:rPr>
          <w:rFonts w:ascii="宋体" w:hAnsi="宋体"/>
          <w:sz w:val="24"/>
          <w:szCs w:val="24"/>
        </w:rPr>
      </w:pPr>
      <w:r>
        <w:rPr>
          <w:rFonts w:hint="eastAsia" w:ascii="宋体" w:hAnsi="宋体"/>
          <w:sz w:val="24"/>
          <w:szCs w:val="24"/>
        </w:rPr>
        <w:t>3.2 质疑函范本可在财政部门户网站和中国政府采购网下载。</w:t>
      </w:r>
    </w:p>
    <w:p>
      <w:pPr>
        <w:spacing w:line="360" w:lineRule="auto"/>
        <w:ind w:firstLine="570"/>
        <w:rPr>
          <w:rFonts w:ascii="宋体" w:hAnsi="宋体"/>
          <w:sz w:val="24"/>
          <w:szCs w:val="24"/>
        </w:rPr>
      </w:pPr>
      <w:r>
        <w:rPr>
          <w:rFonts w:hint="eastAsia" w:ascii="宋体" w:hAnsi="宋体"/>
          <w:sz w:val="24"/>
          <w:szCs w:val="24"/>
        </w:rPr>
        <w:t>（二）投诉</w:t>
      </w:r>
    </w:p>
    <w:p>
      <w:pPr>
        <w:spacing w:line="360" w:lineRule="auto"/>
        <w:ind w:firstLine="570"/>
        <w:rPr>
          <w:rFonts w:ascii="宋体" w:hAnsi="宋体"/>
          <w:sz w:val="24"/>
          <w:szCs w:val="24"/>
        </w:rPr>
      </w:pPr>
      <w:r>
        <w:rPr>
          <w:rFonts w:ascii="宋体" w:hAnsi="宋体"/>
          <w:sz w:val="24"/>
          <w:szCs w:val="24"/>
        </w:rPr>
        <w:t>1.</w:t>
      </w:r>
      <w:r>
        <w:rPr>
          <w:rFonts w:hint="eastAsia" w:ascii="宋体" w:hAnsi="宋体"/>
          <w:sz w:val="24"/>
          <w:szCs w:val="24"/>
        </w:rPr>
        <w:t>供应商对采购人、采购代理机构的答复不满意，或者采购人、采购代理机构未在规定时间内作出答复的，可以在答复期满后</w:t>
      </w:r>
      <w:r>
        <w:rPr>
          <w:rFonts w:ascii="宋体" w:hAnsi="宋体"/>
          <w:sz w:val="24"/>
          <w:szCs w:val="24"/>
        </w:rPr>
        <w:t>15</w:t>
      </w:r>
      <w:r>
        <w:rPr>
          <w:rFonts w:hint="eastAsia" w:ascii="宋体" w:hAnsi="宋体"/>
          <w:sz w:val="24"/>
          <w:szCs w:val="24"/>
        </w:rPr>
        <w:t>个工作日内按照相关法律法规向财政部门提起投诉。</w:t>
      </w:r>
    </w:p>
    <w:p>
      <w:pPr>
        <w:spacing w:line="360" w:lineRule="auto"/>
        <w:ind w:firstLine="570"/>
        <w:rPr>
          <w:rFonts w:ascii="宋体" w:hAnsi="宋体"/>
          <w:sz w:val="24"/>
          <w:szCs w:val="24"/>
        </w:rPr>
      </w:pPr>
      <w:r>
        <w:rPr>
          <w:rFonts w:ascii="宋体" w:hAnsi="宋体"/>
          <w:sz w:val="24"/>
          <w:szCs w:val="24"/>
        </w:rPr>
        <w:t>2.</w:t>
      </w:r>
      <w:r>
        <w:rPr>
          <w:rFonts w:hint="eastAsia" w:ascii="宋体" w:hAnsi="宋体"/>
          <w:sz w:val="24"/>
          <w:szCs w:val="24"/>
        </w:rPr>
        <w:t>供应商应按照《政府采购质疑和投诉办法》（财政部令第</w:t>
      </w:r>
      <w:r>
        <w:rPr>
          <w:rFonts w:ascii="宋体" w:hAnsi="宋体"/>
          <w:sz w:val="24"/>
          <w:szCs w:val="24"/>
        </w:rPr>
        <w:t>94</w:t>
      </w:r>
      <w:r>
        <w:rPr>
          <w:rFonts w:hint="eastAsia" w:ascii="宋体" w:hAnsi="宋体"/>
          <w:sz w:val="24"/>
          <w:szCs w:val="24"/>
        </w:rPr>
        <w:t>号）及相关法律法规要求递交投诉书和必要的证明材料。投诉书范本可在财政部门户网站和中国政府采购网下载。</w:t>
      </w:r>
    </w:p>
    <w:p>
      <w:pPr>
        <w:spacing w:line="360" w:lineRule="auto"/>
        <w:ind w:firstLine="570"/>
        <w:rPr>
          <w:rFonts w:ascii="宋体" w:hAnsi="宋体"/>
          <w:sz w:val="24"/>
          <w:szCs w:val="24"/>
        </w:rPr>
      </w:pPr>
      <w:r>
        <w:rPr>
          <w:rFonts w:ascii="宋体" w:hAnsi="宋体"/>
          <w:sz w:val="24"/>
          <w:szCs w:val="24"/>
        </w:rPr>
        <w:t>3.</w:t>
      </w:r>
      <w:r>
        <w:rPr>
          <w:rFonts w:hint="eastAsia" w:ascii="宋体" w:hAnsi="宋体"/>
          <w:sz w:val="24"/>
          <w:szCs w:val="24"/>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570"/>
        <w:rPr>
          <w:rFonts w:ascii="宋体" w:hAnsi="宋体"/>
          <w:sz w:val="24"/>
          <w:szCs w:val="24"/>
        </w:rPr>
      </w:pPr>
      <w:r>
        <w:rPr>
          <w:rFonts w:ascii="宋体" w:hAnsi="宋体"/>
          <w:sz w:val="24"/>
          <w:szCs w:val="24"/>
        </w:rPr>
        <w:t>4.</w:t>
      </w:r>
      <w:r>
        <w:rPr>
          <w:rFonts w:hint="eastAsia" w:ascii="宋体" w:hAnsi="宋体"/>
          <w:sz w:val="24"/>
          <w:szCs w:val="24"/>
        </w:rPr>
        <w:t>在确定受理投诉后，财政部门自受理投诉之日起</w:t>
      </w:r>
      <w:r>
        <w:rPr>
          <w:rFonts w:ascii="宋体" w:hAnsi="宋体"/>
          <w:sz w:val="24"/>
          <w:szCs w:val="24"/>
        </w:rPr>
        <w:t>30</w:t>
      </w:r>
      <w:r>
        <w:rPr>
          <w:rFonts w:hint="eastAsia" w:ascii="宋体" w:hAnsi="宋体"/>
          <w:sz w:val="24"/>
          <w:szCs w:val="24"/>
        </w:rPr>
        <w:t>个工作日内（需要检验、检测、鉴定、专家评审以及需要投诉人补正材料的，所需时间不计算在投诉处理期限内）对投诉事项做出处理决定。</w:t>
      </w:r>
    </w:p>
    <w:p>
      <w:pPr>
        <w:pStyle w:val="6"/>
        <w:spacing w:before="0" w:after="0" w:line="360" w:lineRule="auto"/>
        <w:ind w:firstLine="482" w:firstLineChars="200"/>
        <w:rPr>
          <w:rFonts w:ascii="宋体" w:hAnsi="宋体"/>
          <w:sz w:val="24"/>
          <w:szCs w:val="24"/>
        </w:rPr>
      </w:pPr>
      <w:bookmarkStart w:id="97" w:name="_Toc152145328"/>
      <w:r>
        <w:rPr>
          <w:rFonts w:hint="eastAsia" w:ascii="宋体" w:hAnsi="宋体"/>
          <w:sz w:val="24"/>
          <w:szCs w:val="24"/>
        </w:rPr>
        <w:t>七、采购代理服务费</w:t>
      </w:r>
      <w:bookmarkEnd w:id="97"/>
    </w:p>
    <w:p>
      <w:pPr>
        <w:spacing w:line="360" w:lineRule="auto"/>
        <w:ind w:firstLine="480" w:firstLineChars="200"/>
        <w:rPr>
          <w:rFonts w:ascii="宋体" w:hAnsi="宋体"/>
          <w:sz w:val="24"/>
        </w:rPr>
      </w:pPr>
      <w:r>
        <w:rPr>
          <w:rFonts w:hint="eastAsia" w:ascii="宋体" w:hAnsi="宋体"/>
          <w:sz w:val="24"/>
        </w:rPr>
        <w:t>（一）采购代理服务费标准</w:t>
      </w:r>
    </w:p>
    <w:p>
      <w:pPr>
        <w:spacing w:line="360" w:lineRule="auto"/>
        <w:ind w:firstLine="480" w:firstLineChars="200"/>
        <w:rPr>
          <w:rFonts w:ascii="宋体" w:hAnsi="宋体"/>
          <w:sz w:val="24"/>
        </w:rPr>
      </w:pPr>
      <w:r>
        <w:rPr>
          <w:rFonts w:hint="eastAsia" w:ascii="宋体" w:hAnsi="宋体"/>
          <w:sz w:val="24"/>
        </w:rPr>
        <w:t>供应商中标后向采购代理机构缴纳采购代理服务费，采购代理服务费的收取标准按照以下标准执行:</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2273"/>
        <w:gridCol w:w="2273"/>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810" w:type="dxa"/>
            <w:tcBorders>
              <w:tl2br w:val="single" w:color="auto" w:sz="4" w:space="0"/>
            </w:tcBorders>
          </w:tcPr>
          <w:p>
            <w:pPr>
              <w:spacing w:line="240" w:lineRule="atLeast"/>
              <w:jc w:val="right"/>
              <w:rPr>
                <w:rFonts w:ascii="宋体" w:hAnsi="宋体"/>
                <w:sz w:val="21"/>
                <w:szCs w:val="21"/>
              </w:rPr>
            </w:pPr>
            <w:r>
              <w:rPr>
                <w:rFonts w:hint="eastAsia" w:ascii="宋体" w:hAnsi="宋体"/>
                <w:sz w:val="21"/>
                <w:szCs w:val="21"/>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-6350</wp:posOffset>
                      </wp:positionV>
                      <wp:extent cx="635" cy="635"/>
                      <wp:effectExtent l="0" t="0" r="0" b="0"/>
                      <wp:wrapNone/>
                      <wp:docPr id="1" name="直线 2"/>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9pt;margin-top:-0.5pt;height:0.05pt;width:0.05pt;z-index:251659264;mso-width-relative:page;mso-height-relative:page;" filled="f" stroked="t" coordsize="21600,21600" o:allowincell="f" o:gfxdata="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8++YPWAAAACAEAAA8AAAAAAAAA&#10;AQAgAAAAIgAAAGRycy9kb3ducmV2LnhtbFBLAQIUABQAAAAIAIdO4kCAkYRy2gEAAM0DAAAOAAAA&#10;AAAAAAEAIAAAACUBAABkcnMvZTJvRG9jLnhtbFBLBQYAAAAABgAGAFkBAABxBQAAAAA=&#10;">
                      <v:fill on="f" focussize="0,0"/>
                      <v:stroke color="#000000" joinstyle="round"/>
                      <v:imagedata o:title=""/>
                      <o:lock v:ext="edit" aspectratio="f"/>
                    </v:line>
                  </w:pict>
                </mc:Fallback>
              </mc:AlternateContent>
            </w:r>
            <w:r>
              <w:rPr>
                <w:rFonts w:hint="eastAsia" w:ascii="宋体" w:hAnsi="宋体"/>
                <w:sz w:val="21"/>
                <w:szCs w:val="21"/>
              </w:rPr>
              <w:t>招标类型</w:t>
            </w:r>
          </w:p>
          <w:p>
            <w:pPr>
              <w:spacing w:line="240" w:lineRule="atLeast"/>
              <w:rPr>
                <w:rFonts w:ascii="宋体" w:hAnsi="宋体"/>
                <w:sz w:val="21"/>
                <w:szCs w:val="21"/>
              </w:rPr>
            </w:pPr>
            <w:r>
              <w:rPr>
                <w:rFonts w:hint="eastAsia" w:ascii="宋体" w:hAnsi="宋体"/>
                <w:sz w:val="21"/>
                <w:szCs w:val="21"/>
              </w:rPr>
              <w:t>中标金额（万元）</w:t>
            </w:r>
          </w:p>
        </w:tc>
        <w:tc>
          <w:tcPr>
            <w:tcW w:w="2273" w:type="dxa"/>
            <w:vAlign w:val="center"/>
          </w:tcPr>
          <w:p>
            <w:pPr>
              <w:spacing w:line="240" w:lineRule="atLeast"/>
              <w:jc w:val="center"/>
              <w:rPr>
                <w:rFonts w:ascii="宋体" w:hAnsi="宋体"/>
                <w:sz w:val="21"/>
                <w:szCs w:val="21"/>
              </w:rPr>
            </w:pPr>
            <w:r>
              <w:rPr>
                <w:rFonts w:hint="eastAsia" w:ascii="宋体" w:hAnsi="宋体"/>
                <w:sz w:val="21"/>
                <w:szCs w:val="21"/>
              </w:rPr>
              <w:t>货物招标</w:t>
            </w:r>
          </w:p>
        </w:tc>
        <w:tc>
          <w:tcPr>
            <w:tcW w:w="2273" w:type="dxa"/>
            <w:vAlign w:val="center"/>
          </w:tcPr>
          <w:p>
            <w:pPr>
              <w:spacing w:line="240" w:lineRule="atLeast"/>
              <w:jc w:val="center"/>
              <w:rPr>
                <w:rFonts w:ascii="宋体" w:hAnsi="宋体"/>
                <w:sz w:val="21"/>
                <w:szCs w:val="21"/>
              </w:rPr>
            </w:pPr>
            <w:r>
              <w:rPr>
                <w:rFonts w:hint="eastAsia" w:ascii="宋体" w:hAnsi="宋体"/>
                <w:sz w:val="21"/>
                <w:szCs w:val="21"/>
              </w:rPr>
              <w:t>服务招标</w:t>
            </w:r>
          </w:p>
        </w:tc>
        <w:tc>
          <w:tcPr>
            <w:tcW w:w="2272" w:type="dxa"/>
            <w:vAlign w:val="center"/>
          </w:tcPr>
          <w:p>
            <w:pPr>
              <w:pStyle w:val="211"/>
              <w:widowControl w:val="0"/>
              <w:pBdr>
                <w:left w:val="none" w:color="auto" w:sz="0" w:space="0"/>
                <w:right w:val="none" w:color="auto" w:sz="0" w:space="0"/>
              </w:pBdr>
              <w:spacing w:before="0" w:beforeAutospacing="0" w:after="0" w:afterAutospacing="0" w:line="240" w:lineRule="atLeast"/>
              <w:rPr>
                <w:kern w:val="2"/>
                <w:sz w:val="21"/>
                <w:szCs w:val="21"/>
              </w:rPr>
            </w:pPr>
            <w:r>
              <w:rPr>
                <w:rFonts w:hint="eastAsia"/>
                <w:kern w:val="2"/>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10" w:type="dxa"/>
            <w:vAlign w:val="center"/>
          </w:tcPr>
          <w:p>
            <w:pPr>
              <w:spacing w:line="240" w:lineRule="atLeast"/>
              <w:jc w:val="center"/>
              <w:rPr>
                <w:rFonts w:ascii="宋体" w:hAnsi="宋体"/>
                <w:sz w:val="21"/>
                <w:szCs w:val="21"/>
              </w:rPr>
            </w:pPr>
            <w:r>
              <w:rPr>
                <w:rFonts w:hint="eastAsia" w:ascii="宋体" w:hAnsi="宋体"/>
                <w:sz w:val="21"/>
                <w:szCs w:val="21"/>
              </w:rPr>
              <w:t>100（含）以下</w:t>
            </w:r>
          </w:p>
        </w:tc>
        <w:tc>
          <w:tcPr>
            <w:tcW w:w="2273" w:type="dxa"/>
            <w:vAlign w:val="center"/>
          </w:tcPr>
          <w:p>
            <w:pPr>
              <w:spacing w:line="240" w:lineRule="atLeast"/>
              <w:jc w:val="center"/>
              <w:rPr>
                <w:rFonts w:ascii="宋体" w:hAnsi="宋体"/>
                <w:sz w:val="21"/>
                <w:szCs w:val="21"/>
              </w:rPr>
            </w:pPr>
            <w:r>
              <w:rPr>
                <w:rFonts w:hint="eastAsia" w:ascii="宋体" w:hAnsi="宋体"/>
                <w:sz w:val="21"/>
                <w:szCs w:val="21"/>
              </w:rPr>
              <w:t>1.5%</w:t>
            </w:r>
          </w:p>
        </w:tc>
        <w:tc>
          <w:tcPr>
            <w:tcW w:w="2273" w:type="dxa"/>
            <w:vAlign w:val="center"/>
          </w:tcPr>
          <w:p>
            <w:pPr>
              <w:spacing w:line="240" w:lineRule="atLeast"/>
              <w:jc w:val="center"/>
              <w:rPr>
                <w:rFonts w:ascii="宋体" w:hAnsi="宋体"/>
                <w:sz w:val="21"/>
                <w:szCs w:val="21"/>
              </w:rPr>
            </w:pPr>
            <w:r>
              <w:rPr>
                <w:rFonts w:hint="eastAsia" w:ascii="宋体" w:hAnsi="宋体"/>
                <w:sz w:val="21"/>
                <w:szCs w:val="21"/>
              </w:rPr>
              <w:t>1.5%</w:t>
            </w:r>
          </w:p>
        </w:tc>
        <w:tc>
          <w:tcPr>
            <w:tcW w:w="2272" w:type="dxa"/>
            <w:vAlign w:val="center"/>
          </w:tcPr>
          <w:p>
            <w:pPr>
              <w:spacing w:line="240" w:lineRule="atLeast"/>
              <w:jc w:val="center"/>
              <w:rPr>
                <w:rFonts w:ascii="宋体" w:hAnsi="宋体"/>
                <w:sz w:val="21"/>
                <w:szCs w:val="21"/>
              </w:rPr>
            </w:pPr>
            <w:r>
              <w:rPr>
                <w:rFonts w:hint="eastAsia" w:ascii="宋体" w:hAnsi="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10" w:type="dxa"/>
            <w:vAlign w:val="center"/>
          </w:tcPr>
          <w:p>
            <w:pPr>
              <w:spacing w:line="240" w:lineRule="atLeast"/>
              <w:jc w:val="center"/>
              <w:rPr>
                <w:rFonts w:ascii="宋体" w:hAnsi="宋体"/>
                <w:sz w:val="21"/>
                <w:szCs w:val="21"/>
              </w:rPr>
            </w:pPr>
            <w:r>
              <w:rPr>
                <w:rFonts w:hint="eastAsia" w:ascii="宋体" w:hAnsi="宋体"/>
                <w:sz w:val="21"/>
                <w:szCs w:val="21"/>
              </w:rPr>
              <w:t>100以上-500</w:t>
            </w:r>
          </w:p>
        </w:tc>
        <w:tc>
          <w:tcPr>
            <w:tcW w:w="2273" w:type="dxa"/>
            <w:vAlign w:val="center"/>
          </w:tcPr>
          <w:p>
            <w:pPr>
              <w:spacing w:line="240" w:lineRule="atLeast"/>
              <w:jc w:val="center"/>
              <w:rPr>
                <w:rFonts w:ascii="宋体" w:hAnsi="宋体"/>
                <w:sz w:val="21"/>
                <w:szCs w:val="21"/>
              </w:rPr>
            </w:pPr>
            <w:r>
              <w:rPr>
                <w:rFonts w:hint="eastAsia" w:ascii="宋体" w:hAnsi="宋体"/>
                <w:sz w:val="21"/>
                <w:szCs w:val="21"/>
              </w:rPr>
              <w:t>1.1%</w:t>
            </w:r>
          </w:p>
        </w:tc>
        <w:tc>
          <w:tcPr>
            <w:tcW w:w="2273" w:type="dxa"/>
            <w:vAlign w:val="center"/>
          </w:tcPr>
          <w:p>
            <w:pPr>
              <w:spacing w:line="240" w:lineRule="atLeast"/>
              <w:jc w:val="center"/>
              <w:rPr>
                <w:rFonts w:ascii="宋体" w:hAnsi="宋体"/>
                <w:sz w:val="21"/>
                <w:szCs w:val="21"/>
              </w:rPr>
            </w:pPr>
            <w:r>
              <w:rPr>
                <w:rFonts w:hint="eastAsia" w:ascii="宋体" w:hAnsi="宋体"/>
                <w:sz w:val="21"/>
                <w:szCs w:val="21"/>
              </w:rPr>
              <w:t>0.8%</w:t>
            </w:r>
          </w:p>
        </w:tc>
        <w:tc>
          <w:tcPr>
            <w:tcW w:w="2272" w:type="dxa"/>
            <w:vAlign w:val="center"/>
          </w:tcPr>
          <w:p>
            <w:pPr>
              <w:spacing w:line="240" w:lineRule="atLeast"/>
              <w:jc w:val="center"/>
              <w:rPr>
                <w:rFonts w:ascii="宋体" w:hAnsi="宋体"/>
                <w:sz w:val="21"/>
                <w:szCs w:val="21"/>
              </w:rPr>
            </w:pPr>
            <w:r>
              <w:rPr>
                <w:rFonts w:hint="eastAsia" w:ascii="宋体" w:hAnsi="宋体"/>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10" w:type="dxa"/>
            <w:vAlign w:val="center"/>
          </w:tcPr>
          <w:p>
            <w:pPr>
              <w:spacing w:line="240" w:lineRule="atLeast"/>
              <w:jc w:val="center"/>
              <w:rPr>
                <w:rFonts w:ascii="宋体" w:hAnsi="宋体"/>
                <w:sz w:val="21"/>
                <w:szCs w:val="21"/>
              </w:rPr>
            </w:pPr>
            <w:r>
              <w:rPr>
                <w:rFonts w:hint="eastAsia" w:ascii="宋体" w:hAnsi="宋体"/>
                <w:sz w:val="21"/>
                <w:szCs w:val="21"/>
              </w:rPr>
              <w:t>500以上-1000</w:t>
            </w:r>
          </w:p>
        </w:tc>
        <w:tc>
          <w:tcPr>
            <w:tcW w:w="2273" w:type="dxa"/>
            <w:vAlign w:val="center"/>
          </w:tcPr>
          <w:p>
            <w:pPr>
              <w:spacing w:line="240" w:lineRule="atLeast"/>
              <w:jc w:val="center"/>
              <w:rPr>
                <w:rFonts w:ascii="宋体" w:hAnsi="宋体"/>
                <w:sz w:val="21"/>
                <w:szCs w:val="21"/>
              </w:rPr>
            </w:pPr>
            <w:r>
              <w:rPr>
                <w:rFonts w:hint="eastAsia" w:ascii="宋体" w:hAnsi="宋体"/>
                <w:sz w:val="21"/>
                <w:szCs w:val="21"/>
              </w:rPr>
              <w:t>0.8%</w:t>
            </w:r>
          </w:p>
        </w:tc>
        <w:tc>
          <w:tcPr>
            <w:tcW w:w="2273" w:type="dxa"/>
            <w:vAlign w:val="center"/>
          </w:tcPr>
          <w:p>
            <w:pPr>
              <w:spacing w:line="240" w:lineRule="atLeast"/>
              <w:jc w:val="center"/>
              <w:rPr>
                <w:rFonts w:ascii="宋体" w:hAnsi="宋体"/>
                <w:sz w:val="21"/>
                <w:szCs w:val="21"/>
              </w:rPr>
            </w:pPr>
            <w:r>
              <w:rPr>
                <w:rFonts w:hint="eastAsia" w:ascii="宋体" w:hAnsi="宋体"/>
                <w:sz w:val="21"/>
                <w:szCs w:val="21"/>
              </w:rPr>
              <w:t>0.45%</w:t>
            </w:r>
          </w:p>
        </w:tc>
        <w:tc>
          <w:tcPr>
            <w:tcW w:w="2272" w:type="dxa"/>
            <w:vAlign w:val="center"/>
          </w:tcPr>
          <w:p>
            <w:pPr>
              <w:spacing w:line="240" w:lineRule="atLeast"/>
              <w:jc w:val="center"/>
              <w:rPr>
                <w:rFonts w:ascii="宋体" w:hAnsi="宋体"/>
                <w:sz w:val="21"/>
                <w:szCs w:val="21"/>
              </w:rPr>
            </w:pPr>
            <w:r>
              <w:rPr>
                <w:rFonts w:hint="eastAsia" w:ascii="宋体" w:hAnsi="宋体"/>
                <w:sz w:val="21"/>
                <w:szCs w:val="21"/>
              </w:rPr>
              <w:t>0.55%</w:t>
            </w:r>
          </w:p>
        </w:tc>
      </w:tr>
    </w:tbl>
    <w:p>
      <w:pPr>
        <w:snapToGrid w:val="0"/>
        <w:spacing w:line="360" w:lineRule="auto"/>
        <w:ind w:firstLine="480" w:firstLineChars="200"/>
        <w:rPr>
          <w:rFonts w:ascii="宋体" w:hAnsi="宋体"/>
          <w:sz w:val="24"/>
        </w:rPr>
      </w:pPr>
      <w:r>
        <w:rPr>
          <w:rFonts w:hint="eastAsia" w:ascii="宋体" w:hAnsi="宋体"/>
          <w:sz w:val="24"/>
        </w:rPr>
        <w:t>注：采购代理服务收费按差额定率累进法计算。采购代理服务费按上表计算出不足3</w:t>
      </w:r>
      <w:r>
        <w:rPr>
          <w:rFonts w:ascii="宋体" w:hAnsi="宋体"/>
          <w:sz w:val="24"/>
        </w:rPr>
        <w:t>5</w:t>
      </w:r>
      <w:r>
        <w:rPr>
          <w:rFonts w:hint="eastAsia" w:ascii="宋体" w:hAnsi="宋体"/>
          <w:sz w:val="24"/>
        </w:rPr>
        <w:t>00元的，按3</w:t>
      </w:r>
      <w:r>
        <w:rPr>
          <w:rFonts w:ascii="宋体" w:hAnsi="宋体"/>
          <w:sz w:val="24"/>
        </w:rPr>
        <w:t>5</w:t>
      </w:r>
      <w:r>
        <w:rPr>
          <w:rFonts w:hint="eastAsia" w:ascii="宋体" w:hAnsi="宋体"/>
          <w:sz w:val="24"/>
        </w:rPr>
        <w:t>00元记取。</w:t>
      </w:r>
    </w:p>
    <w:p>
      <w:pPr>
        <w:snapToGrid w:val="0"/>
        <w:spacing w:line="360" w:lineRule="auto"/>
        <w:ind w:firstLine="480" w:firstLineChars="200"/>
        <w:rPr>
          <w:rFonts w:ascii="宋体" w:hAnsi="宋体"/>
          <w:sz w:val="24"/>
          <w:szCs w:val="24"/>
        </w:rPr>
      </w:pPr>
      <w:r>
        <w:rPr>
          <w:rFonts w:hint="eastAsia" w:ascii="宋体" w:hAnsi="宋体"/>
          <w:sz w:val="24"/>
          <w:szCs w:val="24"/>
        </w:rPr>
        <w:t>（二）采购代理服务费缴纳账户信息：</w:t>
      </w:r>
    </w:p>
    <w:p>
      <w:pPr>
        <w:snapToGrid w:val="0"/>
        <w:spacing w:line="360" w:lineRule="auto"/>
        <w:ind w:firstLine="482" w:firstLineChars="200"/>
        <w:rPr>
          <w:rFonts w:ascii="宋体" w:hAnsi="宋体"/>
          <w:b/>
          <w:sz w:val="24"/>
          <w:szCs w:val="24"/>
        </w:rPr>
      </w:pPr>
      <w:r>
        <w:rPr>
          <w:rFonts w:hint="eastAsia" w:ascii="宋体" w:hAnsi="宋体"/>
          <w:b/>
          <w:sz w:val="24"/>
          <w:szCs w:val="24"/>
        </w:rPr>
        <w:t>户  名：重庆市中基致信招标代理有限公司</w:t>
      </w:r>
    </w:p>
    <w:p>
      <w:pPr>
        <w:snapToGrid w:val="0"/>
        <w:spacing w:line="360" w:lineRule="auto"/>
        <w:ind w:firstLine="482" w:firstLineChars="200"/>
        <w:rPr>
          <w:rFonts w:ascii="宋体" w:hAnsi="宋体"/>
          <w:b/>
          <w:sz w:val="24"/>
          <w:szCs w:val="24"/>
        </w:rPr>
      </w:pPr>
      <w:r>
        <w:rPr>
          <w:rFonts w:hint="eastAsia" w:ascii="宋体" w:hAnsi="宋体"/>
          <w:b/>
          <w:sz w:val="24"/>
          <w:szCs w:val="24"/>
        </w:rPr>
        <w:t>开户行：中国银行重庆江北支行</w:t>
      </w:r>
    </w:p>
    <w:p>
      <w:pPr>
        <w:snapToGrid w:val="0"/>
        <w:spacing w:line="360" w:lineRule="auto"/>
        <w:ind w:firstLine="482" w:firstLineChars="200"/>
        <w:rPr>
          <w:rFonts w:ascii="宋体" w:hAnsi="宋体"/>
          <w:b/>
          <w:sz w:val="24"/>
          <w:szCs w:val="24"/>
        </w:rPr>
      </w:pPr>
      <w:r>
        <w:rPr>
          <w:rFonts w:hint="eastAsia" w:ascii="宋体" w:hAnsi="宋体"/>
          <w:b/>
          <w:sz w:val="24"/>
          <w:szCs w:val="24"/>
        </w:rPr>
        <w:t>账  号：1144 6718 4234</w:t>
      </w:r>
    </w:p>
    <w:p>
      <w:pPr>
        <w:pStyle w:val="6"/>
        <w:spacing w:before="0" w:after="0" w:line="360" w:lineRule="auto"/>
        <w:ind w:firstLine="482" w:firstLineChars="200"/>
        <w:rPr>
          <w:rFonts w:ascii="宋体" w:hAnsi="宋体"/>
          <w:sz w:val="24"/>
          <w:szCs w:val="24"/>
        </w:rPr>
      </w:pPr>
      <w:bookmarkStart w:id="98" w:name="_Toc102227322"/>
      <w:bookmarkStart w:id="99" w:name="_Toc152145329"/>
      <w:bookmarkStart w:id="100" w:name="_Toc342913396"/>
      <w:bookmarkStart w:id="101" w:name="_Toc11641055"/>
      <w:bookmarkStart w:id="102" w:name="_Toc12789059"/>
      <w:r>
        <w:rPr>
          <w:rFonts w:hint="eastAsia" w:ascii="宋体" w:hAnsi="宋体"/>
          <w:sz w:val="24"/>
          <w:szCs w:val="24"/>
        </w:rPr>
        <w:t>八、签订</w:t>
      </w:r>
      <w:bookmarkEnd w:id="98"/>
      <w:r>
        <w:rPr>
          <w:rFonts w:hint="eastAsia" w:ascii="宋体" w:hAnsi="宋体"/>
          <w:sz w:val="24"/>
          <w:szCs w:val="24"/>
        </w:rPr>
        <w:t>合同</w:t>
      </w:r>
      <w:bookmarkEnd w:id="99"/>
      <w:bookmarkEnd w:id="100"/>
    </w:p>
    <w:p>
      <w:pPr>
        <w:spacing w:line="360" w:lineRule="auto"/>
        <w:ind w:firstLine="480" w:firstLineChars="200"/>
        <w:rPr>
          <w:rFonts w:ascii="宋体" w:hAnsi="宋体"/>
          <w:sz w:val="24"/>
          <w:szCs w:val="24"/>
        </w:rPr>
      </w:pPr>
      <w:r>
        <w:rPr>
          <w:rFonts w:hint="eastAsia" w:ascii="宋体" w:hAnsi="宋体"/>
          <w:sz w:val="24"/>
          <w:szCs w:val="24"/>
        </w:rPr>
        <w:t>（一）采购人与成交供应商应当在成交通知书发出之日起20日内，按照比选文件确定的合同文本以及技术和服务要求等事项签订政府采购合同。</w:t>
      </w:r>
    </w:p>
    <w:p>
      <w:pPr>
        <w:spacing w:line="360" w:lineRule="auto"/>
        <w:ind w:firstLine="480" w:firstLineChars="200"/>
        <w:rPr>
          <w:rFonts w:ascii="宋体" w:hAnsi="宋体"/>
          <w:sz w:val="24"/>
          <w:szCs w:val="24"/>
        </w:rPr>
      </w:pPr>
      <w:r>
        <w:rPr>
          <w:rFonts w:hint="eastAsia" w:ascii="宋体" w:hAnsi="宋体"/>
          <w:sz w:val="24"/>
          <w:szCs w:val="24"/>
        </w:rPr>
        <w:t>（二）竞争性比选文件、成交供应商的响应文件及有效承诺文件等，均为签订合同的依据。</w:t>
      </w:r>
    </w:p>
    <w:p>
      <w:pPr>
        <w:spacing w:line="360" w:lineRule="auto"/>
        <w:ind w:firstLine="480" w:firstLineChars="200"/>
        <w:rPr>
          <w:rFonts w:ascii="宋体" w:hAnsi="宋体"/>
          <w:sz w:val="24"/>
          <w:szCs w:val="24"/>
        </w:rPr>
      </w:pPr>
      <w:r>
        <w:rPr>
          <w:rFonts w:hint="eastAsia" w:ascii="宋体" w:hAnsi="宋体"/>
          <w:sz w:val="24"/>
          <w:szCs w:val="24"/>
        </w:rPr>
        <w:t>（三）如成交供应商放弃成交项目或在签订合同时擅自改变成交状态的，采购人将按照相关法律法规处理。</w:t>
      </w:r>
    </w:p>
    <w:p>
      <w:pPr>
        <w:spacing w:line="360" w:lineRule="auto"/>
        <w:ind w:firstLine="480" w:firstLineChars="200"/>
        <w:rPr>
          <w:rFonts w:ascii="宋体" w:hAnsi="宋体"/>
          <w:sz w:val="24"/>
          <w:szCs w:val="24"/>
        </w:rPr>
      </w:pPr>
      <w:r>
        <w:rPr>
          <w:rFonts w:hint="eastAsia" w:ascii="宋体" w:hAnsi="宋体"/>
          <w:sz w:val="24"/>
          <w:szCs w:val="24"/>
        </w:rPr>
        <w:t>（四）采购人不得向成交供应商提出超出竞争性比选文件以外的任何要求作为签订合同的条件，不得与成交供应商订立背离竞争性比选确定的合同文本以及采购标的、规格型号、采购金额、采购数量、技术和服务要求等实质性内容的协议。</w:t>
      </w:r>
    </w:p>
    <w:p>
      <w:pPr>
        <w:spacing w:line="360" w:lineRule="auto"/>
        <w:ind w:firstLine="480" w:firstLineChars="200"/>
        <w:rPr>
          <w:rFonts w:ascii="宋体" w:hAnsi="宋体"/>
          <w:sz w:val="24"/>
          <w:szCs w:val="24"/>
        </w:rPr>
      </w:pPr>
      <w:r>
        <w:rPr>
          <w:rFonts w:hint="eastAsia" w:ascii="宋体" w:hAnsi="宋体"/>
          <w:sz w:val="24"/>
          <w:szCs w:val="24"/>
        </w:rPr>
        <w:t>（五）除不可抗力等因素外，成交通知书发出后，采购人改变成交结果，或者成交供应商拒绝签订政府采购合同的，应当承担相应的法律责任。</w:t>
      </w:r>
    </w:p>
    <w:p>
      <w:pPr>
        <w:pStyle w:val="5"/>
        <w:pageBreakBefore/>
        <w:spacing w:line="360" w:lineRule="auto"/>
        <w:jc w:val="center"/>
        <w:rPr>
          <w:rFonts w:ascii="宋体" w:hAnsi="宋体" w:eastAsia="宋体"/>
          <w:sz w:val="36"/>
          <w:szCs w:val="30"/>
        </w:rPr>
      </w:pPr>
      <w:bookmarkStart w:id="103" w:name="_Toc152145330"/>
      <w:r>
        <w:rPr>
          <w:rFonts w:hint="eastAsia" w:ascii="宋体" w:hAnsi="宋体" w:eastAsia="宋体"/>
          <w:sz w:val="36"/>
          <w:szCs w:val="30"/>
        </w:rPr>
        <w:t xml:space="preserve">第六篇  </w:t>
      </w:r>
      <w:bookmarkEnd w:id="101"/>
      <w:bookmarkEnd w:id="102"/>
      <w:r>
        <w:rPr>
          <w:rFonts w:hint="eastAsia" w:ascii="宋体" w:hAnsi="宋体" w:eastAsia="宋体"/>
          <w:sz w:val="36"/>
          <w:szCs w:val="30"/>
        </w:rPr>
        <w:t>合同草案条款</w:t>
      </w:r>
      <w:bookmarkEnd w:id="103"/>
    </w:p>
    <w:p>
      <w:pPr>
        <w:pStyle w:val="6"/>
        <w:spacing w:before="0" w:after="0" w:line="360" w:lineRule="auto"/>
        <w:ind w:firstLine="482" w:firstLineChars="200"/>
        <w:rPr>
          <w:rFonts w:ascii="宋体" w:hAnsi="宋体"/>
          <w:sz w:val="24"/>
          <w:szCs w:val="24"/>
        </w:rPr>
      </w:pPr>
      <w:bookmarkStart w:id="104" w:name="_Hlt41879464"/>
      <w:bookmarkEnd w:id="104"/>
      <w:bookmarkStart w:id="105" w:name="_Toc277084870"/>
      <w:bookmarkStart w:id="106" w:name="_Toc78194465"/>
      <w:bookmarkStart w:id="107" w:name="_Toc285722712"/>
      <w:bookmarkStart w:id="108" w:name="_Toc152145331"/>
      <w:bookmarkStart w:id="109" w:name="_Toc508007737"/>
      <w:bookmarkStart w:id="110" w:name="_Toc12789072"/>
      <w:r>
        <w:rPr>
          <w:rFonts w:hint="eastAsia" w:ascii="宋体" w:hAnsi="宋体"/>
          <w:sz w:val="24"/>
          <w:szCs w:val="24"/>
        </w:rPr>
        <w:t>一、合同主要条款</w:t>
      </w:r>
      <w:bookmarkEnd w:id="105"/>
      <w:bookmarkEnd w:id="106"/>
      <w:bookmarkEnd w:id="107"/>
      <w:bookmarkEnd w:id="108"/>
      <w:bookmarkEnd w:id="109"/>
    </w:p>
    <w:p>
      <w:pPr>
        <w:snapToGrid w:val="0"/>
        <w:spacing w:line="360" w:lineRule="auto"/>
        <w:ind w:firstLine="480" w:firstLineChars="200"/>
        <w:outlineLvl w:val="0"/>
        <w:rPr>
          <w:rFonts w:ascii="宋体" w:hAnsi="宋体"/>
          <w:bCs/>
          <w:sz w:val="24"/>
        </w:rPr>
      </w:pPr>
      <w:r>
        <w:rPr>
          <w:rFonts w:hint="eastAsia" w:ascii="宋体" w:hAnsi="宋体"/>
          <w:bCs/>
          <w:sz w:val="24"/>
        </w:rPr>
        <w:t>（一）定义</w:t>
      </w:r>
    </w:p>
    <w:p>
      <w:pPr>
        <w:snapToGrid w:val="0"/>
        <w:spacing w:line="360" w:lineRule="auto"/>
        <w:ind w:firstLine="480" w:firstLineChars="200"/>
        <w:outlineLvl w:val="0"/>
        <w:rPr>
          <w:rFonts w:ascii="宋体" w:hAnsi="宋体"/>
          <w:bCs/>
          <w:sz w:val="24"/>
        </w:rPr>
      </w:pPr>
      <w:r>
        <w:rPr>
          <w:rFonts w:hint="eastAsia" w:ascii="宋体" w:hAnsi="宋体"/>
          <w:bCs/>
          <w:sz w:val="24"/>
        </w:rPr>
        <w:t>1.甲方（需方）即采购人，是指通过招标采购，接受服务的各级国家机关、事业单位和团体组织。</w:t>
      </w:r>
    </w:p>
    <w:p>
      <w:pPr>
        <w:snapToGrid w:val="0"/>
        <w:spacing w:line="360" w:lineRule="auto"/>
        <w:ind w:firstLine="480" w:firstLineChars="200"/>
        <w:outlineLvl w:val="0"/>
        <w:rPr>
          <w:rFonts w:ascii="宋体" w:hAnsi="宋体"/>
          <w:bCs/>
          <w:sz w:val="24"/>
        </w:rPr>
      </w:pPr>
      <w:r>
        <w:rPr>
          <w:rFonts w:hint="eastAsia" w:ascii="宋体" w:hAnsi="宋体"/>
          <w:bCs/>
          <w:sz w:val="24"/>
        </w:rPr>
        <w:t>2.乙方（供方）即成交供应商，是指中标后提供服务的自然人、法人及其他组织。</w:t>
      </w:r>
    </w:p>
    <w:p>
      <w:pPr>
        <w:snapToGrid w:val="0"/>
        <w:spacing w:line="360" w:lineRule="auto"/>
        <w:ind w:firstLine="480" w:firstLineChars="200"/>
        <w:outlineLvl w:val="0"/>
        <w:rPr>
          <w:rFonts w:ascii="宋体" w:hAnsi="宋体"/>
          <w:bCs/>
          <w:sz w:val="24"/>
        </w:rPr>
      </w:pPr>
      <w:r>
        <w:rPr>
          <w:rFonts w:hint="eastAsia" w:ascii="宋体" w:hAnsi="宋体"/>
          <w:bCs/>
          <w:sz w:val="24"/>
        </w:rPr>
        <w:t>3.合同是指由甲乙双方按照采购文件和投标文件的实质性内容，通过协商一致达成的书面协议。</w:t>
      </w:r>
    </w:p>
    <w:p>
      <w:pPr>
        <w:snapToGrid w:val="0"/>
        <w:spacing w:line="360" w:lineRule="auto"/>
        <w:ind w:firstLine="480" w:firstLineChars="200"/>
        <w:outlineLvl w:val="0"/>
        <w:rPr>
          <w:rFonts w:ascii="宋体" w:hAnsi="宋体"/>
          <w:bCs/>
          <w:sz w:val="24"/>
        </w:rPr>
      </w:pPr>
      <w:r>
        <w:rPr>
          <w:rFonts w:hint="eastAsia" w:ascii="宋体" w:hAnsi="宋体"/>
          <w:bCs/>
          <w:sz w:val="24"/>
        </w:rPr>
        <w:t>4.合同价格指以中标价格为依据，在供方全面履行合同义务后，需方（或财政部门）应支付给供方的金额。</w:t>
      </w:r>
    </w:p>
    <w:p>
      <w:pPr>
        <w:snapToGrid w:val="0"/>
        <w:spacing w:line="360" w:lineRule="auto"/>
        <w:ind w:firstLine="480" w:firstLineChars="200"/>
        <w:outlineLvl w:val="0"/>
        <w:rPr>
          <w:rFonts w:ascii="宋体" w:hAnsi="宋体"/>
          <w:bCs/>
          <w:sz w:val="24"/>
        </w:rPr>
      </w:pPr>
      <w:r>
        <w:rPr>
          <w:rFonts w:hint="eastAsia" w:ascii="宋体" w:hAnsi="宋体"/>
          <w:bCs/>
          <w:sz w:val="24"/>
        </w:rPr>
        <w:t>（二）服务内容</w:t>
      </w:r>
    </w:p>
    <w:p>
      <w:pPr>
        <w:snapToGrid w:val="0"/>
        <w:spacing w:line="360" w:lineRule="auto"/>
        <w:ind w:firstLine="480" w:firstLineChars="200"/>
        <w:outlineLvl w:val="0"/>
        <w:rPr>
          <w:rFonts w:ascii="宋体" w:hAnsi="宋体"/>
          <w:bCs/>
          <w:sz w:val="24"/>
        </w:rPr>
      </w:pPr>
      <w:r>
        <w:rPr>
          <w:rFonts w:hint="eastAsia" w:ascii="宋体" w:hAnsi="宋体"/>
          <w:bCs/>
          <w:sz w:val="24"/>
        </w:rPr>
        <w:t xml:space="preserve">合同包括以下服务内容： </w:t>
      </w:r>
    </w:p>
    <w:p>
      <w:pPr>
        <w:snapToGrid w:val="0"/>
        <w:spacing w:line="360" w:lineRule="auto"/>
        <w:ind w:firstLine="480" w:firstLineChars="200"/>
        <w:outlineLvl w:val="0"/>
        <w:rPr>
          <w:rFonts w:ascii="宋体" w:hAnsi="宋体"/>
          <w:bCs/>
          <w:sz w:val="24"/>
        </w:rPr>
      </w:pPr>
      <w:r>
        <w:rPr>
          <w:rFonts w:hint="eastAsia" w:ascii="宋体" w:hAnsi="宋体"/>
          <w:bCs/>
          <w:sz w:val="24"/>
        </w:rPr>
        <w:t>（三）合同价格</w:t>
      </w:r>
    </w:p>
    <w:p>
      <w:pPr>
        <w:snapToGrid w:val="0"/>
        <w:spacing w:line="360" w:lineRule="auto"/>
        <w:ind w:firstLine="480" w:firstLineChars="200"/>
        <w:outlineLvl w:val="0"/>
        <w:rPr>
          <w:rFonts w:ascii="宋体" w:hAnsi="宋体"/>
          <w:bCs/>
          <w:sz w:val="24"/>
        </w:rPr>
      </w:pPr>
      <w:r>
        <w:rPr>
          <w:rFonts w:hint="eastAsia" w:ascii="宋体" w:hAnsi="宋体"/>
          <w:bCs/>
          <w:sz w:val="24"/>
        </w:rPr>
        <w:t>1.合同价格即合同总价。</w:t>
      </w:r>
    </w:p>
    <w:p>
      <w:pPr>
        <w:snapToGrid w:val="0"/>
        <w:spacing w:line="360" w:lineRule="auto"/>
        <w:ind w:firstLine="480" w:firstLineChars="200"/>
        <w:outlineLvl w:val="0"/>
        <w:rPr>
          <w:rFonts w:ascii="宋体" w:hAnsi="宋体"/>
          <w:bCs/>
          <w:sz w:val="24"/>
        </w:rPr>
      </w:pPr>
      <w:r>
        <w:rPr>
          <w:rFonts w:hint="eastAsia" w:ascii="宋体" w:hAnsi="宋体"/>
          <w:bCs/>
          <w:sz w:val="24"/>
        </w:rPr>
        <w:t>2.合同价格</w:t>
      </w:r>
      <w:r>
        <w:rPr>
          <w:rFonts w:hint="eastAsia" w:ascii="宋体" w:hAnsi="宋体"/>
          <w:sz w:val="24"/>
          <w:szCs w:val="24"/>
        </w:rPr>
        <w:t>包括（但不限于）服务费、咨询费、文件编制费、利润、税金及其它与本项目相关的一切费用。因乙方供应商自身原因造成漏报、少报皆由其自行承担责任，甲方不再补偿。</w:t>
      </w:r>
    </w:p>
    <w:p>
      <w:pPr>
        <w:snapToGrid w:val="0"/>
        <w:spacing w:line="360" w:lineRule="auto"/>
        <w:ind w:firstLine="480" w:firstLineChars="200"/>
        <w:outlineLvl w:val="0"/>
        <w:rPr>
          <w:rFonts w:ascii="宋体" w:hAnsi="宋体"/>
          <w:bCs/>
          <w:sz w:val="24"/>
        </w:rPr>
      </w:pPr>
      <w:r>
        <w:rPr>
          <w:rFonts w:hint="eastAsia" w:ascii="宋体" w:hAnsi="宋体"/>
          <w:bCs/>
          <w:sz w:val="24"/>
        </w:rPr>
        <w:t>3.合同价为不变价。</w:t>
      </w:r>
    </w:p>
    <w:p>
      <w:pPr>
        <w:snapToGrid w:val="0"/>
        <w:spacing w:line="360" w:lineRule="auto"/>
        <w:ind w:firstLine="480" w:firstLineChars="200"/>
        <w:outlineLvl w:val="0"/>
        <w:rPr>
          <w:rFonts w:ascii="宋体" w:hAnsi="宋体"/>
          <w:bCs/>
          <w:sz w:val="24"/>
        </w:rPr>
      </w:pPr>
      <w:r>
        <w:rPr>
          <w:rFonts w:hint="eastAsia" w:ascii="宋体" w:hAnsi="宋体"/>
          <w:bCs/>
          <w:sz w:val="24"/>
        </w:rPr>
        <w:t>（四）转包和分包</w:t>
      </w:r>
    </w:p>
    <w:p>
      <w:pPr>
        <w:snapToGrid w:val="0"/>
        <w:spacing w:line="360" w:lineRule="auto"/>
        <w:ind w:firstLine="480" w:firstLineChars="200"/>
        <w:outlineLvl w:val="0"/>
        <w:rPr>
          <w:rFonts w:ascii="宋体" w:hAnsi="宋体"/>
          <w:bCs/>
          <w:sz w:val="24"/>
        </w:rPr>
      </w:pPr>
      <w:r>
        <w:rPr>
          <w:rFonts w:hint="eastAsia" w:ascii="宋体" w:hAnsi="宋体"/>
          <w:bCs/>
          <w:sz w:val="24"/>
        </w:rPr>
        <w:t>1.本合同范围的所有服务工作，应由乙方直接提供，不得转让他人提供。</w:t>
      </w:r>
    </w:p>
    <w:p>
      <w:pPr>
        <w:snapToGrid w:val="0"/>
        <w:spacing w:line="360" w:lineRule="auto"/>
        <w:ind w:firstLine="480" w:firstLineChars="200"/>
        <w:outlineLvl w:val="0"/>
        <w:rPr>
          <w:rFonts w:ascii="宋体" w:hAnsi="宋体"/>
          <w:bCs/>
          <w:sz w:val="24"/>
        </w:rPr>
      </w:pPr>
      <w:r>
        <w:rPr>
          <w:rFonts w:hint="eastAsia" w:ascii="宋体" w:hAnsi="宋体"/>
          <w:bCs/>
          <w:sz w:val="24"/>
        </w:rPr>
        <w:t>2.非经甲方书面同意，乙方不得将本合同范围的服务工作全部或部分转包给他人提供。</w:t>
      </w:r>
    </w:p>
    <w:p>
      <w:pPr>
        <w:snapToGrid w:val="0"/>
        <w:spacing w:line="360" w:lineRule="auto"/>
        <w:ind w:firstLine="480" w:firstLineChars="200"/>
        <w:outlineLvl w:val="0"/>
        <w:rPr>
          <w:rFonts w:ascii="宋体" w:hAnsi="宋体"/>
          <w:bCs/>
          <w:sz w:val="24"/>
        </w:rPr>
      </w:pPr>
      <w:r>
        <w:rPr>
          <w:rFonts w:hint="eastAsia" w:ascii="宋体" w:hAnsi="宋体"/>
          <w:bCs/>
          <w:sz w:val="24"/>
        </w:rPr>
        <w:t>3.如有转包和未经甲方同意的分包行为，甲方有权解除合同，没收履约保证金并追究乙方的违约责任。</w:t>
      </w:r>
    </w:p>
    <w:p>
      <w:pPr>
        <w:adjustRightInd w:val="0"/>
        <w:snapToGrid w:val="0"/>
        <w:spacing w:line="360" w:lineRule="auto"/>
        <w:ind w:firstLine="480" w:firstLineChars="200"/>
        <w:rPr>
          <w:rFonts w:ascii="宋体" w:hAnsi="宋体"/>
          <w:sz w:val="24"/>
        </w:rPr>
      </w:pPr>
      <w:r>
        <w:rPr>
          <w:rFonts w:hint="eastAsia" w:ascii="宋体" w:hAnsi="宋体"/>
          <w:bCs/>
          <w:sz w:val="24"/>
        </w:rPr>
        <w:t>（五）质量保证及售后服务</w:t>
      </w:r>
    </w:p>
    <w:p>
      <w:pPr>
        <w:adjustRightInd w:val="0"/>
        <w:snapToGrid w:val="0"/>
        <w:spacing w:line="360" w:lineRule="auto"/>
        <w:ind w:firstLine="480" w:firstLineChars="200"/>
        <w:rPr>
          <w:rFonts w:ascii="宋体" w:hAnsi="宋体"/>
          <w:sz w:val="24"/>
        </w:rPr>
      </w:pPr>
      <w:r>
        <w:rPr>
          <w:rFonts w:hint="eastAsia" w:ascii="宋体" w:hAnsi="宋体"/>
          <w:sz w:val="24"/>
        </w:rPr>
        <w:t>1.乙方应按采购文件规定要求向甲方提供服务。</w:t>
      </w:r>
    </w:p>
    <w:p>
      <w:pPr>
        <w:adjustRightInd w:val="0"/>
        <w:snapToGrid w:val="0"/>
        <w:spacing w:line="360" w:lineRule="auto"/>
        <w:ind w:firstLine="480" w:firstLineChars="200"/>
        <w:rPr>
          <w:rFonts w:ascii="宋体" w:hAnsi="宋体"/>
          <w:sz w:val="24"/>
        </w:rPr>
      </w:pPr>
      <w:r>
        <w:rPr>
          <w:rFonts w:hint="eastAsia" w:ascii="宋体" w:hAnsi="宋体"/>
          <w:sz w:val="24"/>
        </w:rPr>
        <w:t>2.在服务期内，乙方应对服务质量负责。</w:t>
      </w:r>
    </w:p>
    <w:p>
      <w:pPr>
        <w:adjustRightInd w:val="0"/>
        <w:snapToGrid w:val="0"/>
        <w:spacing w:line="360" w:lineRule="auto"/>
        <w:ind w:firstLine="480" w:firstLineChars="200"/>
        <w:rPr>
          <w:rFonts w:ascii="宋体" w:hAnsi="宋体"/>
          <w:sz w:val="24"/>
        </w:rPr>
      </w:pPr>
      <w:r>
        <w:rPr>
          <w:rFonts w:hint="eastAsia" w:ascii="宋体" w:hAnsi="宋体"/>
          <w:sz w:val="24"/>
        </w:rPr>
        <w:t>3.如甲方要求乙方提供履约保证金的，履约保证金的收取和退还应按本项目采购文件第三篇“项目商务要求”的要求处理。</w:t>
      </w:r>
    </w:p>
    <w:p>
      <w:pPr>
        <w:adjustRightInd w:val="0"/>
        <w:snapToGrid w:val="0"/>
        <w:spacing w:line="360" w:lineRule="auto"/>
        <w:ind w:firstLine="480" w:firstLineChars="200"/>
        <w:rPr>
          <w:rFonts w:ascii="宋体" w:hAnsi="宋体"/>
          <w:sz w:val="24"/>
        </w:rPr>
      </w:pPr>
      <w:r>
        <w:rPr>
          <w:rFonts w:hint="eastAsia" w:ascii="宋体" w:hAnsi="宋体"/>
          <w:sz w:val="24"/>
        </w:rPr>
        <w:t>（六）付款</w:t>
      </w:r>
    </w:p>
    <w:p>
      <w:pPr>
        <w:adjustRightInd w:val="0"/>
        <w:snapToGrid w:val="0"/>
        <w:spacing w:line="360" w:lineRule="auto"/>
        <w:ind w:firstLine="480" w:firstLineChars="200"/>
        <w:rPr>
          <w:rFonts w:ascii="宋体" w:hAnsi="宋体"/>
          <w:sz w:val="24"/>
        </w:rPr>
      </w:pPr>
      <w:r>
        <w:rPr>
          <w:rFonts w:hint="eastAsia" w:ascii="宋体" w:hAnsi="宋体"/>
          <w:sz w:val="24"/>
        </w:rPr>
        <w:t>1.本合同使用货币币制如未作特别说明均为人民币。</w:t>
      </w:r>
    </w:p>
    <w:p>
      <w:pPr>
        <w:adjustRightInd w:val="0"/>
        <w:snapToGrid w:val="0"/>
        <w:spacing w:line="360" w:lineRule="auto"/>
        <w:ind w:firstLine="480" w:firstLineChars="200"/>
        <w:rPr>
          <w:rFonts w:ascii="宋体" w:hAnsi="宋体"/>
          <w:sz w:val="24"/>
        </w:rPr>
      </w:pPr>
      <w:r>
        <w:rPr>
          <w:rFonts w:hint="eastAsia" w:ascii="宋体" w:hAnsi="宋体"/>
          <w:sz w:val="24"/>
        </w:rPr>
        <w:t>2.付款方式：银行转账、现金支票。</w:t>
      </w:r>
    </w:p>
    <w:p>
      <w:pPr>
        <w:adjustRightInd w:val="0"/>
        <w:snapToGrid w:val="0"/>
        <w:spacing w:line="360" w:lineRule="auto"/>
        <w:ind w:firstLine="480" w:firstLineChars="200"/>
        <w:rPr>
          <w:rFonts w:ascii="宋体" w:hAnsi="宋体"/>
          <w:sz w:val="24"/>
        </w:rPr>
      </w:pPr>
      <w:r>
        <w:rPr>
          <w:rFonts w:hint="eastAsia" w:ascii="宋体" w:hAnsi="宋体"/>
          <w:sz w:val="24"/>
        </w:rPr>
        <w:t>3.付款方法：参照本项目采购文件第三篇“项目商务要求”中关于付款方式的约定。</w:t>
      </w:r>
    </w:p>
    <w:p>
      <w:pPr>
        <w:adjustRightInd w:val="0"/>
        <w:snapToGrid w:val="0"/>
        <w:spacing w:line="360" w:lineRule="auto"/>
        <w:ind w:firstLine="480" w:firstLineChars="200"/>
        <w:rPr>
          <w:rFonts w:ascii="宋体" w:hAnsi="宋体"/>
          <w:sz w:val="24"/>
        </w:rPr>
      </w:pPr>
      <w:r>
        <w:rPr>
          <w:rFonts w:hint="eastAsia" w:ascii="宋体" w:hAnsi="宋体"/>
          <w:sz w:val="24"/>
        </w:rPr>
        <w:t>（七）检查验收</w:t>
      </w:r>
    </w:p>
    <w:p>
      <w:pPr>
        <w:adjustRightInd w:val="0"/>
        <w:snapToGrid w:val="0"/>
        <w:spacing w:line="360" w:lineRule="auto"/>
        <w:ind w:firstLine="480" w:firstLineChars="200"/>
        <w:rPr>
          <w:rFonts w:ascii="宋体" w:hAnsi="宋体"/>
          <w:sz w:val="24"/>
        </w:rPr>
      </w:pPr>
      <w:r>
        <w:rPr>
          <w:rFonts w:hint="eastAsia" w:ascii="宋体" w:hAnsi="宋体"/>
          <w:sz w:val="24"/>
        </w:rPr>
        <w:t>（八）索赔</w:t>
      </w:r>
    </w:p>
    <w:p>
      <w:pPr>
        <w:adjustRightInd w:val="0"/>
        <w:snapToGrid w:val="0"/>
        <w:spacing w:line="360" w:lineRule="auto"/>
        <w:ind w:firstLine="480" w:firstLineChars="200"/>
        <w:rPr>
          <w:rFonts w:ascii="宋体" w:hAnsi="宋体"/>
          <w:sz w:val="24"/>
        </w:rPr>
      </w:pPr>
      <w:r>
        <w:rPr>
          <w:rFonts w:hint="eastAsia" w:ascii="宋体" w:hAnsi="宋体"/>
          <w:sz w:val="24"/>
        </w:rPr>
        <w:t>供方对服务与合同要求不符负有责任，并且需方已于规定服务内和质量保证期内提出索赔，供方应按需方同意的下述一种或多种方法解决索赔事宜。</w:t>
      </w:r>
    </w:p>
    <w:p>
      <w:pPr>
        <w:adjustRightInd w:val="0"/>
        <w:snapToGrid w:val="0"/>
        <w:spacing w:line="360" w:lineRule="auto"/>
        <w:ind w:firstLine="480" w:firstLineChars="200"/>
        <w:rPr>
          <w:rFonts w:ascii="宋体" w:hAnsi="宋体"/>
          <w:sz w:val="24"/>
        </w:rPr>
      </w:pPr>
      <w:r>
        <w:rPr>
          <w:rFonts w:hint="eastAsia" w:ascii="宋体" w:hAnsi="宋体"/>
          <w:sz w:val="24"/>
        </w:rPr>
        <w:t>（九）知识产权</w:t>
      </w:r>
    </w:p>
    <w:p>
      <w:pPr>
        <w:adjustRightInd w:val="0"/>
        <w:snapToGrid w:val="0"/>
        <w:spacing w:line="360" w:lineRule="auto"/>
        <w:ind w:firstLine="480" w:firstLineChars="200"/>
        <w:rPr>
          <w:rFonts w:ascii="宋体" w:hAnsi="宋体"/>
          <w:sz w:val="24"/>
        </w:rPr>
      </w:pPr>
      <w:r>
        <w:rPr>
          <w:rFonts w:hint="eastAsia" w:ascii="宋体" w:hAnsi="宋体" w:cs="宋体"/>
          <w:kern w:val="0"/>
          <w:sz w:val="24"/>
          <w:szCs w:val="24"/>
        </w:rPr>
        <w:t>甲方在中华人民共和国境内使用乙方提供的服务时免受第三方提出的侵犯其专利权或其它知识产权的起诉。如果第三方提出侵权指控，乙方应承担由此而引起的一切法律责任和费用。</w:t>
      </w:r>
    </w:p>
    <w:p>
      <w:pPr>
        <w:snapToGrid w:val="0"/>
        <w:spacing w:line="360" w:lineRule="auto"/>
        <w:ind w:firstLine="480" w:firstLineChars="200"/>
        <w:outlineLvl w:val="0"/>
        <w:rPr>
          <w:rFonts w:ascii="宋体" w:hAnsi="宋体"/>
          <w:bCs/>
          <w:sz w:val="24"/>
        </w:rPr>
      </w:pPr>
      <w:r>
        <w:rPr>
          <w:rFonts w:hint="eastAsia" w:ascii="宋体" w:hAnsi="宋体"/>
          <w:bCs/>
          <w:sz w:val="24"/>
        </w:rPr>
        <w:t>（十）合同争议的解决</w:t>
      </w:r>
    </w:p>
    <w:p>
      <w:pPr>
        <w:snapToGrid w:val="0"/>
        <w:spacing w:line="360" w:lineRule="auto"/>
        <w:ind w:firstLine="480" w:firstLineChars="200"/>
        <w:outlineLvl w:val="0"/>
        <w:rPr>
          <w:rFonts w:ascii="宋体" w:hAnsi="宋体"/>
          <w:bCs/>
          <w:sz w:val="24"/>
        </w:rPr>
      </w:pPr>
      <w:r>
        <w:rPr>
          <w:rFonts w:hint="eastAsia" w:ascii="宋体" w:hAnsi="宋体"/>
          <w:bCs/>
          <w:sz w:val="24"/>
        </w:rPr>
        <w:t>1.当事人友好协商达成一致；</w:t>
      </w:r>
    </w:p>
    <w:p>
      <w:pPr>
        <w:snapToGrid w:val="0"/>
        <w:spacing w:line="360" w:lineRule="auto"/>
        <w:ind w:firstLine="480" w:firstLineChars="200"/>
        <w:outlineLvl w:val="0"/>
        <w:rPr>
          <w:rFonts w:ascii="宋体" w:hAnsi="宋体"/>
          <w:bCs/>
          <w:sz w:val="24"/>
        </w:rPr>
      </w:pPr>
      <w:r>
        <w:rPr>
          <w:rFonts w:hint="eastAsia" w:ascii="宋体" w:hAnsi="宋体"/>
          <w:bCs/>
          <w:sz w:val="24"/>
        </w:rPr>
        <w:t>2.在60天内当事人协商不能达成协议的，可向需方所在人民法院提请诉讼。</w:t>
      </w:r>
    </w:p>
    <w:p>
      <w:pPr>
        <w:snapToGrid w:val="0"/>
        <w:spacing w:line="360" w:lineRule="auto"/>
        <w:ind w:firstLine="480" w:firstLineChars="200"/>
        <w:outlineLvl w:val="0"/>
        <w:rPr>
          <w:rFonts w:ascii="宋体" w:hAnsi="宋体"/>
          <w:bCs/>
          <w:sz w:val="24"/>
        </w:rPr>
      </w:pPr>
      <w:r>
        <w:rPr>
          <w:rFonts w:hint="eastAsia" w:ascii="宋体" w:hAnsi="宋体"/>
          <w:bCs/>
          <w:sz w:val="24"/>
        </w:rPr>
        <w:t>（十一）违约责任</w:t>
      </w:r>
    </w:p>
    <w:p>
      <w:pPr>
        <w:snapToGrid w:val="0"/>
        <w:spacing w:line="360" w:lineRule="auto"/>
        <w:ind w:firstLine="480" w:firstLineChars="200"/>
        <w:outlineLvl w:val="0"/>
        <w:rPr>
          <w:rFonts w:ascii="宋体" w:hAnsi="宋体"/>
          <w:bCs/>
          <w:sz w:val="24"/>
        </w:rPr>
      </w:pPr>
      <w:r>
        <w:rPr>
          <w:rFonts w:hint="eastAsia" w:ascii="宋体" w:hAnsi="宋体"/>
          <w:bCs/>
          <w:sz w:val="24"/>
        </w:rPr>
        <w:t>按《中华人民共和国民法典》、《中华人民共和国政府采购法》有关条款，或由供需双方约定。</w:t>
      </w:r>
    </w:p>
    <w:p>
      <w:pPr>
        <w:snapToGrid w:val="0"/>
        <w:spacing w:line="360" w:lineRule="auto"/>
        <w:ind w:firstLine="480" w:firstLineChars="200"/>
        <w:outlineLvl w:val="0"/>
        <w:rPr>
          <w:rFonts w:ascii="宋体" w:hAnsi="宋体"/>
          <w:bCs/>
          <w:sz w:val="24"/>
        </w:rPr>
      </w:pPr>
      <w:r>
        <w:rPr>
          <w:rFonts w:hint="eastAsia" w:ascii="宋体" w:hAnsi="宋体"/>
          <w:bCs/>
          <w:sz w:val="24"/>
        </w:rPr>
        <w:t>（十二）合同生效及其它</w:t>
      </w:r>
    </w:p>
    <w:p>
      <w:pPr>
        <w:snapToGrid w:val="0"/>
        <w:spacing w:line="360" w:lineRule="auto"/>
        <w:ind w:firstLine="480" w:firstLineChars="200"/>
        <w:outlineLvl w:val="0"/>
        <w:rPr>
          <w:rFonts w:ascii="宋体" w:hAnsi="宋体"/>
          <w:bCs/>
          <w:sz w:val="24"/>
        </w:rPr>
      </w:pPr>
      <w:r>
        <w:rPr>
          <w:rFonts w:hint="eastAsia" w:ascii="宋体" w:hAnsi="宋体"/>
          <w:bCs/>
          <w:sz w:val="24"/>
        </w:rPr>
        <w:t>1.合同生效及其效力应符合《中华人民共和国民法典》有关规定。</w:t>
      </w:r>
    </w:p>
    <w:p>
      <w:pPr>
        <w:snapToGrid w:val="0"/>
        <w:spacing w:line="360" w:lineRule="auto"/>
        <w:ind w:firstLine="480" w:firstLineChars="200"/>
        <w:outlineLvl w:val="0"/>
        <w:rPr>
          <w:rFonts w:ascii="宋体" w:hAnsi="宋体"/>
          <w:bCs/>
          <w:sz w:val="24"/>
        </w:rPr>
      </w:pPr>
      <w:r>
        <w:rPr>
          <w:rFonts w:hint="eastAsia" w:ascii="宋体" w:hAnsi="宋体"/>
          <w:bCs/>
          <w:sz w:val="24"/>
        </w:rPr>
        <w:t>2.合同应经当事人法定代表人或委托代理人签字，加盖双方合同专用章或公章。</w:t>
      </w:r>
    </w:p>
    <w:p>
      <w:pPr>
        <w:snapToGrid w:val="0"/>
        <w:spacing w:line="360" w:lineRule="auto"/>
        <w:ind w:firstLine="480" w:firstLineChars="200"/>
        <w:outlineLvl w:val="0"/>
        <w:rPr>
          <w:rFonts w:ascii="宋体" w:hAnsi="宋体"/>
          <w:bCs/>
          <w:sz w:val="24"/>
        </w:rPr>
      </w:pPr>
      <w:r>
        <w:rPr>
          <w:rFonts w:hint="eastAsia" w:ascii="宋体" w:hAnsi="宋体"/>
          <w:bCs/>
          <w:sz w:val="24"/>
        </w:rPr>
        <w:t>3.合同所包括附件，是合同不可分割的一部分，具有同等法法律效力。</w:t>
      </w:r>
    </w:p>
    <w:p>
      <w:pPr>
        <w:snapToGrid w:val="0"/>
        <w:spacing w:line="360" w:lineRule="auto"/>
        <w:ind w:firstLine="480" w:firstLineChars="200"/>
        <w:outlineLvl w:val="0"/>
        <w:rPr>
          <w:rFonts w:ascii="宋体" w:hAnsi="宋体"/>
          <w:bCs/>
          <w:sz w:val="24"/>
        </w:rPr>
      </w:pPr>
      <w:r>
        <w:rPr>
          <w:rFonts w:hint="eastAsia" w:ascii="宋体" w:hAnsi="宋体"/>
          <w:bCs/>
          <w:sz w:val="24"/>
        </w:rPr>
        <w:t>4.本合同条件未尽事宜依照《中华人民共和国民法典》，由供需双方共同协商确定。</w:t>
      </w:r>
    </w:p>
    <w:p>
      <w:pPr>
        <w:snapToGrid w:val="0"/>
        <w:spacing w:line="360" w:lineRule="auto"/>
        <w:jc w:val="center"/>
        <w:outlineLvl w:val="0"/>
        <w:rPr>
          <w:rFonts w:ascii="宋体" w:hAnsi="宋体"/>
          <w:sz w:val="44"/>
        </w:rPr>
        <w:sectPr>
          <w:pgSz w:w="11907" w:h="16840"/>
          <w:pgMar w:top="1134" w:right="1191" w:bottom="1134" w:left="1191" w:header="964" w:footer="992" w:gutter="0"/>
          <w:pgNumType w:fmt="numberInDash"/>
          <w:cols w:space="720" w:num="1"/>
          <w:docGrid w:linePitch="312" w:charSpace="0"/>
        </w:sectPr>
      </w:pPr>
    </w:p>
    <w:p>
      <w:pPr>
        <w:pStyle w:val="6"/>
        <w:spacing w:before="0" w:after="0" w:line="360" w:lineRule="auto"/>
        <w:ind w:firstLine="482" w:firstLineChars="200"/>
        <w:rPr>
          <w:rFonts w:ascii="宋体" w:hAnsi="宋体"/>
          <w:sz w:val="24"/>
          <w:szCs w:val="24"/>
        </w:rPr>
      </w:pPr>
      <w:bookmarkStart w:id="111" w:name="_Toc277084871"/>
      <w:bookmarkStart w:id="112" w:name="_Toc508178250"/>
      <w:bookmarkStart w:id="113" w:name="_Toc285722713"/>
      <w:bookmarkStart w:id="114" w:name="_Toc152145332"/>
      <w:r>
        <w:rPr>
          <w:rFonts w:hint="eastAsia" w:ascii="宋体" w:hAnsi="宋体"/>
          <w:sz w:val="24"/>
          <w:szCs w:val="24"/>
        </w:rPr>
        <w:t>二、政府采购合同（格式）</w:t>
      </w:r>
      <w:bookmarkEnd w:id="111"/>
      <w:bookmarkEnd w:id="112"/>
      <w:bookmarkEnd w:id="113"/>
      <w:bookmarkEnd w:id="114"/>
    </w:p>
    <w:p>
      <w:pPr>
        <w:spacing w:line="500" w:lineRule="exact"/>
        <w:jc w:val="center"/>
        <w:rPr>
          <w:rFonts w:ascii="宋体" w:hAnsi="宋体"/>
          <w:b/>
          <w:sz w:val="44"/>
        </w:rPr>
      </w:pPr>
    </w:p>
    <w:bookmarkEnd w:id="110"/>
    <w:p>
      <w:pPr>
        <w:spacing w:line="360" w:lineRule="auto"/>
        <w:jc w:val="center"/>
        <w:rPr>
          <w:rFonts w:ascii="宋体" w:hAnsi="宋体"/>
          <w:b/>
          <w:sz w:val="44"/>
        </w:rPr>
      </w:pPr>
      <w:bookmarkStart w:id="115" w:name="_Toc23764521"/>
      <w:r>
        <w:rPr>
          <w:rFonts w:ascii="宋体" w:hAnsi="宋体"/>
          <w:b/>
          <w:sz w:val="44"/>
        </w:rPr>
        <w:t>重庆市政府采购合同</w:t>
      </w:r>
    </w:p>
    <w:p>
      <w:pPr>
        <w:spacing w:line="360" w:lineRule="auto"/>
        <w:jc w:val="center"/>
        <w:rPr>
          <w:rFonts w:ascii="宋体" w:hAnsi="宋体"/>
        </w:rPr>
      </w:pPr>
      <w:r>
        <w:rPr>
          <w:rFonts w:ascii="宋体" w:hAnsi="宋体"/>
        </w:rPr>
        <w:t>（项目编号：     ）</w:t>
      </w:r>
    </w:p>
    <w:p>
      <w:pPr>
        <w:spacing w:line="360" w:lineRule="auto"/>
        <w:rPr>
          <w:rFonts w:ascii="宋体" w:hAnsi="宋体"/>
          <w:sz w:val="24"/>
        </w:rPr>
      </w:pPr>
      <w:r>
        <w:rPr>
          <w:rFonts w:ascii="宋体" w:hAnsi="宋体"/>
          <w:sz w:val="24"/>
        </w:rPr>
        <w:t>甲方（需方）：___________________________      计价单位：____________</w:t>
      </w:r>
    </w:p>
    <w:p>
      <w:pPr>
        <w:spacing w:line="360" w:lineRule="auto"/>
        <w:rPr>
          <w:rFonts w:ascii="宋体" w:hAnsi="宋体"/>
          <w:sz w:val="24"/>
        </w:rPr>
      </w:pPr>
      <w:r>
        <w:rPr>
          <w:rFonts w:ascii="宋体" w:hAnsi="宋体"/>
          <w:sz w:val="24"/>
        </w:rPr>
        <w:t>乙方（供方）：___________________________      计量单位：_____________</w:t>
      </w:r>
    </w:p>
    <w:p>
      <w:pPr>
        <w:spacing w:line="360" w:lineRule="auto"/>
        <w:rPr>
          <w:rFonts w:ascii="宋体" w:hAnsi="宋体"/>
          <w:sz w:val="24"/>
        </w:rPr>
      </w:pPr>
    </w:p>
    <w:p>
      <w:pPr>
        <w:spacing w:line="360" w:lineRule="auto"/>
        <w:rPr>
          <w:rFonts w:ascii="宋体" w:hAnsi="宋体"/>
          <w:sz w:val="24"/>
        </w:rPr>
      </w:pPr>
      <w:r>
        <w:rPr>
          <w:rFonts w:ascii="宋体" w:hAnsi="宋体"/>
          <w:sz w:val="24"/>
        </w:rPr>
        <w:t>经双方协商一致，达成以下购销合同：</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84"/>
        <w:gridCol w:w="448"/>
        <w:gridCol w:w="850"/>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3071" w:type="dxa"/>
            <w:vAlign w:val="center"/>
          </w:tcPr>
          <w:p>
            <w:pPr>
              <w:spacing w:line="360" w:lineRule="auto"/>
              <w:jc w:val="center"/>
              <w:rPr>
                <w:rFonts w:ascii="宋体" w:hAnsi="宋体"/>
                <w:sz w:val="21"/>
                <w:szCs w:val="21"/>
              </w:rPr>
            </w:pPr>
            <w:r>
              <w:rPr>
                <w:rFonts w:hint="eastAsia" w:ascii="宋体" w:hAnsi="宋体"/>
                <w:sz w:val="21"/>
                <w:szCs w:val="21"/>
              </w:rPr>
              <w:t>项目类别</w:t>
            </w:r>
          </w:p>
        </w:tc>
        <w:tc>
          <w:tcPr>
            <w:tcW w:w="984" w:type="dxa"/>
            <w:vAlign w:val="center"/>
          </w:tcPr>
          <w:p>
            <w:pPr>
              <w:spacing w:line="360" w:lineRule="auto"/>
              <w:jc w:val="center"/>
              <w:rPr>
                <w:rFonts w:ascii="宋体" w:hAnsi="宋体"/>
                <w:sz w:val="21"/>
                <w:szCs w:val="21"/>
              </w:rPr>
            </w:pPr>
            <w:r>
              <w:rPr>
                <w:rFonts w:ascii="宋体" w:hAnsi="宋体"/>
                <w:sz w:val="21"/>
                <w:szCs w:val="21"/>
              </w:rPr>
              <w:t>数量</w:t>
            </w:r>
          </w:p>
        </w:tc>
        <w:tc>
          <w:tcPr>
            <w:tcW w:w="1298" w:type="dxa"/>
            <w:gridSpan w:val="2"/>
            <w:vAlign w:val="center"/>
          </w:tcPr>
          <w:p>
            <w:pPr>
              <w:spacing w:line="360" w:lineRule="auto"/>
              <w:jc w:val="center"/>
              <w:rPr>
                <w:rFonts w:ascii="宋体" w:hAnsi="宋体"/>
                <w:sz w:val="21"/>
                <w:szCs w:val="21"/>
              </w:rPr>
            </w:pPr>
            <w:r>
              <w:rPr>
                <w:rFonts w:ascii="宋体" w:hAnsi="宋体"/>
                <w:sz w:val="21"/>
                <w:szCs w:val="21"/>
              </w:rPr>
              <w:t>综合单价</w:t>
            </w:r>
          </w:p>
        </w:tc>
        <w:tc>
          <w:tcPr>
            <w:tcW w:w="1134" w:type="dxa"/>
            <w:vAlign w:val="center"/>
          </w:tcPr>
          <w:p>
            <w:pPr>
              <w:spacing w:line="360" w:lineRule="auto"/>
              <w:jc w:val="center"/>
              <w:rPr>
                <w:rFonts w:ascii="宋体" w:hAnsi="宋体"/>
                <w:sz w:val="21"/>
                <w:szCs w:val="21"/>
              </w:rPr>
            </w:pPr>
            <w:r>
              <w:rPr>
                <w:rFonts w:ascii="宋体" w:hAnsi="宋体"/>
                <w:sz w:val="21"/>
                <w:szCs w:val="21"/>
              </w:rPr>
              <w:t>总价</w:t>
            </w:r>
          </w:p>
        </w:tc>
        <w:tc>
          <w:tcPr>
            <w:tcW w:w="1559" w:type="dxa"/>
            <w:vAlign w:val="center"/>
          </w:tcPr>
          <w:p>
            <w:pPr>
              <w:spacing w:line="360" w:lineRule="auto"/>
              <w:jc w:val="center"/>
              <w:rPr>
                <w:rFonts w:ascii="宋体" w:hAnsi="宋体"/>
                <w:sz w:val="21"/>
                <w:szCs w:val="21"/>
              </w:rPr>
            </w:pPr>
            <w:r>
              <w:rPr>
                <w:rFonts w:hint="eastAsia" w:ascii="宋体" w:hAnsi="宋体"/>
                <w:sz w:val="21"/>
                <w:szCs w:val="21"/>
              </w:rPr>
              <w:t>服务</w:t>
            </w:r>
            <w:r>
              <w:rPr>
                <w:rFonts w:ascii="宋体" w:hAnsi="宋体"/>
                <w:sz w:val="21"/>
                <w:szCs w:val="21"/>
              </w:rPr>
              <w:t>时间</w:t>
            </w:r>
          </w:p>
        </w:tc>
        <w:tc>
          <w:tcPr>
            <w:tcW w:w="1567" w:type="dxa"/>
            <w:vAlign w:val="center"/>
          </w:tcPr>
          <w:p>
            <w:pPr>
              <w:spacing w:line="360" w:lineRule="auto"/>
              <w:jc w:val="center"/>
              <w:rPr>
                <w:rFonts w:ascii="宋体" w:hAnsi="宋体"/>
                <w:sz w:val="21"/>
                <w:szCs w:val="21"/>
              </w:rPr>
            </w:pPr>
            <w:r>
              <w:rPr>
                <w:rFonts w:hint="eastAsia" w:ascii="宋体" w:hAnsi="宋体"/>
                <w:sz w:val="21"/>
                <w:szCs w:val="21"/>
              </w:rPr>
              <w:t>服务</w:t>
            </w:r>
            <w:r>
              <w:rPr>
                <w:rFonts w:ascii="宋体" w:hAnsi="宋体"/>
                <w:sz w:val="21"/>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sz w:val="21"/>
                <w:szCs w:val="21"/>
              </w:rPr>
            </w:pPr>
          </w:p>
        </w:tc>
        <w:tc>
          <w:tcPr>
            <w:tcW w:w="984" w:type="dxa"/>
            <w:vAlign w:val="center"/>
          </w:tcPr>
          <w:p>
            <w:pPr>
              <w:spacing w:line="360" w:lineRule="auto"/>
              <w:jc w:val="center"/>
              <w:rPr>
                <w:rFonts w:ascii="宋体" w:hAnsi="宋体"/>
                <w:sz w:val="21"/>
                <w:szCs w:val="21"/>
              </w:rPr>
            </w:pPr>
          </w:p>
        </w:tc>
        <w:tc>
          <w:tcPr>
            <w:tcW w:w="1298" w:type="dxa"/>
            <w:gridSpan w:val="2"/>
            <w:vAlign w:val="center"/>
          </w:tcPr>
          <w:p>
            <w:pPr>
              <w:spacing w:line="360" w:lineRule="auto"/>
              <w:jc w:val="center"/>
              <w:rPr>
                <w:rFonts w:ascii="宋体" w:hAnsi="宋体"/>
                <w:sz w:val="21"/>
                <w:szCs w:val="21"/>
              </w:rPr>
            </w:pPr>
          </w:p>
        </w:tc>
        <w:tc>
          <w:tcPr>
            <w:tcW w:w="1134" w:type="dxa"/>
            <w:vAlign w:val="center"/>
          </w:tcPr>
          <w:p>
            <w:pPr>
              <w:spacing w:line="360" w:lineRule="auto"/>
              <w:jc w:val="center"/>
              <w:rPr>
                <w:rFonts w:ascii="宋体" w:hAnsi="宋体"/>
                <w:sz w:val="21"/>
                <w:szCs w:val="21"/>
              </w:rPr>
            </w:pPr>
          </w:p>
        </w:tc>
        <w:tc>
          <w:tcPr>
            <w:tcW w:w="1559" w:type="dxa"/>
            <w:vAlign w:val="center"/>
          </w:tcPr>
          <w:p>
            <w:pPr>
              <w:spacing w:line="360" w:lineRule="auto"/>
              <w:jc w:val="center"/>
              <w:rPr>
                <w:rFonts w:ascii="宋体" w:hAnsi="宋体"/>
                <w:sz w:val="21"/>
                <w:szCs w:val="21"/>
              </w:rPr>
            </w:pPr>
          </w:p>
        </w:tc>
        <w:tc>
          <w:tcPr>
            <w:tcW w:w="1567"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sz w:val="21"/>
                <w:szCs w:val="21"/>
              </w:rPr>
            </w:pPr>
          </w:p>
        </w:tc>
        <w:tc>
          <w:tcPr>
            <w:tcW w:w="984" w:type="dxa"/>
            <w:vAlign w:val="center"/>
          </w:tcPr>
          <w:p>
            <w:pPr>
              <w:spacing w:line="360" w:lineRule="auto"/>
              <w:jc w:val="center"/>
              <w:rPr>
                <w:rFonts w:ascii="宋体" w:hAnsi="宋体"/>
                <w:sz w:val="21"/>
                <w:szCs w:val="21"/>
              </w:rPr>
            </w:pPr>
          </w:p>
        </w:tc>
        <w:tc>
          <w:tcPr>
            <w:tcW w:w="1298" w:type="dxa"/>
            <w:gridSpan w:val="2"/>
            <w:vAlign w:val="center"/>
          </w:tcPr>
          <w:p>
            <w:pPr>
              <w:spacing w:line="360" w:lineRule="auto"/>
              <w:jc w:val="center"/>
              <w:rPr>
                <w:rFonts w:ascii="宋体" w:hAnsi="宋体"/>
                <w:sz w:val="21"/>
                <w:szCs w:val="21"/>
              </w:rPr>
            </w:pPr>
          </w:p>
        </w:tc>
        <w:tc>
          <w:tcPr>
            <w:tcW w:w="1134" w:type="dxa"/>
            <w:vAlign w:val="center"/>
          </w:tcPr>
          <w:p>
            <w:pPr>
              <w:spacing w:line="360" w:lineRule="auto"/>
              <w:jc w:val="center"/>
              <w:rPr>
                <w:rFonts w:ascii="宋体" w:hAnsi="宋体"/>
                <w:sz w:val="21"/>
                <w:szCs w:val="21"/>
              </w:rPr>
            </w:pPr>
          </w:p>
        </w:tc>
        <w:tc>
          <w:tcPr>
            <w:tcW w:w="1559" w:type="dxa"/>
            <w:vAlign w:val="center"/>
          </w:tcPr>
          <w:p>
            <w:pPr>
              <w:spacing w:line="360" w:lineRule="auto"/>
              <w:jc w:val="center"/>
              <w:rPr>
                <w:rFonts w:ascii="宋体" w:hAnsi="宋体"/>
                <w:sz w:val="21"/>
                <w:szCs w:val="21"/>
              </w:rPr>
            </w:pPr>
          </w:p>
        </w:tc>
        <w:tc>
          <w:tcPr>
            <w:tcW w:w="1567"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sz w:val="21"/>
                <w:szCs w:val="21"/>
              </w:rPr>
            </w:pPr>
          </w:p>
        </w:tc>
        <w:tc>
          <w:tcPr>
            <w:tcW w:w="984" w:type="dxa"/>
            <w:vAlign w:val="center"/>
          </w:tcPr>
          <w:p>
            <w:pPr>
              <w:spacing w:line="360" w:lineRule="auto"/>
              <w:jc w:val="center"/>
              <w:rPr>
                <w:rFonts w:ascii="宋体" w:hAnsi="宋体"/>
                <w:sz w:val="21"/>
                <w:szCs w:val="21"/>
              </w:rPr>
            </w:pPr>
          </w:p>
        </w:tc>
        <w:tc>
          <w:tcPr>
            <w:tcW w:w="1298" w:type="dxa"/>
            <w:gridSpan w:val="2"/>
            <w:vAlign w:val="center"/>
          </w:tcPr>
          <w:p>
            <w:pPr>
              <w:spacing w:line="360" w:lineRule="auto"/>
              <w:jc w:val="center"/>
              <w:rPr>
                <w:rFonts w:ascii="宋体" w:hAnsi="宋体"/>
                <w:sz w:val="21"/>
                <w:szCs w:val="21"/>
              </w:rPr>
            </w:pPr>
          </w:p>
        </w:tc>
        <w:tc>
          <w:tcPr>
            <w:tcW w:w="1134" w:type="dxa"/>
            <w:vAlign w:val="center"/>
          </w:tcPr>
          <w:p>
            <w:pPr>
              <w:spacing w:line="360" w:lineRule="auto"/>
              <w:jc w:val="center"/>
              <w:rPr>
                <w:rFonts w:ascii="宋体" w:hAnsi="宋体"/>
                <w:sz w:val="21"/>
                <w:szCs w:val="21"/>
              </w:rPr>
            </w:pPr>
          </w:p>
        </w:tc>
        <w:tc>
          <w:tcPr>
            <w:tcW w:w="1559" w:type="dxa"/>
            <w:vAlign w:val="center"/>
          </w:tcPr>
          <w:p>
            <w:pPr>
              <w:spacing w:line="360" w:lineRule="auto"/>
              <w:jc w:val="center"/>
              <w:rPr>
                <w:rFonts w:ascii="宋体" w:hAnsi="宋体"/>
                <w:sz w:val="21"/>
                <w:szCs w:val="21"/>
              </w:rPr>
            </w:pPr>
          </w:p>
        </w:tc>
        <w:tc>
          <w:tcPr>
            <w:tcW w:w="1567"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sz w:val="21"/>
                <w:szCs w:val="21"/>
              </w:rPr>
            </w:pPr>
          </w:p>
        </w:tc>
        <w:tc>
          <w:tcPr>
            <w:tcW w:w="984" w:type="dxa"/>
            <w:vAlign w:val="center"/>
          </w:tcPr>
          <w:p>
            <w:pPr>
              <w:spacing w:line="360" w:lineRule="auto"/>
              <w:jc w:val="center"/>
              <w:rPr>
                <w:rFonts w:ascii="宋体" w:hAnsi="宋体"/>
                <w:sz w:val="21"/>
                <w:szCs w:val="21"/>
              </w:rPr>
            </w:pPr>
          </w:p>
        </w:tc>
        <w:tc>
          <w:tcPr>
            <w:tcW w:w="1298" w:type="dxa"/>
            <w:gridSpan w:val="2"/>
            <w:vAlign w:val="center"/>
          </w:tcPr>
          <w:p>
            <w:pPr>
              <w:spacing w:line="360" w:lineRule="auto"/>
              <w:jc w:val="center"/>
              <w:rPr>
                <w:rFonts w:ascii="宋体" w:hAnsi="宋体"/>
                <w:sz w:val="21"/>
                <w:szCs w:val="21"/>
              </w:rPr>
            </w:pPr>
          </w:p>
        </w:tc>
        <w:tc>
          <w:tcPr>
            <w:tcW w:w="1134" w:type="dxa"/>
            <w:vAlign w:val="center"/>
          </w:tcPr>
          <w:p>
            <w:pPr>
              <w:spacing w:line="360" w:lineRule="auto"/>
              <w:jc w:val="center"/>
              <w:rPr>
                <w:rFonts w:ascii="宋体" w:hAnsi="宋体"/>
                <w:sz w:val="21"/>
                <w:szCs w:val="21"/>
              </w:rPr>
            </w:pPr>
          </w:p>
        </w:tc>
        <w:tc>
          <w:tcPr>
            <w:tcW w:w="1559" w:type="dxa"/>
            <w:vAlign w:val="center"/>
          </w:tcPr>
          <w:p>
            <w:pPr>
              <w:spacing w:line="360" w:lineRule="auto"/>
              <w:jc w:val="center"/>
              <w:rPr>
                <w:rFonts w:ascii="宋体" w:hAnsi="宋体"/>
                <w:sz w:val="21"/>
                <w:szCs w:val="21"/>
              </w:rPr>
            </w:pPr>
          </w:p>
        </w:tc>
        <w:tc>
          <w:tcPr>
            <w:tcW w:w="1567"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sz w:val="21"/>
                <w:szCs w:val="21"/>
              </w:rPr>
            </w:pPr>
          </w:p>
        </w:tc>
        <w:tc>
          <w:tcPr>
            <w:tcW w:w="984" w:type="dxa"/>
            <w:vAlign w:val="center"/>
          </w:tcPr>
          <w:p>
            <w:pPr>
              <w:spacing w:line="360" w:lineRule="auto"/>
              <w:jc w:val="center"/>
              <w:rPr>
                <w:rFonts w:ascii="宋体" w:hAnsi="宋体"/>
                <w:sz w:val="21"/>
                <w:szCs w:val="21"/>
              </w:rPr>
            </w:pPr>
          </w:p>
        </w:tc>
        <w:tc>
          <w:tcPr>
            <w:tcW w:w="1298" w:type="dxa"/>
            <w:gridSpan w:val="2"/>
            <w:vAlign w:val="center"/>
          </w:tcPr>
          <w:p>
            <w:pPr>
              <w:spacing w:line="360" w:lineRule="auto"/>
              <w:jc w:val="center"/>
              <w:rPr>
                <w:rFonts w:ascii="宋体" w:hAnsi="宋体"/>
                <w:sz w:val="21"/>
                <w:szCs w:val="21"/>
              </w:rPr>
            </w:pPr>
          </w:p>
        </w:tc>
        <w:tc>
          <w:tcPr>
            <w:tcW w:w="1134" w:type="dxa"/>
            <w:vAlign w:val="center"/>
          </w:tcPr>
          <w:p>
            <w:pPr>
              <w:spacing w:line="360" w:lineRule="auto"/>
              <w:jc w:val="center"/>
              <w:rPr>
                <w:rFonts w:ascii="宋体" w:hAnsi="宋体"/>
                <w:sz w:val="21"/>
                <w:szCs w:val="21"/>
              </w:rPr>
            </w:pPr>
          </w:p>
        </w:tc>
        <w:tc>
          <w:tcPr>
            <w:tcW w:w="1559" w:type="dxa"/>
            <w:vAlign w:val="center"/>
          </w:tcPr>
          <w:p>
            <w:pPr>
              <w:spacing w:line="360" w:lineRule="auto"/>
              <w:jc w:val="center"/>
              <w:rPr>
                <w:rFonts w:ascii="宋体" w:hAnsi="宋体"/>
                <w:sz w:val="21"/>
                <w:szCs w:val="21"/>
              </w:rPr>
            </w:pPr>
          </w:p>
        </w:tc>
        <w:tc>
          <w:tcPr>
            <w:tcW w:w="1567"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sz w:val="21"/>
                <w:szCs w:val="21"/>
              </w:rPr>
            </w:pPr>
          </w:p>
        </w:tc>
        <w:tc>
          <w:tcPr>
            <w:tcW w:w="984" w:type="dxa"/>
            <w:vAlign w:val="center"/>
          </w:tcPr>
          <w:p>
            <w:pPr>
              <w:spacing w:line="360" w:lineRule="auto"/>
              <w:jc w:val="center"/>
              <w:rPr>
                <w:rFonts w:ascii="宋体" w:hAnsi="宋体"/>
                <w:sz w:val="21"/>
                <w:szCs w:val="21"/>
              </w:rPr>
            </w:pPr>
          </w:p>
        </w:tc>
        <w:tc>
          <w:tcPr>
            <w:tcW w:w="1298" w:type="dxa"/>
            <w:gridSpan w:val="2"/>
            <w:vAlign w:val="center"/>
          </w:tcPr>
          <w:p>
            <w:pPr>
              <w:spacing w:line="360" w:lineRule="auto"/>
              <w:jc w:val="center"/>
              <w:rPr>
                <w:rFonts w:ascii="宋体" w:hAnsi="宋体"/>
                <w:sz w:val="21"/>
                <w:szCs w:val="21"/>
              </w:rPr>
            </w:pPr>
          </w:p>
        </w:tc>
        <w:tc>
          <w:tcPr>
            <w:tcW w:w="1134" w:type="dxa"/>
            <w:vAlign w:val="center"/>
          </w:tcPr>
          <w:p>
            <w:pPr>
              <w:spacing w:line="360" w:lineRule="auto"/>
              <w:jc w:val="center"/>
              <w:rPr>
                <w:rFonts w:ascii="宋体" w:hAnsi="宋体"/>
                <w:sz w:val="21"/>
                <w:szCs w:val="21"/>
              </w:rPr>
            </w:pPr>
          </w:p>
        </w:tc>
        <w:tc>
          <w:tcPr>
            <w:tcW w:w="1559" w:type="dxa"/>
            <w:vAlign w:val="center"/>
          </w:tcPr>
          <w:p>
            <w:pPr>
              <w:spacing w:line="360" w:lineRule="auto"/>
              <w:jc w:val="center"/>
              <w:rPr>
                <w:rFonts w:ascii="宋体" w:hAnsi="宋体"/>
                <w:sz w:val="21"/>
                <w:szCs w:val="21"/>
              </w:rPr>
            </w:pPr>
          </w:p>
        </w:tc>
        <w:tc>
          <w:tcPr>
            <w:tcW w:w="1567"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sz w:val="21"/>
                <w:szCs w:val="21"/>
              </w:rPr>
            </w:pPr>
          </w:p>
        </w:tc>
        <w:tc>
          <w:tcPr>
            <w:tcW w:w="984" w:type="dxa"/>
            <w:vAlign w:val="center"/>
          </w:tcPr>
          <w:p>
            <w:pPr>
              <w:spacing w:line="360" w:lineRule="auto"/>
              <w:jc w:val="center"/>
              <w:rPr>
                <w:rFonts w:ascii="宋体" w:hAnsi="宋体"/>
                <w:sz w:val="21"/>
                <w:szCs w:val="21"/>
              </w:rPr>
            </w:pPr>
          </w:p>
        </w:tc>
        <w:tc>
          <w:tcPr>
            <w:tcW w:w="1298" w:type="dxa"/>
            <w:gridSpan w:val="2"/>
            <w:vAlign w:val="center"/>
          </w:tcPr>
          <w:p>
            <w:pPr>
              <w:spacing w:line="360" w:lineRule="auto"/>
              <w:jc w:val="center"/>
              <w:rPr>
                <w:rFonts w:ascii="宋体" w:hAnsi="宋体"/>
                <w:sz w:val="21"/>
                <w:szCs w:val="21"/>
              </w:rPr>
            </w:pPr>
          </w:p>
        </w:tc>
        <w:tc>
          <w:tcPr>
            <w:tcW w:w="1134" w:type="dxa"/>
            <w:vAlign w:val="center"/>
          </w:tcPr>
          <w:p>
            <w:pPr>
              <w:spacing w:line="360" w:lineRule="auto"/>
              <w:jc w:val="center"/>
              <w:rPr>
                <w:rFonts w:ascii="宋体" w:hAnsi="宋体"/>
                <w:sz w:val="21"/>
                <w:szCs w:val="21"/>
              </w:rPr>
            </w:pPr>
          </w:p>
        </w:tc>
        <w:tc>
          <w:tcPr>
            <w:tcW w:w="1559" w:type="dxa"/>
            <w:vAlign w:val="center"/>
          </w:tcPr>
          <w:p>
            <w:pPr>
              <w:spacing w:line="360" w:lineRule="auto"/>
              <w:jc w:val="center"/>
              <w:rPr>
                <w:rFonts w:ascii="宋体" w:hAnsi="宋体"/>
                <w:sz w:val="21"/>
                <w:szCs w:val="21"/>
              </w:rPr>
            </w:pPr>
          </w:p>
        </w:tc>
        <w:tc>
          <w:tcPr>
            <w:tcW w:w="1567"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360" w:lineRule="auto"/>
              <w:jc w:val="center"/>
              <w:rPr>
                <w:rFonts w:ascii="宋体" w:hAnsi="宋体"/>
                <w:sz w:val="21"/>
                <w:szCs w:val="21"/>
              </w:rPr>
            </w:pPr>
          </w:p>
        </w:tc>
        <w:tc>
          <w:tcPr>
            <w:tcW w:w="984" w:type="dxa"/>
            <w:vAlign w:val="center"/>
          </w:tcPr>
          <w:p>
            <w:pPr>
              <w:spacing w:line="360" w:lineRule="auto"/>
              <w:jc w:val="center"/>
              <w:rPr>
                <w:rFonts w:ascii="宋体" w:hAnsi="宋体"/>
                <w:sz w:val="21"/>
                <w:szCs w:val="21"/>
              </w:rPr>
            </w:pPr>
          </w:p>
        </w:tc>
        <w:tc>
          <w:tcPr>
            <w:tcW w:w="1298" w:type="dxa"/>
            <w:gridSpan w:val="2"/>
            <w:vAlign w:val="center"/>
          </w:tcPr>
          <w:p>
            <w:pPr>
              <w:spacing w:line="360" w:lineRule="auto"/>
              <w:jc w:val="center"/>
              <w:rPr>
                <w:rFonts w:ascii="宋体" w:hAnsi="宋体"/>
                <w:sz w:val="21"/>
                <w:szCs w:val="21"/>
              </w:rPr>
            </w:pPr>
          </w:p>
        </w:tc>
        <w:tc>
          <w:tcPr>
            <w:tcW w:w="1134" w:type="dxa"/>
            <w:vAlign w:val="center"/>
          </w:tcPr>
          <w:p>
            <w:pPr>
              <w:spacing w:line="360" w:lineRule="auto"/>
              <w:jc w:val="center"/>
              <w:rPr>
                <w:rFonts w:ascii="宋体" w:hAnsi="宋体"/>
                <w:sz w:val="21"/>
                <w:szCs w:val="21"/>
              </w:rPr>
            </w:pPr>
          </w:p>
        </w:tc>
        <w:tc>
          <w:tcPr>
            <w:tcW w:w="1559" w:type="dxa"/>
            <w:vAlign w:val="center"/>
          </w:tcPr>
          <w:p>
            <w:pPr>
              <w:spacing w:line="360" w:lineRule="auto"/>
              <w:jc w:val="center"/>
              <w:rPr>
                <w:rFonts w:ascii="宋体" w:hAnsi="宋体"/>
                <w:sz w:val="21"/>
                <w:szCs w:val="21"/>
              </w:rPr>
            </w:pPr>
          </w:p>
        </w:tc>
        <w:tc>
          <w:tcPr>
            <w:tcW w:w="1567" w:type="dxa"/>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vAlign w:val="center"/>
          </w:tcPr>
          <w:p>
            <w:pPr>
              <w:spacing w:line="360" w:lineRule="auto"/>
              <w:rPr>
                <w:rFonts w:ascii="宋体" w:hAnsi="宋体"/>
                <w:sz w:val="21"/>
                <w:szCs w:val="21"/>
              </w:rPr>
            </w:pPr>
            <w:r>
              <w:rPr>
                <w:rFonts w:ascii="宋体" w:hAnsi="宋体"/>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vAlign w:val="center"/>
          </w:tcPr>
          <w:p>
            <w:pPr>
              <w:spacing w:line="360" w:lineRule="auto"/>
              <w:rPr>
                <w:rFonts w:ascii="宋体" w:hAnsi="宋体"/>
                <w:sz w:val="21"/>
                <w:szCs w:val="21"/>
              </w:rPr>
            </w:pPr>
            <w:r>
              <w:rPr>
                <w:rFonts w:ascii="宋体" w:hAnsi="宋体"/>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trPr>
        <w:tc>
          <w:tcPr>
            <w:tcW w:w="9613" w:type="dxa"/>
            <w:gridSpan w:val="7"/>
          </w:tcPr>
          <w:p>
            <w:pPr>
              <w:spacing w:line="360" w:lineRule="auto"/>
              <w:rPr>
                <w:rFonts w:ascii="宋体" w:hAnsi="宋体"/>
                <w:sz w:val="21"/>
                <w:szCs w:val="21"/>
              </w:rPr>
            </w:pPr>
            <w:r>
              <w:rPr>
                <w:rFonts w:ascii="宋体" w:hAnsi="宋体"/>
                <w:sz w:val="21"/>
                <w:szCs w:val="21"/>
              </w:rPr>
              <w:t>一、质量要求和技术标准：</w:t>
            </w:r>
          </w:p>
          <w:p>
            <w:pPr>
              <w:spacing w:line="360" w:lineRule="auto"/>
              <w:rPr>
                <w:rFonts w:ascii="宋体" w:hAnsi="宋体"/>
                <w:sz w:val="21"/>
                <w:szCs w:val="21"/>
              </w:rPr>
            </w:pPr>
            <w:r>
              <w:rPr>
                <w:rFonts w:ascii="宋体" w:hAnsi="宋体"/>
                <w:sz w:val="21"/>
                <w:szCs w:val="21"/>
              </w:rPr>
              <w:t>1、服务措施：</w:t>
            </w:r>
          </w:p>
          <w:p>
            <w:pPr>
              <w:spacing w:line="360" w:lineRule="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28" w:type="dxa"/>
            <w:gridSpan w:val="8"/>
          </w:tcPr>
          <w:p>
            <w:pPr>
              <w:spacing w:line="360" w:lineRule="auto"/>
              <w:rPr>
                <w:rFonts w:ascii="宋体" w:hAnsi="宋体"/>
                <w:sz w:val="21"/>
                <w:szCs w:val="21"/>
              </w:rPr>
            </w:pPr>
            <w:r>
              <w:rPr>
                <w:rFonts w:hint="eastAsia" w:ascii="宋体" w:hAnsi="宋体"/>
                <w:sz w:val="21"/>
                <w:szCs w:val="21"/>
              </w:rPr>
              <w:t>二</w:t>
            </w:r>
            <w:r>
              <w:rPr>
                <w:rFonts w:ascii="宋体" w:hAnsi="宋体"/>
                <w:sz w:val="21"/>
                <w:szCs w:val="21"/>
              </w:rPr>
              <w:t>、验收标准、方法：</w:t>
            </w:r>
          </w:p>
          <w:p>
            <w:pPr>
              <w:spacing w:line="360" w:lineRule="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tcPr>
          <w:p>
            <w:pPr>
              <w:spacing w:line="360" w:lineRule="auto"/>
              <w:rPr>
                <w:rFonts w:ascii="宋体" w:hAnsi="宋体"/>
                <w:sz w:val="21"/>
                <w:szCs w:val="21"/>
              </w:rPr>
            </w:pPr>
            <w:r>
              <w:rPr>
                <w:rFonts w:hint="eastAsia" w:ascii="宋体" w:hAnsi="宋体"/>
                <w:sz w:val="21"/>
                <w:szCs w:val="21"/>
              </w:rPr>
              <w:t>三</w:t>
            </w:r>
            <w:r>
              <w:rPr>
                <w:rFonts w:ascii="宋体" w:hAnsi="宋体"/>
                <w:sz w:val="21"/>
                <w:szCs w:val="21"/>
              </w:rPr>
              <w:t>、付款方式：</w:t>
            </w:r>
          </w:p>
          <w:p>
            <w:pPr>
              <w:pStyle w:val="33"/>
              <w:spacing w:line="360" w:lineRule="auto"/>
              <w:ind w:left="98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tcPr>
          <w:p>
            <w:pPr>
              <w:spacing w:line="360" w:lineRule="auto"/>
              <w:rPr>
                <w:rFonts w:ascii="宋体" w:hAnsi="宋体"/>
                <w:sz w:val="21"/>
                <w:szCs w:val="21"/>
              </w:rPr>
            </w:pPr>
            <w:r>
              <w:rPr>
                <w:rFonts w:hint="eastAsia" w:ascii="宋体" w:hAnsi="宋体"/>
                <w:sz w:val="21"/>
                <w:szCs w:val="21"/>
              </w:rPr>
              <w:t>四</w:t>
            </w:r>
            <w:r>
              <w:rPr>
                <w:rFonts w:ascii="宋体" w:hAnsi="宋体"/>
                <w:sz w:val="21"/>
                <w:szCs w:val="21"/>
              </w:rPr>
              <w:t>、违约责任：</w:t>
            </w:r>
          </w:p>
          <w:p>
            <w:pPr>
              <w:spacing w:line="360" w:lineRule="auto"/>
              <w:rPr>
                <w:rFonts w:ascii="宋体" w:hAnsi="宋体"/>
                <w:sz w:val="21"/>
                <w:szCs w:val="21"/>
              </w:rPr>
            </w:pPr>
            <w:r>
              <w:rPr>
                <w:rFonts w:ascii="宋体" w:hAnsi="宋体"/>
                <w:sz w:val="21"/>
                <w:szCs w:val="21"/>
              </w:rPr>
              <w:t>按《</w:t>
            </w:r>
            <w:r>
              <w:rPr>
                <w:rFonts w:hint="eastAsia" w:ascii="宋体" w:hAnsi="宋体"/>
                <w:sz w:val="21"/>
                <w:szCs w:val="21"/>
              </w:rPr>
              <w:t>民法典</w:t>
            </w:r>
            <w:r>
              <w:rPr>
                <w:rFonts w:ascii="宋体" w:hAnsi="宋体"/>
                <w:sz w:val="21"/>
                <w:szCs w:val="21"/>
              </w:rPr>
              <w:t>》、《政府采购法》执行，或按双方约定。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628" w:type="dxa"/>
            <w:gridSpan w:val="8"/>
          </w:tcPr>
          <w:p>
            <w:pPr>
              <w:spacing w:line="360" w:lineRule="auto"/>
              <w:rPr>
                <w:rFonts w:ascii="宋体" w:hAnsi="宋体"/>
                <w:sz w:val="21"/>
                <w:szCs w:val="21"/>
              </w:rPr>
            </w:pPr>
            <w:r>
              <w:rPr>
                <w:rFonts w:hint="eastAsia" w:ascii="宋体" w:hAnsi="宋体"/>
                <w:sz w:val="21"/>
                <w:szCs w:val="21"/>
              </w:rPr>
              <w:t>五</w:t>
            </w:r>
            <w:r>
              <w:rPr>
                <w:rFonts w:ascii="宋体" w:hAnsi="宋体"/>
                <w:sz w:val="21"/>
                <w:szCs w:val="21"/>
              </w:rPr>
              <w:t>、其他约定事项：</w:t>
            </w:r>
          </w:p>
          <w:p>
            <w:pPr>
              <w:spacing w:line="360" w:lineRule="auto"/>
              <w:rPr>
                <w:rFonts w:ascii="宋体" w:hAnsi="宋体"/>
                <w:sz w:val="21"/>
                <w:szCs w:val="21"/>
              </w:rPr>
            </w:pPr>
            <w:r>
              <w:rPr>
                <w:rFonts w:ascii="宋体" w:hAnsi="宋体"/>
                <w:sz w:val="21"/>
                <w:szCs w:val="21"/>
              </w:rPr>
              <w:t>1、</w:t>
            </w:r>
            <w:r>
              <w:rPr>
                <w:rFonts w:hint="eastAsia" w:ascii="宋体" w:hAnsi="宋体"/>
                <w:sz w:val="21"/>
                <w:szCs w:val="21"/>
              </w:rPr>
              <w:t>招标</w:t>
            </w:r>
            <w:r>
              <w:rPr>
                <w:rFonts w:ascii="宋体" w:hAnsi="宋体"/>
                <w:sz w:val="21"/>
                <w:szCs w:val="21"/>
              </w:rPr>
              <w:t>文件及其补遗文件、</w:t>
            </w:r>
            <w:r>
              <w:rPr>
                <w:rFonts w:hint="eastAsia" w:ascii="宋体" w:hAnsi="宋体"/>
                <w:sz w:val="21"/>
                <w:szCs w:val="21"/>
              </w:rPr>
              <w:t>投标</w:t>
            </w:r>
            <w:r>
              <w:rPr>
                <w:rFonts w:ascii="宋体" w:hAnsi="宋体"/>
                <w:sz w:val="21"/>
                <w:szCs w:val="21"/>
              </w:rPr>
              <w:t>文件和承诺是本合同不可分割的部分。</w:t>
            </w:r>
          </w:p>
          <w:p>
            <w:pPr>
              <w:spacing w:line="360" w:lineRule="auto"/>
              <w:ind w:left="360"/>
              <w:rPr>
                <w:rFonts w:ascii="宋体" w:hAnsi="宋体"/>
                <w:sz w:val="21"/>
                <w:szCs w:val="21"/>
              </w:rPr>
            </w:pPr>
            <w:r>
              <w:rPr>
                <w:rFonts w:ascii="宋体" w:hAnsi="宋体"/>
                <w:sz w:val="21"/>
                <w:szCs w:val="21"/>
              </w:rPr>
              <w:t>本合同如发生争议由双方协商解决，协商不成向需方所在人民法院提请诉讼。</w:t>
            </w:r>
          </w:p>
          <w:p>
            <w:pPr>
              <w:spacing w:line="360" w:lineRule="auto"/>
              <w:ind w:left="360"/>
              <w:rPr>
                <w:rFonts w:ascii="宋体" w:hAnsi="宋体"/>
                <w:sz w:val="21"/>
                <w:szCs w:val="21"/>
              </w:rPr>
            </w:pPr>
            <w:r>
              <w:rPr>
                <w:rFonts w:ascii="宋体" w:hAnsi="宋体"/>
                <w:sz w:val="21"/>
                <w:szCs w:val="21"/>
              </w:rPr>
              <w:t>本合同一式__份， 需方__份，供方__份，具同等法律效力。</w:t>
            </w:r>
          </w:p>
          <w:p>
            <w:pPr>
              <w:spacing w:line="360" w:lineRule="auto"/>
              <w:rPr>
                <w:rFonts w:ascii="宋体" w:hAnsi="宋体"/>
                <w:sz w:val="21"/>
                <w:szCs w:val="21"/>
              </w:rPr>
            </w:pPr>
            <w:r>
              <w:rPr>
                <w:rFonts w:hint="eastAsia" w:ascii="宋体" w:hAnsi="宋体"/>
                <w:sz w:val="21"/>
                <w:szCs w:val="21"/>
              </w:rPr>
              <w:t>2</w:t>
            </w:r>
            <w:r>
              <w:rPr>
                <w:rFonts w:ascii="宋体" w:hAnsi="宋体"/>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trPr>
        <w:tc>
          <w:tcPr>
            <w:tcW w:w="4503" w:type="dxa"/>
            <w:gridSpan w:val="3"/>
          </w:tcPr>
          <w:p>
            <w:pPr>
              <w:spacing w:line="360" w:lineRule="auto"/>
              <w:rPr>
                <w:rFonts w:ascii="宋体" w:hAnsi="宋体"/>
                <w:sz w:val="21"/>
                <w:szCs w:val="21"/>
              </w:rPr>
            </w:pPr>
            <w:r>
              <w:rPr>
                <w:rFonts w:ascii="宋体" w:hAnsi="宋体"/>
                <w:sz w:val="21"/>
                <w:szCs w:val="21"/>
              </w:rPr>
              <w:t>需方：</w:t>
            </w:r>
          </w:p>
          <w:p>
            <w:pPr>
              <w:spacing w:line="360" w:lineRule="auto"/>
              <w:rPr>
                <w:rFonts w:ascii="宋体" w:hAnsi="宋体"/>
                <w:sz w:val="21"/>
                <w:szCs w:val="21"/>
              </w:rPr>
            </w:pPr>
            <w:r>
              <w:rPr>
                <w:rFonts w:ascii="宋体" w:hAnsi="宋体"/>
                <w:sz w:val="21"/>
                <w:szCs w:val="21"/>
              </w:rPr>
              <w:t>地址：</w:t>
            </w:r>
          </w:p>
          <w:p>
            <w:pPr>
              <w:spacing w:line="360" w:lineRule="auto"/>
              <w:rPr>
                <w:rFonts w:ascii="宋体" w:hAnsi="宋体"/>
                <w:sz w:val="21"/>
                <w:szCs w:val="21"/>
              </w:rPr>
            </w:pPr>
            <w:r>
              <w:rPr>
                <w:rFonts w:ascii="宋体" w:hAnsi="宋体"/>
                <w:sz w:val="21"/>
                <w:szCs w:val="21"/>
              </w:rPr>
              <w:t>联系电话：</w:t>
            </w:r>
          </w:p>
          <w:p>
            <w:pPr>
              <w:spacing w:line="360" w:lineRule="auto"/>
              <w:rPr>
                <w:rFonts w:ascii="宋体" w:hAnsi="宋体"/>
                <w:sz w:val="21"/>
                <w:szCs w:val="21"/>
              </w:rPr>
            </w:pPr>
            <w:r>
              <w:rPr>
                <w:rFonts w:ascii="宋体" w:hAnsi="宋体"/>
                <w:sz w:val="21"/>
                <w:szCs w:val="21"/>
              </w:rPr>
              <w:t>授权代表：</w:t>
            </w:r>
          </w:p>
        </w:tc>
        <w:tc>
          <w:tcPr>
            <w:tcW w:w="5125" w:type="dxa"/>
            <w:gridSpan w:val="5"/>
          </w:tcPr>
          <w:p>
            <w:pPr>
              <w:spacing w:line="360" w:lineRule="auto"/>
              <w:rPr>
                <w:rFonts w:ascii="宋体" w:hAnsi="宋体"/>
                <w:sz w:val="21"/>
                <w:szCs w:val="21"/>
              </w:rPr>
            </w:pPr>
            <w:r>
              <w:rPr>
                <w:rFonts w:ascii="宋体" w:hAnsi="宋体"/>
                <w:sz w:val="21"/>
                <w:szCs w:val="21"/>
              </w:rPr>
              <w:t>供方：</w:t>
            </w:r>
          </w:p>
          <w:p>
            <w:pPr>
              <w:spacing w:line="360" w:lineRule="auto"/>
              <w:rPr>
                <w:rFonts w:ascii="宋体" w:hAnsi="宋体"/>
                <w:sz w:val="21"/>
                <w:szCs w:val="21"/>
              </w:rPr>
            </w:pPr>
            <w:r>
              <w:rPr>
                <w:rFonts w:ascii="宋体" w:hAnsi="宋体"/>
                <w:sz w:val="21"/>
                <w:szCs w:val="21"/>
              </w:rPr>
              <w:t>地址：</w:t>
            </w:r>
          </w:p>
          <w:p>
            <w:pPr>
              <w:spacing w:line="360" w:lineRule="auto"/>
              <w:rPr>
                <w:rFonts w:ascii="宋体" w:hAnsi="宋体"/>
                <w:sz w:val="21"/>
                <w:szCs w:val="21"/>
              </w:rPr>
            </w:pPr>
            <w:r>
              <w:rPr>
                <w:rFonts w:ascii="宋体" w:hAnsi="宋体"/>
                <w:sz w:val="21"/>
                <w:szCs w:val="21"/>
              </w:rPr>
              <w:t>电话：</w:t>
            </w:r>
          </w:p>
          <w:p>
            <w:pPr>
              <w:spacing w:line="360" w:lineRule="auto"/>
              <w:rPr>
                <w:rFonts w:ascii="宋体" w:hAnsi="宋体"/>
                <w:sz w:val="21"/>
                <w:szCs w:val="21"/>
              </w:rPr>
            </w:pPr>
            <w:r>
              <w:rPr>
                <w:rFonts w:ascii="宋体" w:hAnsi="宋体"/>
                <w:sz w:val="21"/>
                <w:szCs w:val="21"/>
              </w:rPr>
              <w:t>传真：</w:t>
            </w:r>
          </w:p>
          <w:p>
            <w:pPr>
              <w:spacing w:line="360" w:lineRule="auto"/>
              <w:rPr>
                <w:rFonts w:ascii="宋体" w:hAnsi="宋体"/>
                <w:sz w:val="21"/>
                <w:szCs w:val="21"/>
              </w:rPr>
            </w:pPr>
            <w:r>
              <w:rPr>
                <w:rFonts w:ascii="宋体" w:hAnsi="宋体"/>
                <w:sz w:val="21"/>
                <w:szCs w:val="21"/>
              </w:rPr>
              <w:t>开户银行：</w:t>
            </w:r>
          </w:p>
          <w:p>
            <w:pPr>
              <w:spacing w:line="360" w:lineRule="auto"/>
              <w:rPr>
                <w:rFonts w:ascii="宋体" w:hAnsi="宋体"/>
                <w:sz w:val="21"/>
                <w:szCs w:val="21"/>
              </w:rPr>
            </w:pPr>
            <w:r>
              <w:rPr>
                <w:rFonts w:ascii="宋体" w:hAnsi="宋体"/>
                <w:sz w:val="21"/>
                <w:szCs w:val="21"/>
              </w:rPr>
              <w:t>账号：</w:t>
            </w:r>
          </w:p>
          <w:p>
            <w:pPr>
              <w:spacing w:line="360" w:lineRule="auto"/>
              <w:rPr>
                <w:rFonts w:ascii="宋体" w:hAnsi="宋体"/>
                <w:sz w:val="21"/>
                <w:szCs w:val="21"/>
              </w:rPr>
            </w:pPr>
            <w:r>
              <w:rPr>
                <w:rFonts w:ascii="宋体" w:hAnsi="宋体"/>
                <w:sz w:val="21"/>
                <w:szCs w:val="21"/>
              </w:rPr>
              <w:t>授权代表：</w:t>
            </w:r>
          </w:p>
          <w:p>
            <w:pPr>
              <w:widowControl/>
              <w:spacing w:line="360" w:lineRule="auto"/>
              <w:jc w:val="left"/>
              <w:rPr>
                <w:rFonts w:ascii="宋体" w:hAnsi="宋体"/>
                <w:sz w:val="21"/>
                <w:szCs w:val="21"/>
              </w:rPr>
            </w:pPr>
            <w:r>
              <w:rPr>
                <w:rFonts w:ascii="宋体" w:hAnsi="宋体"/>
                <w:sz w:val="21"/>
                <w:szCs w:val="21"/>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628" w:type="dxa"/>
            <w:gridSpan w:val="8"/>
          </w:tcPr>
          <w:p>
            <w:pPr>
              <w:spacing w:line="360" w:lineRule="auto"/>
              <w:rPr>
                <w:rFonts w:ascii="宋体" w:hAnsi="宋体"/>
                <w:sz w:val="21"/>
                <w:szCs w:val="21"/>
              </w:rPr>
            </w:pPr>
            <w:r>
              <w:rPr>
                <w:rFonts w:ascii="宋体" w:hAnsi="宋体"/>
                <w:sz w:val="21"/>
                <w:szCs w:val="21"/>
              </w:rPr>
              <w:t>备注：</w:t>
            </w:r>
          </w:p>
          <w:p>
            <w:pPr>
              <w:spacing w:line="360" w:lineRule="auto"/>
              <w:rPr>
                <w:rFonts w:ascii="宋体" w:hAnsi="宋体"/>
                <w:sz w:val="21"/>
                <w:szCs w:val="21"/>
              </w:rPr>
            </w:pPr>
          </w:p>
          <w:p>
            <w:pPr>
              <w:spacing w:line="360" w:lineRule="auto"/>
              <w:rPr>
                <w:rFonts w:ascii="宋体" w:hAnsi="宋体"/>
                <w:sz w:val="21"/>
                <w:szCs w:val="21"/>
              </w:rPr>
            </w:pPr>
          </w:p>
        </w:tc>
      </w:tr>
    </w:tbl>
    <w:p>
      <w:pPr>
        <w:spacing w:line="360" w:lineRule="auto"/>
        <w:ind w:firstLine="480" w:firstLineChars="200"/>
        <w:rPr>
          <w:rFonts w:ascii="宋体" w:hAnsi="宋体"/>
          <w:sz w:val="24"/>
        </w:rPr>
      </w:pPr>
      <w:r>
        <w:rPr>
          <w:rFonts w:ascii="宋体" w:hAnsi="宋体"/>
          <w:sz w:val="24"/>
        </w:rPr>
        <w:t>签约时间：           年   月   日      签约地点：</w:t>
      </w:r>
    </w:p>
    <w:p>
      <w:pPr>
        <w:spacing w:line="500" w:lineRule="exact"/>
        <w:ind w:firstLine="480" w:firstLineChars="200"/>
        <w:rPr>
          <w:rFonts w:ascii="宋体" w:hAnsi="宋体"/>
          <w:sz w:val="24"/>
        </w:rPr>
        <w:sectPr>
          <w:headerReference r:id="rId10" w:type="default"/>
          <w:pgSz w:w="11907" w:h="16840"/>
          <w:pgMar w:top="1134" w:right="1191" w:bottom="1134" w:left="1191" w:header="851" w:footer="992" w:gutter="0"/>
          <w:pgNumType w:fmt="numberInDash"/>
          <w:cols w:space="720" w:num="1"/>
          <w:docGrid w:linePitch="381" w:charSpace="-5735"/>
        </w:sectPr>
      </w:pPr>
    </w:p>
    <w:bookmarkEnd w:id="115"/>
    <w:p>
      <w:pPr>
        <w:pStyle w:val="5"/>
        <w:spacing w:line="360" w:lineRule="auto"/>
        <w:jc w:val="center"/>
        <w:rPr>
          <w:rFonts w:ascii="宋体" w:hAnsi="宋体" w:eastAsia="宋体"/>
          <w:sz w:val="36"/>
          <w:szCs w:val="30"/>
        </w:rPr>
      </w:pPr>
      <w:bookmarkStart w:id="116" w:name="_Toc89693272"/>
      <w:bookmarkStart w:id="117" w:name="_Toc152145333"/>
      <w:r>
        <w:rPr>
          <w:rFonts w:ascii="宋体" w:hAnsi="宋体" w:eastAsia="宋体"/>
          <w:sz w:val="36"/>
          <w:szCs w:val="30"/>
        </w:rPr>
        <w:t>第七篇  响应文件编制要求</w:t>
      </w:r>
      <w:bookmarkEnd w:id="116"/>
      <w:bookmarkEnd w:id="117"/>
    </w:p>
    <w:p>
      <w:pPr>
        <w:pStyle w:val="6"/>
        <w:spacing w:before="0" w:after="0" w:line="360" w:lineRule="auto"/>
        <w:ind w:firstLine="482" w:firstLineChars="200"/>
        <w:rPr>
          <w:rFonts w:ascii="宋体" w:hAnsi="宋体"/>
          <w:sz w:val="24"/>
          <w:szCs w:val="24"/>
        </w:rPr>
      </w:pPr>
      <w:bookmarkStart w:id="118" w:name="_Toc89693273"/>
      <w:bookmarkStart w:id="119" w:name="_Toc152145334"/>
      <w:r>
        <w:rPr>
          <w:rFonts w:ascii="宋体" w:hAnsi="宋体"/>
          <w:sz w:val="24"/>
          <w:szCs w:val="24"/>
        </w:rPr>
        <w:t>一、经济部分</w:t>
      </w:r>
      <w:bookmarkEnd w:id="118"/>
      <w:bookmarkEnd w:id="119"/>
    </w:p>
    <w:p>
      <w:pPr>
        <w:snapToGrid w:val="0"/>
        <w:spacing w:line="360" w:lineRule="auto"/>
        <w:ind w:firstLine="480" w:firstLineChars="200"/>
        <w:rPr>
          <w:sz w:val="24"/>
          <w:szCs w:val="24"/>
        </w:rPr>
      </w:pPr>
      <w:r>
        <w:rPr>
          <w:sz w:val="24"/>
          <w:szCs w:val="24"/>
        </w:rPr>
        <w:t>（一）竞争性比选报价函</w:t>
      </w:r>
    </w:p>
    <w:p>
      <w:pPr>
        <w:snapToGrid w:val="0"/>
        <w:spacing w:line="360" w:lineRule="auto"/>
        <w:ind w:firstLine="480" w:firstLineChars="200"/>
        <w:rPr>
          <w:sz w:val="24"/>
          <w:szCs w:val="24"/>
        </w:rPr>
      </w:pPr>
      <w:r>
        <w:rPr>
          <w:rFonts w:hint="eastAsia"/>
          <w:sz w:val="24"/>
          <w:szCs w:val="24"/>
        </w:rPr>
        <w:t>（二）分项报价明细表</w:t>
      </w:r>
    </w:p>
    <w:p>
      <w:pPr>
        <w:pStyle w:val="6"/>
        <w:spacing w:before="0" w:after="0" w:line="360" w:lineRule="auto"/>
        <w:ind w:firstLine="482" w:firstLineChars="200"/>
        <w:rPr>
          <w:rFonts w:ascii="宋体" w:hAnsi="宋体"/>
          <w:sz w:val="24"/>
          <w:szCs w:val="24"/>
        </w:rPr>
      </w:pPr>
      <w:bookmarkStart w:id="120" w:name="_Toc78194469"/>
      <w:bookmarkStart w:id="121" w:name="_Toc89693274"/>
      <w:bookmarkStart w:id="122" w:name="_Toc152145335"/>
      <w:r>
        <w:rPr>
          <w:rFonts w:hint="eastAsia" w:ascii="宋体" w:hAnsi="宋体"/>
          <w:sz w:val="24"/>
          <w:szCs w:val="24"/>
        </w:rPr>
        <w:t>二、技术部分</w:t>
      </w:r>
      <w:bookmarkEnd w:id="120"/>
      <w:bookmarkEnd w:id="121"/>
      <w:bookmarkEnd w:id="122"/>
    </w:p>
    <w:p>
      <w:pPr>
        <w:snapToGrid w:val="0"/>
        <w:spacing w:line="360" w:lineRule="auto"/>
        <w:ind w:firstLine="480" w:firstLineChars="200"/>
        <w:rPr>
          <w:rFonts w:ascii="宋体" w:hAnsi="宋体"/>
          <w:sz w:val="24"/>
          <w:szCs w:val="24"/>
        </w:rPr>
      </w:pPr>
      <w:r>
        <w:rPr>
          <w:rFonts w:hint="eastAsia" w:ascii="宋体" w:hAnsi="宋体"/>
          <w:sz w:val="24"/>
          <w:szCs w:val="24"/>
        </w:rPr>
        <w:t>（一）服务方案</w:t>
      </w:r>
    </w:p>
    <w:p>
      <w:pPr>
        <w:snapToGrid w:val="0"/>
        <w:spacing w:line="360" w:lineRule="auto"/>
        <w:ind w:firstLine="480" w:firstLineChars="200"/>
        <w:rPr>
          <w:sz w:val="24"/>
          <w:szCs w:val="24"/>
        </w:rPr>
      </w:pPr>
      <w:r>
        <w:rPr>
          <w:rFonts w:hint="eastAsia" w:ascii="宋体" w:hAnsi="宋体"/>
          <w:sz w:val="24"/>
          <w:szCs w:val="24"/>
        </w:rPr>
        <w:t>（二）技术响应偏离表</w:t>
      </w:r>
    </w:p>
    <w:p>
      <w:pPr>
        <w:pStyle w:val="6"/>
        <w:spacing w:before="0" w:after="0" w:line="360" w:lineRule="auto"/>
        <w:ind w:firstLine="482" w:firstLineChars="200"/>
        <w:rPr>
          <w:rFonts w:ascii="宋体" w:hAnsi="宋体"/>
          <w:sz w:val="24"/>
          <w:szCs w:val="24"/>
        </w:rPr>
      </w:pPr>
      <w:bookmarkStart w:id="123" w:name="_Toc89693275"/>
      <w:bookmarkStart w:id="124" w:name="_Toc152145336"/>
      <w:r>
        <w:rPr>
          <w:rFonts w:ascii="宋体" w:hAnsi="宋体"/>
          <w:sz w:val="24"/>
          <w:szCs w:val="24"/>
        </w:rPr>
        <w:t>三、商务部分</w:t>
      </w:r>
      <w:bookmarkEnd w:id="123"/>
      <w:bookmarkEnd w:id="124"/>
    </w:p>
    <w:p>
      <w:pPr>
        <w:snapToGrid w:val="0"/>
        <w:spacing w:line="360" w:lineRule="auto"/>
        <w:ind w:firstLine="480" w:firstLineChars="200"/>
        <w:rPr>
          <w:sz w:val="24"/>
          <w:szCs w:val="24"/>
        </w:rPr>
      </w:pPr>
      <w:r>
        <w:rPr>
          <w:sz w:val="24"/>
          <w:szCs w:val="24"/>
        </w:rPr>
        <w:t>（一）</w:t>
      </w:r>
      <w:r>
        <w:rPr>
          <w:rFonts w:hint="eastAsia"/>
          <w:sz w:val="24"/>
          <w:szCs w:val="24"/>
        </w:rPr>
        <w:t>商务</w:t>
      </w:r>
      <w:r>
        <w:rPr>
          <w:rFonts w:hint="eastAsia" w:ascii="宋体" w:hAnsi="宋体"/>
          <w:sz w:val="24"/>
          <w:szCs w:val="24"/>
        </w:rPr>
        <w:t>响应偏离表</w:t>
      </w:r>
    </w:p>
    <w:p>
      <w:pPr>
        <w:snapToGrid w:val="0"/>
        <w:spacing w:line="360" w:lineRule="auto"/>
        <w:ind w:firstLine="480" w:firstLineChars="200"/>
        <w:rPr>
          <w:sz w:val="24"/>
          <w:szCs w:val="24"/>
        </w:rPr>
      </w:pPr>
      <w:r>
        <w:rPr>
          <w:sz w:val="24"/>
          <w:szCs w:val="24"/>
        </w:rPr>
        <w:t>（二）</w:t>
      </w:r>
      <w:r>
        <w:rPr>
          <w:rFonts w:hint="eastAsia"/>
          <w:sz w:val="24"/>
          <w:szCs w:val="24"/>
        </w:rPr>
        <w:t>其它优惠服务承诺</w:t>
      </w:r>
    </w:p>
    <w:p>
      <w:pPr>
        <w:pStyle w:val="6"/>
        <w:spacing w:before="0" w:after="0" w:line="360" w:lineRule="auto"/>
        <w:ind w:firstLine="482" w:firstLineChars="200"/>
        <w:rPr>
          <w:rFonts w:ascii="宋体" w:hAnsi="宋体"/>
          <w:sz w:val="24"/>
          <w:szCs w:val="24"/>
        </w:rPr>
      </w:pPr>
      <w:bookmarkStart w:id="125" w:name="_Toc89693276"/>
      <w:bookmarkStart w:id="126" w:name="_Toc152145337"/>
      <w:r>
        <w:rPr>
          <w:rFonts w:ascii="宋体" w:hAnsi="宋体"/>
          <w:sz w:val="24"/>
          <w:szCs w:val="24"/>
        </w:rPr>
        <w:t>四、资格条件及其他</w:t>
      </w:r>
      <w:bookmarkEnd w:id="125"/>
      <w:bookmarkEnd w:id="126"/>
    </w:p>
    <w:p>
      <w:pPr>
        <w:snapToGrid w:val="0"/>
        <w:spacing w:line="360" w:lineRule="auto"/>
        <w:ind w:firstLine="480" w:firstLineChars="200"/>
        <w:rPr>
          <w:sz w:val="24"/>
          <w:szCs w:val="24"/>
        </w:rPr>
      </w:pPr>
      <w:r>
        <w:rPr>
          <w:rFonts w:hint="eastAsia"/>
          <w:sz w:val="24"/>
          <w:szCs w:val="24"/>
        </w:rPr>
        <w:t>（一）法人营业执照（副本）或社会团体法人登记证书（副本）或民办非企业单位法人登记证书（副本）或事业单位法人证书（副本）或个体工商户营业执照或有效的自然人身份证明</w:t>
      </w:r>
    </w:p>
    <w:p>
      <w:pPr>
        <w:snapToGrid w:val="0"/>
        <w:spacing w:line="360" w:lineRule="auto"/>
        <w:ind w:firstLine="480" w:firstLineChars="200"/>
        <w:rPr>
          <w:sz w:val="24"/>
          <w:szCs w:val="24"/>
        </w:rPr>
      </w:pPr>
      <w:r>
        <w:rPr>
          <w:rFonts w:hint="eastAsia"/>
          <w:sz w:val="24"/>
          <w:szCs w:val="24"/>
        </w:rPr>
        <w:t>（二）法定代表人身份证明书（格式）</w:t>
      </w:r>
    </w:p>
    <w:p>
      <w:pPr>
        <w:snapToGrid w:val="0"/>
        <w:spacing w:line="360" w:lineRule="auto"/>
        <w:ind w:firstLine="480" w:firstLineChars="200"/>
        <w:rPr>
          <w:sz w:val="24"/>
          <w:szCs w:val="24"/>
        </w:rPr>
      </w:pPr>
      <w:r>
        <w:rPr>
          <w:rFonts w:hint="eastAsia"/>
          <w:sz w:val="24"/>
          <w:szCs w:val="24"/>
        </w:rPr>
        <w:t>（三）法定代表人授权委托书（格式）</w:t>
      </w:r>
    </w:p>
    <w:p>
      <w:pPr>
        <w:snapToGrid w:val="0"/>
        <w:spacing w:line="360" w:lineRule="auto"/>
        <w:ind w:firstLine="480" w:firstLineChars="200"/>
        <w:rPr>
          <w:sz w:val="24"/>
          <w:szCs w:val="24"/>
        </w:rPr>
      </w:pPr>
      <w:r>
        <w:rPr>
          <w:rFonts w:hint="eastAsia"/>
          <w:sz w:val="24"/>
          <w:szCs w:val="24"/>
        </w:rPr>
        <w:t>（四）基本资格条件承诺函（格式）</w:t>
      </w:r>
    </w:p>
    <w:p>
      <w:pPr>
        <w:snapToGrid w:val="0"/>
        <w:spacing w:line="360" w:lineRule="auto"/>
        <w:ind w:firstLine="480" w:firstLineChars="200"/>
        <w:rPr>
          <w:sz w:val="24"/>
          <w:szCs w:val="24"/>
        </w:rPr>
      </w:pPr>
      <w:r>
        <w:rPr>
          <w:rFonts w:hint="eastAsia"/>
          <w:sz w:val="24"/>
          <w:szCs w:val="24"/>
        </w:rPr>
        <w:t>（五）特定资格条件证书或证明文件</w:t>
      </w:r>
    </w:p>
    <w:p>
      <w:pPr>
        <w:snapToGrid w:val="0"/>
        <w:spacing w:line="360" w:lineRule="auto"/>
        <w:ind w:firstLine="480" w:firstLineChars="200"/>
        <w:rPr>
          <w:sz w:val="24"/>
          <w:szCs w:val="24"/>
        </w:rPr>
      </w:pPr>
      <w:r>
        <w:rPr>
          <w:rFonts w:hint="eastAsia"/>
          <w:sz w:val="24"/>
          <w:szCs w:val="24"/>
        </w:rPr>
        <w:t>（六）其他应提供的资料</w:t>
      </w:r>
    </w:p>
    <w:p>
      <w:pPr>
        <w:snapToGrid w:val="0"/>
        <w:spacing w:line="360" w:lineRule="auto"/>
        <w:ind w:firstLine="480" w:firstLineChars="200"/>
        <w:rPr>
          <w:sz w:val="24"/>
          <w:szCs w:val="24"/>
        </w:rPr>
      </w:pPr>
      <w:r>
        <w:rPr>
          <w:rFonts w:hint="eastAsia"/>
          <w:sz w:val="24"/>
          <w:szCs w:val="24"/>
        </w:rPr>
        <w:t>1.中小企业声明函、监狱企业证明文件、残疾人福利性单位声明函</w:t>
      </w:r>
    </w:p>
    <w:p>
      <w:pPr>
        <w:snapToGrid w:val="0"/>
        <w:spacing w:line="360" w:lineRule="auto"/>
        <w:ind w:firstLine="480" w:firstLineChars="200"/>
        <w:rPr>
          <w:rFonts w:ascii="宋体" w:hAnsi="宋体"/>
          <w:sz w:val="24"/>
          <w:szCs w:val="24"/>
        </w:rPr>
      </w:pPr>
      <w:r>
        <w:rPr>
          <w:rFonts w:hint="eastAsia"/>
          <w:sz w:val="24"/>
          <w:szCs w:val="24"/>
        </w:rPr>
        <w:t>2.其他与项目有关的资料（自附）</w:t>
      </w:r>
    </w:p>
    <w:p>
      <w:pPr>
        <w:spacing w:line="440" w:lineRule="exact"/>
        <w:ind w:firstLine="480" w:firstLineChars="200"/>
        <w:rPr>
          <w:sz w:val="24"/>
          <w:szCs w:val="24"/>
        </w:rPr>
        <w:sectPr>
          <w:headerReference r:id="rId11" w:type="default"/>
          <w:pgSz w:w="11907" w:h="16840"/>
          <w:pgMar w:top="1134" w:right="1191" w:bottom="1134" w:left="1191" w:header="851" w:footer="992" w:gutter="0"/>
          <w:pgNumType w:fmt="numberInDash"/>
          <w:cols w:space="720" w:num="1"/>
          <w:docGrid w:linePitch="381" w:charSpace="-5735"/>
        </w:sectPr>
      </w:pPr>
    </w:p>
    <w:p>
      <w:pPr>
        <w:pageBreakBefore/>
        <w:tabs>
          <w:tab w:val="left" w:pos="6300"/>
        </w:tabs>
        <w:snapToGrid w:val="0"/>
        <w:spacing w:line="360" w:lineRule="auto"/>
        <w:rPr>
          <w:b/>
          <w:sz w:val="24"/>
          <w:szCs w:val="24"/>
        </w:rPr>
      </w:pPr>
      <w:bookmarkStart w:id="127" w:name="_Toc342913419"/>
      <w:bookmarkStart w:id="128" w:name="_Toc313008356"/>
      <w:bookmarkStart w:id="129" w:name="_Toc23764522"/>
      <w:bookmarkStart w:id="130" w:name="_Toc313888360"/>
      <w:bookmarkStart w:id="131" w:name="_Toc12789073"/>
      <w:bookmarkStart w:id="132" w:name="_Toc283382454"/>
      <w:r>
        <w:rPr>
          <w:rFonts w:hint="eastAsia"/>
          <w:b/>
          <w:sz w:val="24"/>
          <w:szCs w:val="24"/>
        </w:rPr>
        <w:t xml:space="preserve">    </w:t>
      </w:r>
      <w:r>
        <w:rPr>
          <w:b/>
          <w:sz w:val="24"/>
          <w:szCs w:val="24"/>
        </w:rPr>
        <w:t>一、经济部分</w:t>
      </w:r>
      <w:bookmarkEnd w:id="127"/>
      <w:bookmarkEnd w:id="128"/>
      <w:bookmarkEnd w:id="129"/>
      <w:bookmarkEnd w:id="130"/>
    </w:p>
    <w:bookmarkEnd w:id="131"/>
    <w:bookmarkEnd w:id="132"/>
    <w:p>
      <w:pPr>
        <w:tabs>
          <w:tab w:val="left" w:pos="6300"/>
        </w:tabs>
        <w:snapToGrid w:val="0"/>
        <w:spacing w:line="520" w:lineRule="exact"/>
        <w:ind w:firstLine="480" w:firstLineChars="200"/>
        <w:rPr>
          <w:sz w:val="24"/>
          <w:szCs w:val="24"/>
        </w:rPr>
      </w:pPr>
      <w:r>
        <w:rPr>
          <w:sz w:val="24"/>
          <w:szCs w:val="24"/>
        </w:rPr>
        <w:t>（一）竞争性比选报价函</w:t>
      </w:r>
    </w:p>
    <w:p>
      <w:pPr>
        <w:tabs>
          <w:tab w:val="left" w:pos="6300"/>
        </w:tabs>
        <w:snapToGrid w:val="0"/>
        <w:spacing w:line="520" w:lineRule="exact"/>
        <w:jc w:val="center"/>
        <w:outlineLvl w:val="0"/>
        <w:rPr>
          <w:b/>
          <w:szCs w:val="28"/>
        </w:rPr>
      </w:pPr>
      <w:r>
        <w:rPr>
          <w:b/>
          <w:szCs w:val="28"/>
        </w:rPr>
        <w:t>竞争性比选报价函</w:t>
      </w:r>
    </w:p>
    <w:p>
      <w:pPr>
        <w:tabs>
          <w:tab w:val="left" w:pos="6300"/>
        </w:tabs>
        <w:snapToGrid w:val="0"/>
        <w:spacing w:line="520" w:lineRule="exact"/>
        <w:rPr>
          <w:sz w:val="24"/>
          <w:szCs w:val="24"/>
        </w:rPr>
      </w:pPr>
      <w:r>
        <w:rPr>
          <w:sz w:val="24"/>
          <w:szCs w:val="24"/>
          <w:u w:val="single"/>
        </w:rPr>
        <w:t>（采购代理机构名称）</w:t>
      </w:r>
      <w:r>
        <w:rPr>
          <w:sz w:val="24"/>
          <w:szCs w:val="24"/>
        </w:rPr>
        <w:t>：</w:t>
      </w:r>
    </w:p>
    <w:p>
      <w:pPr>
        <w:tabs>
          <w:tab w:val="left" w:pos="6300"/>
        </w:tabs>
        <w:snapToGrid w:val="0"/>
        <w:spacing w:line="520" w:lineRule="exact"/>
        <w:ind w:firstLine="480" w:firstLineChars="200"/>
        <w:rPr>
          <w:sz w:val="24"/>
          <w:szCs w:val="24"/>
        </w:rPr>
      </w:pPr>
      <w:r>
        <w:rPr>
          <w:sz w:val="24"/>
          <w:szCs w:val="24"/>
        </w:rPr>
        <w:t>我方收到____________________________（项目名称）的竞争性比选文件，经详细研究，决定参加该项目的比选。</w:t>
      </w:r>
    </w:p>
    <w:p>
      <w:pPr>
        <w:tabs>
          <w:tab w:val="left" w:pos="6300"/>
        </w:tabs>
        <w:snapToGrid w:val="0"/>
        <w:spacing w:line="520" w:lineRule="exact"/>
        <w:ind w:firstLine="480" w:firstLineChars="200"/>
        <w:rPr>
          <w:sz w:val="24"/>
          <w:szCs w:val="24"/>
        </w:rPr>
      </w:pPr>
      <w:r>
        <w:rPr>
          <w:sz w:val="24"/>
          <w:szCs w:val="24"/>
        </w:rPr>
        <w:t>1.愿意按照竞争性比选文件中的一切要求，提供本项目的服务，</w:t>
      </w:r>
      <w:r>
        <w:rPr>
          <w:rFonts w:hint="eastAsia"/>
          <w:sz w:val="24"/>
          <w:szCs w:val="24"/>
        </w:rPr>
        <w:t>比选</w:t>
      </w:r>
      <w:r>
        <w:rPr>
          <w:sz w:val="24"/>
          <w:szCs w:val="24"/>
        </w:rPr>
        <w:t>报价为人民币大写：</w:t>
      </w:r>
      <w:r>
        <w:rPr>
          <w:sz w:val="24"/>
          <w:szCs w:val="24"/>
          <w:u w:val="single"/>
        </w:rPr>
        <w:t xml:space="preserve">      </w:t>
      </w:r>
      <w:r>
        <w:rPr>
          <w:sz w:val="24"/>
          <w:szCs w:val="24"/>
        </w:rPr>
        <w:t>元整；人民币小写：</w:t>
      </w:r>
      <w:r>
        <w:rPr>
          <w:sz w:val="24"/>
          <w:szCs w:val="24"/>
          <w:u w:val="single"/>
        </w:rPr>
        <w:t xml:space="preserve">    </w:t>
      </w:r>
      <w:r>
        <w:rPr>
          <w:sz w:val="24"/>
          <w:szCs w:val="24"/>
        </w:rPr>
        <w:t>元。</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2.我方现提交的响应文件为：响应文件正本</w:t>
      </w:r>
      <w:r>
        <w:rPr>
          <w:rFonts w:ascii="宋体" w:hAnsi="宋体"/>
          <w:sz w:val="24"/>
          <w:szCs w:val="24"/>
          <w:u w:val="single"/>
        </w:rPr>
        <w:t xml:space="preserve">   </w:t>
      </w:r>
      <w:r>
        <w:rPr>
          <w:rFonts w:ascii="宋体" w:hAnsi="宋体"/>
          <w:sz w:val="24"/>
          <w:szCs w:val="24"/>
        </w:rPr>
        <w:t>份，副本</w:t>
      </w:r>
      <w:r>
        <w:rPr>
          <w:rFonts w:ascii="宋体" w:hAnsi="宋体"/>
          <w:sz w:val="24"/>
          <w:szCs w:val="24"/>
          <w:u w:val="single"/>
        </w:rPr>
        <w:t xml:space="preserve">   </w:t>
      </w:r>
      <w:r>
        <w:rPr>
          <w:rFonts w:ascii="宋体" w:hAnsi="宋体"/>
          <w:sz w:val="24"/>
          <w:szCs w:val="24"/>
        </w:rPr>
        <w:t>份</w:t>
      </w:r>
      <w:r>
        <w:rPr>
          <w:rFonts w:hint="eastAsia" w:ascii="宋体" w:hAnsi="宋体"/>
          <w:sz w:val="24"/>
          <w:szCs w:val="24"/>
        </w:rPr>
        <w:t>，电子文档</w:t>
      </w:r>
      <w:r>
        <w:rPr>
          <w:rFonts w:ascii="宋体" w:hAnsi="宋体"/>
          <w:sz w:val="24"/>
          <w:szCs w:val="24"/>
          <w:u w:val="single"/>
        </w:rPr>
        <w:t xml:space="preserve">   </w:t>
      </w:r>
      <w:r>
        <w:rPr>
          <w:rFonts w:ascii="宋体" w:hAnsi="宋体"/>
          <w:sz w:val="24"/>
          <w:szCs w:val="24"/>
        </w:rPr>
        <w:t>份 。</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3.我方承诺：本次比选的有效期为90天。</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4.我方完全理解和接受贵方竞争性比选文件的一切规定和要求及评审办法。</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5.在整个竞争性比选过程中，我方若有违规行为，接受按照《中华人民共和国政府采购法》和《竞争性比选文件》之规定给予惩罚。</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6.我方若成为成交供应商，将按照最终比选结果签订合同，并且严格履行合同义务。本承诺函将成为合同不可分割的一部分，与合同具有同等的法律效力。</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7.我方同意按竞争性比选文件规定，交纳竞争性比选文件要求的比选保证金。如果我方成为成交供应商，保证在接到成交通知书后，</w:t>
      </w:r>
      <w:r>
        <w:rPr>
          <w:rFonts w:hint="eastAsia" w:ascii="宋体" w:hAnsi="宋体"/>
          <w:sz w:val="24"/>
          <w:szCs w:val="24"/>
        </w:rPr>
        <w:t>按</w:t>
      </w:r>
      <w:r>
        <w:rPr>
          <w:rFonts w:ascii="宋体" w:hAnsi="宋体"/>
          <w:sz w:val="24"/>
          <w:szCs w:val="24"/>
        </w:rPr>
        <w:t>竞争性比选文件规定</w:t>
      </w:r>
      <w:r>
        <w:rPr>
          <w:rFonts w:hint="eastAsia" w:ascii="宋体" w:hAnsi="宋体"/>
          <w:sz w:val="24"/>
          <w:szCs w:val="24"/>
        </w:rPr>
        <w:t>缴纳</w:t>
      </w:r>
      <w:r>
        <w:rPr>
          <w:rFonts w:ascii="宋体" w:hAnsi="宋体"/>
          <w:sz w:val="24"/>
          <w:szCs w:val="24"/>
        </w:rPr>
        <w:t>采购代理服务费。</w:t>
      </w:r>
    </w:p>
    <w:p>
      <w:pPr>
        <w:tabs>
          <w:tab w:val="left" w:pos="6300"/>
        </w:tabs>
        <w:snapToGrid w:val="0"/>
        <w:spacing w:line="520" w:lineRule="exact"/>
        <w:ind w:firstLine="480" w:firstLineChars="200"/>
        <w:rPr>
          <w:sz w:val="24"/>
          <w:szCs w:val="24"/>
        </w:rPr>
      </w:pPr>
      <w:r>
        <w:rPr>
          <w:rFonts w:ascii="宋体" w:hAnsi="宋体"/>
          <w:sz w:val="24"/>
          <w:szCs w:val="24"/>
        </w:rPr>
        <w:t>8.</w:t>
      </w:r>
      <w:r>
        <w:rPr>
          <w:sz w:val="24"/>
          <w:szCs w:val="28"/>
        </w:rPr>
        <w:t>我方未</w:t>
      </w:r>
      <w:r>
        <w:rPr>
          <w:sz w:val="24"/>
          <w:szCs w:val="24"/>
        </w:rPr>
        <w:t>为采购项目提供整体设计、规范编制或者项目管理、监理、检测等服务。</w:t>
      </w:r>
    </w:p>
    <w:p>
      <w:pPr>
        <w:tabs>
          <w:tab w:val="left" w:pos="6300"/>
        </w:tabs>
        <w:snapToGrid w:val="0"/>
        <w:spacing w:line="520" w:lineRule="exact"/>
        <w:ind w:firstLine="570"/>
        <w:rPr>
          <w:sz w:val="24"/>
          <w:szCs w:val="24"/>
        </w:rPr>
      </w:pPr>
      <w:r>
        <w:rPr>
          <w:sz w:val="24"/>
          <w:szCs w:val="24"/>
        </w:rPr>
        <w:t>供应商（公章）：</w:t>
      </w:r>
    </w:p>
    <w:p>
      <w:pPr>
        <w:tabs>
          <w:tab w:val="left" w:pos="6300"/>
        </w:tabs>
        <w:snapToGrid w:val="0"/>
        <w:spacing w:line="520" w:lineRule="exact"/>
        <w:ind w:firstLine="570"/>
        <w:rPr>
          <w:sz w:val="24"/>
          <w:szCs w:val="24"/>
        </w:rPr>
      </w:pPr>
      <w:r>
        <w:rPr>
          <w:sz w:val="24"/>
          <w:szCs w:val="24"/>
        </w:rPr>
        <w:t xml:space="preserve">地址：  </w:t>
      </w:r>
    </w:p>
    <w:p>
      <w:pPr>
        <w:tabs>
          <w:tab w:val="left" w:pos="6300"/>
        </w:tabs>
        <w:snapToGrid w:val="0"/>
        <w:spacing w:line="520" w:lineRule="exact"/>
        <w:ind w:firstLine="570"/>
        <w:rPr>
          <w:sz w:val="24"/>
          <w:szCs w:val="24"/>
        </w:rPr>
      </w:pPr>
      <w:r>
        <w:rPr>
          <w:sz w:val="24"/>
          <w:szCs w:val="24"/>
        </w:rPr>
        <w:t>电话：                                             传真：</w:t>
      </w:r>
    </w:p>
    <w:p>
      <w:pPr>
        <w:tabs>
          <w:tab w:val="left" w:pos="6300"/>
        </w:tabs>
        <w:snapToGrid w:val="0"/>
        <w:spacing w:line="520" w:lineRule="exact"/>
        <w:ind w:firstLine="570"/>
        <w:rPr>
          <w:sz w:val="24"/>
          <w:szCs w:val="24"/>
        </w:rPr>
      </w:pPr>
      <w:r>
        <w:rPr>
          <w:sz w:val="24"/>
          <w:szCs w:val="24"/>
        </w:rPr>
        <w:t>网址：                                             邮编：</w:t>
      </w:r>
    </w:p>
    <w:p>
      <w:pPr>
        <w:tabs>
          <w:tab w:val="left" w:pos="6300"/>
        </w:tabs>
        <w:snapToGrid w:val="0"/>
        <w:spacing w:line="520" w:lineRule="exact"/>
        <w:ind w:firstLine="570"/>
        <w:rPr>
          <w:sz w:val="24"/>
          <w:szCs w:val="24"/>
        </w:rPr>
      </w:pPr>
      <w:r>
        <w:rPr>
          <w:sz w:val="24"/>
          <w:szCs w:val="24"/>
        </w:rPr>
        <w:t>联系人：</w:t>
      </w:r>
    </w:p>
    <w:p>
      <w:pPr>
        <w:tabs>
          <w:tab w:val="left" w:pos="6300"/>
        </w:tabs>
        <w:snapToGrid w:val="0"/>
        <w:spacing w:line="520" w:lineRule="exact"/>
        <w:ind w:firstLine="570"/>
        <w:rPr>
          <w:sz w:val="24"/>
          <w:szCs w:val="24"/>
        </w:rPr>
      </w:pPr>
    </w:p>
    <w:p>
      <w:pPr>
        <w:snapToGrid w:val="0"/>
        <w:spacing w:line="520" w:lineRule="exact"/>
        <w:ind w:firstLine="480" w:firstLineChars="200"/>
        <w:rPr>
          <w:sz w:val="24"/>
          <w:szCs w:val="24"/>
        </w:rPr>
      </w:pPr>
      <w:r>
        <w:rPr>
          <w:sz w:val="24"/>
          <w:szCs w:val="24"/>
        </w:rPr>
        <w:t xml:space="preserve">                                                  年   月   日</w:t>
      </w:r>
    </w:p>
    <w:p>
      <w:pPr>
        <w:snapToGrid w:val="0"/>
        <w:spacing w:line="520" w:lineRule="exact"/>
        <w:ind w:firstLine="480" w:firstLineChars="200"/>
        <w:rPr>
          <w:sz w:val="24"/>
          <w:szCs w:val="24"/>
        </w:rPr>
      </w:pPr>
    </w:p>
    <w:p>
      <w:pPr>
        <w:snapToGrid w:val="0"/>
        <w:spacing w:line="520" w:lineRule="exact"/>
        <w:ind w:firstLine="480" w:firstLineChars="200"/>
        <w:rPr>
          <w:sz w:val="24"/>
          <w:szCs w:val="24"/>
        </w:rPr>
        <w:sectPr>
          <w:pgSz w:w="11907" w:h="16840"/>
          <w:pgMar w:top="1134" w:right="1191" w:bottom="1134" w:left="1191" w:header="851" w:footer="992" w:gutter="0"/>
          <w:pgNumType w:fmt="numberInDash"/>
          <w:cols w:space="720" w:num="1"/>
          <w:docGrid w:linePitch="380" w:charSpace="-5735"/>
        </w:sectPr>
      </w:pPr>
    </w:p>
    <w:p>
      <w:pPr>
        <w:pageBreakBefore/>
        <w:snapToGrid w:val="0"/>
        <w:spacing w:line="360" w:lineRule="auto"/>
        <w:ind w:firstLine="480" w:firstLineChars="200"/>
        <w:jc w:val="left"/>
        <w:rPr>
          <w:rFonts w:ascii="宋体" w:hAnsi="宋体"/>
          <w:sz w:val="24"/>
          <w:szCs w:val="24"/>
        </w:rPr>
      </w:pPr>
      <w:bookmarkStart w:id="133" w:name="_Toc313008357"/>
      <w:bookmarkStart w:id="134" w:name="_Toc313888361"/>
      <w:bookmarkStart w:id="135" w:name="_Toc23764523"/>
      <w:bookmarkStart w:id="136" w:name="_Toc342913420"/>
      <w:r>
        <w:rPr>
          <w:rFonts w:hint="eastAsia" w:ascii="宋体" w:hAnsi="宋体"/>
          <w:sz w:val="24"/>
          <w:szCs w:val="24"/>
        </w:rPr>
        <w:t>（二）分项报价明细表</w:t>
      </w:r>
    </w:p>
    <w:p>
      <w:pPr>
        <w:jc w:val="center"/>
        <w:rPr>
          <w:rFonts w:ascii="宋体" w:hAnsi="宋体"/>
          <w:b/>
          <w:szCs w:val="28"/>
        </w:rPr>
      </w:pPr>
      <w:r>
        <w:rPr>
          <w:rFonts w:hint="eastAsia" w:ascii="宋体" w:hAnsi="宋体"/>
          <w:b/>
          <w:szCs w:val="28"/>
        </w:rPr>
        <w:t>分项报价明细表</w:t>
      </w:r>
    </w:p>
    <w:p>
      <w:pPr>
        <w:snapToGrid w:val="0"/>
        <w:rPr>
          <w:rFonts w:ascii="宋体" w:hAnsi="宋体"/>
          <w:sz w:val="24"/>
          <w:szCs w:val="24"/>
        </w:rPr>
      </w:pPr>
      <w:r>
        <w:rPr>
          <w:rFonts w:hint="eastAsia" w:ascii="宋体" w:hAnsi="宋体"/>
          <w:sz w:val="24"/>
          <w:szCs w:val="24"/>
        </w:rPr>
        <w:t>项目号：</w:t>
      </w:r>
    </w:p>
    <w:p>
      <w:pPr>
        <w:snapToGrid w:val="0"/>
        <w:rPr>
          <w:rFonts w:ascii="宋体" w:hAnsi="宋体"/>
          <w:sz w:val="24"/>
          <w:szCs w:val="24"/>
        </w:rPr>
      </w:pPr>
      <w:r>
        <w:rPr>
          <w:rFonts w:hint="eastAsia" w:ascii="宋体" w:hAnsi="宋体"/>
          <w:sz w:val="24"/>
          <w:szCs w:val="24"/>
        </w:rPr>
        <w:t>项目名称：</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744"/>
        <w:gridCol w:w="1985"/>
        <w:gridCol w:w="1275"/>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986" w:type="dxa"/>
            <w:vAlign w:val="center"/>
          </w:tcPr>
          <w:p>
            <w:pPr>
              <w:jc w:val="center"/>
              <w:rPr>
                <w:b/>
                <w:sz w:val="21"/>
                <w:szCs w:val="21"/>
              </w:rPr>
            </w:pPr>
            <w:r>
              <w:rPr>
                <w:b/>
                <w:sz w:val="21"/>
                <w:szCs w:val="21"/>
              </w:rPr>
              <w:t>序号</w:t>
            </w:r>
          </w:p>
        </w:tc>
        <w:tc>
          <w:tcPr>
            <w:tcW w:w="3744" w:type="dxa"/>
            <w:vAlign w:val="center"/>
          </w:tcPr>
          <w:p>
            <w:pPr>
              <w:jc w:val="center"/>
              <w:rPr>
                <w:b/>
                <w:sz w:val="21"/>
                <w:szCs w:val="21"/>
              </w:rPr>
            </w:pPr>
            <w:r>
              <w:rPr>
                <w:rFonts w:hint="eastAsia"/>
                <w:b/>
                <w:sz w:val="21"/>
                <w:szCs w:val="21"/>
              </w:rPr>
              <w:t>相关信息</w:t>
            </w:r>
          </w:p>
        </w:tc>
        <w:tc>
          <w:tcPr>
            <w:tcW w:w="1985" w:type="dxa"/>
            <w:vAlign w:val="center"/>
          </w:tcPr>
          <w:p>
            <w:pPr>
              <w:jc w:val="center"/>
              <w:rPr>
                <w:b/>
                <w:sz w:val="21"/>
                <w:szCs w:val="21"/>
              </w:rPr>
            </w:pPr>
            <w:r>
              <w:rPr>
                <w:b/>
                <w:sz w:val="21"/>
                <w:szCs w:val="21"/>
              </w:rPr>
              <w:t>数量</w:t>
            </w:r>
          </w:p>
        </w:tc>
        <w:tc>
          <w:tcPr>
            <w:tcW w:w="1275" w:type="dxa"/>
            <w:vAlign w:val="center"/>
          </w:tcPr>
          <w:p>
            <w:pPr>
              <w:jc w:val="center"/>
              <w:rPr>
                <w:b/>
                <w:sz w:val="21"/>
                <w:szCs w:val="21"/>
              </w:rPr>
            </w:pPr>
            <w:r>
              <w:rPr>
                <w:b/>
                <w:sz w:val="21"/>
                <w:szCs w:val="21"/>
              </w:rPr>
              <w:t>单价</w:t>
            </w:r>
          </w:p>
        </w:tc>
        <w:tc>
          <w:tcPr>
            <w:tcW w:w="1638" w:type="dxa"/>
            <w:vAlign w:val="center"/>
          </w:tcPr>
          <w:p>
            <w:pPr>
              <w:jc w:val="center"/>
              <w:rPr>
                <w:b/>
                <w:sz w:val="21"/>
                <w:szCs w:val="21"/>
              </w:rPr>
            </w:pPr>
            <w:r>
              <w:rPr>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1</w:t>
            </w:r>
          </w:p>
        </w:tc>
        <w:tc>
          <w:tcPr>
            <w:tcW w:w="3744" w:type="dxa"/>
            <w:vAlign w:val="center"/>
          </w:tcPr>
          <w:p>
            <w:pPr>
              <w:jc w:val="center"/>
              <w:rPr>
                <w:sz w:val="21"/>
                <w:szCs w:val="21"/>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2</w:t>
            </w:r>
          </w:p>
        </w:tc>
        <w:tc>
          <w:tcPr>
            <w:tcW w:w="3744" w:type="dxa"/>
            <w:vAlign w:val="center"/>
          </w:tcPr>
          <w:p>
            <w:pPr>
              <w:jc w:val="center"/>
              <w:rPr>
                <w:sz w:val="21"/>
                <w:szCs w:val="21"/>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3</w:t>
            </w:r>
          </w:p>
        </w:tc>
        <w:tc>
          <w:tcPr>
            <w:tcW w:w="3744" w:type="dxa"/>
            <w:vAlign w:val="center"/>
          </w:tcPr>
          <w:p>
            <w:pPr>
              <w:jc w:val="center"/>
              <w:rPr>
                <w:bCs/>
                <w:kern w:val="0"/>
                <w:sz w:val="22"/>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4</w:t>
            </w:r>
          </w:p>
        </w:tc>
        <w:tc>
          <w:tcPr>
            <w:tcW w:w="3744" w:type="dxa"/>
            <w:vAlign w:val="center"/>
          </w:tcPr>
          <w:p>
            <w:pPr>
              <w:jc w:val="center"/>
              <w:rPr>
                <w:bCs/>
                <w:kern w:val="0"/>
                <w:sz w:val="22"/>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5</w:t>
            </w:r>
          </w:p>
        </w:tc>
        <w:tc>
          <w:tcPr>
            <w:tcW w:w="3744" w:type="dxa"/>
            <w:vAlign w:val="center"/>
          </w:tcPr>
          <w:p>
            <w:pPr>
              <w:jc w:val="center"/>
              <w:rPr>
                <w:sz w:val="21"/>
                <w:szCs w:val="21"/>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6</w:t>
            </w:r>
          </w:p>
        </w:tc>
        <w:tc>
          <w:tcPr>
            <w:tcW w:w="3744" w:type="dxa"/>
            <w:vAlign w:val="center"/>
          </w:tcPr>
          <w:p>
            <w:pPr>
              <w:jc w:val="center"/>
              <w:rPr>
                <w:sz w:val="21"/>
                <w:szCs w:val="21"/>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7</w:t>
            </w:r>
          </w:p>
        </w:tc>
        <w:tc>
          <w:tcPr>
            <w:tcW w:w="3744" w:type="dxa"/>
            <w:vAlign w:val="center"/>
          </w:tcPr>
          <w:p>
            <w:pPr>
              <w:jc w:val="center"/>
              <w:rPr>
                <w:b/>
                <w:sz w:val="21"/>
                <w:szCs w:val="21"/>
              </w:rPr>
            </w:pPr>
            <w:r>
              <w:rPr>
                <w:b/>
                <w:sz w:val="21"/>
                <w:szCs w:val="21"/>
              </w:rPr>
              <w:t>……</w:t>
            </w: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p>
        </w:tc>
        <w:tc>
          <w:tcPr>
            <w:tcW w:w="5729" w:type="dxa"/>
            <w:gridSpan w:val="2"/>
            <w:vAlign w:val="center"/>
          </w:tcPr>
          <w:p>
            <w:pPr>
              <w:jc w:val="center"/>
              <w:rPr>
                <w:b/>
                <w:sz w:val="21"/>
                <w:szCs w:val="21"/>
              </w:rPr>
            </w:pPr>
            <w:r>
              <w:rPr>
                <w:b/>
                <w:sz w:val="21"/>
                <w:szCs w:val="21"/>
              </w:rPr>
              <w:t>总计</w:t>
            </w:r>
          </w:p>
        </w:tc>
        <w:tc>
          <w:tcPr>
            <w:tcW w:w="2913" w:type="dxa"/>
            <w:gridSpan w:val="2"/>
          </w:tcPr>
          <w:p>
            <w:pPr>
              <w:rPr>
                <w:sz w:val="21"/>
                <w:szCs w:val="21"/>
              </w:rPr>
            </w:pPr>
          </w:p>
        </w:tc>
      </w:tr>
    </w:tbl>
    <w:p>
      <w:pPr>
        <w:spacing w:line="360" w:lineRule="auto"/>
        <w:ind w:firstLine="600" w:firstLineChars="250"/>
        <w:rPr>
          <w:rFonts w:ascii="宋体" w:hAnsi="宋体"/>
          <w:sz w:val="24"/>
          <w:szCs w:val="28"/>
        </w:rPr>
      </w:pPr>
    </w:p>
    <w:p>
      <w:pPr>
        <w:spacing w:line="360" w:lineRule="auto"/>
        <w:ind w:firstLine="600" w:firstLineChars="250"/>
        <w:rPr>
          <w:rFonts w:ascii="宋体" w:hAnsi="宋体"/>
          <w:sz w:val="24"/>
          <w:szCs w:val="28"/>
        </w:rPr>
      </w:pPr>
    </w:p>
    <w:p>
      <w:pPr>
        <w:spacing w:line="360" w:lineRule="auto"/>
        <w:rPr>
          <w:rFonts w:ascii="宋体" w:hAnsi="宋体"/>
          <w:sz w:val="24"/>
          <w:szCs w:val="28"/>
        </w:rPr>
      </w:pPr>
      <w:r>
        <w:rPr>
          <w:rFonts w:hint="eastAsia" w:ascii="宋体" w:hAnsi="宋体"/>
          <w:sz w:val="24"/>
          <w:szCs w:val="28"/>
        </w:rPr>
        <w:t>供应商：                     法定代表人（或法定代表人授权代表）或自然人：</w:t>
      </w:r>
    </w:p>
    <w:p>
      <w:pPr>
        <w:spacing w:line="360" w:lineRule="auto"/>
        <w:rPr>
          <w:rFonts w:ascii="宋体" w:hAnsi="宋体"/>
          <w:sz w:val="24"/>
          <w:szCs w:val="28"/>
        </w:rPr>
      </w:pPr>
      <w:r>
        <w:rPr>
          <w:rFonts w:hint="eastAsia" w:ascii="宋体" w:hAnsi="宋体"/>
          <w:sz w:val="24"/>
          <w:szCs w:val="28"/>
        </w:rPr>
        <w:t xml:space="preserve">   </w:t>
      </w:r>
    </w:p>
    <w:p>
      <w:pPr>
        <w:spacing w:line="360" w:lineRule="auto"/>
        <w:ind w:firstLine="720" w:firstLineChars="300"/>
        <w:rPr>
          <w:rFonts w:ascii="宋体" w:hAnsi="宋体"/>
          <w:sz w:val="24"/>
          <w:szCs w:val="28"/>
        </w:rPr>
      </w:pPr>
      <w:r>
        <w:rPr>
          <w:rFonts w:hint="eastAsia" w:ascii="宋体" w:hAnsi="宋体"/>
          <w:sz w:val="24"/>
          <w:szCs w:val="28"/>
        </w:rPr>
        <w:t>（供应商公章）                               （签字或盖章）</w:t>
      </w:r>
    </w:p>
    <w:p>
      <w:pPr>
        <w:tabs>
          <w:tab w:val="left" w:pos="6300"/>
        </w:tabs>
        <w:snapToGrid w:val="0"/>
        <w:spacing w:line="360" w:lineRule="auto"/>
        <w:ind w:firstLine="570"/>
        <w:rPr>
          <w:rFonts w:ascii="宋体" w:hAnsi="宋体"/>
          <w:sz w:val="24"/>
        </w:rPr>
      </w:pPr>
      <w:r>
        <w:rPr>
          <w:rFonts w:hint="eastAsia" w:ascii="宋体" w:hAnsi="宋体"/>
          <w:sz w:val="24"/>
          <w:szCs w:val="28"/>
        </w:rPr>
        <w:t xml:space="preserve">                                              年     月     日</w:t>
      </w:r>
    </w:p>
    <w:p>
      <w:pPr>
        <w:snapToGrid w:val="0"/>
        <w:spacing w:line="500" w:lineRule="exact"/>
        <w:ind w:firstLine="480" w:firstLineChars="200"/>
        <w:rPr>
          <w:rFonts w:ascii="宋体" w:hAnsi="宋体"/>
          <w:sz w:val="24"/>
          <w:szCs w:val="28"/>
        </w:rPr>
      </w:pPr>
    </w:p>
    <w:p>
      <w:pPr>
        <w:snapToGrid w:val="0"/>
        <w:spacing w:line="360" w:lineRule="auto"/>
        <w:ind w:firstLine="480" w:firstLineChars="200"/>
        <w:rPr>
          <w:rFonts w:ascii="宋体" w:hAnsi="宋体"/>
          <w:sz w:val="24"/>
          <w:szCs w:val="28"/>
        </w:rPr>
      </w:pPr>
      <w:r>
        <w:rPr>
          <w:rFonts w:hint="eastAsia" w:ascii="宋体" w:hAnsi="宋体"/>
          <w:sz w:val="24"/>
          <w:szCs w:val="28"/>
        </w:rPr>
        <w:t>注：</w:t>
      </w:r>
    </w:p>
    <w:p>
      <w:pPr>
        <w:snapToGrid w:val="0"/>
        <w:spacing w:line="360" w:lineRule="auto"/>
        <w:ind w:firstLine="480" w:firstLineChars="200"/>
        <w:rPr>
          <w:rFonts w:ascii="宋体" w:hAnsi="宋体"/>
          <w:sz w:val="24"/>
          <w:szCs w:val="28"/>
        </w:rPr>
      </w:pPr>
      <w:r>
        <w:rPr>
          <w:rFonts w:hint="eastAsia" w:ascii="宋体" w:hAnsi="宋体"/>
          <w:sz w:val="24"/>
          <w:szCs w:val="28"/>
        </w:rPr>
        <w:t>1.供应商可自行设计表格格式，分项内容应当完整；</w:t>
      </w:r>
    </w:p>
    <w:p>
      <w:pPr>
        <w:snapToGrid w:val="0"/>
        <w:spacing w:line="360" w:lineRule="auto"/>
        <w:ind w:firstLine="480" w:firstLineChars="200"/>
        <w:rPr>
          <w:rFonts w:ascii="宋体" w:hAnsi="宋体"/>
          <w:sz w:val="24"/>
          <w:szCs w:val="28"/>
        </w:rPr>
      </w:pPr>
      <w:r>
        <w:rPr>
          <w:rFonts w:hint="eastAsia" w:ascii="宋体" w:hAnsi="宋体"/>
          <w:sz w:val="24"/>
          <w:szCs w:val="28"/>
        </w:rPr>
        <w:t>2.该表可扩展；</w:t>
      </w:r>
    </w:p>
    <w:p>
      <w:pPr>
        <w:snapToGrid w:val="0"/>
        <w:spacing w:line="360" w:lineRule="auto"/>
        <w:ind w:firstLine="480" w:firstLineChars="200"/>
        <w:rPr>
          <w:rFonts w:ascii="宋体" w:hAnsi="宋体"/>
          <w:sz w:val="24"/>
          <w:szCs w:val="28"/>
        </w:rPr>
      </w:pPr>
    </w:p>
    <w:p>
      <w:pPr>
        <w:snapToGrid w:val="0"/>
        <w:spacing w:line="360" w:lineRule="auto"/>
        <w:ind w:firstLine="480" w:firstLineChars="200"/>
        <w:rPr>
          <w:rFonts w:ascii="宋体" w:hAnsi="宋体"/>
          <w:sz w:val="24"/>
          <w:szCs w:val="28"/>
        </w:rPr>
      </w:pPr>
    </w:p>
    <w:p>
      <w:pPr>
        <w:snapToGrid w:val="0"/>
        <w:spacing w:line="360" w:lineRule="auto"/>
        <w:ind w:firstLine="480" w:firstLineChars="200"/>
        <w:rPr>
          <w:rFonts w:ascii="宋体" w:hAnsi="宋体"/>
          <w:sz w:val="24"/>
          <w:szCs w:val="28"/>
        </w:rPr>
      </w:pPr>
    </w:p>
    <w:p>
      <w:pPr>
        <w:snapToGrid w:val="0"/>
        <w:spacing w:line="360" w:lineRule="auto"/>
        <w:ind w:firstLine="480" w:firstLineChars="200"/>
        <w:rPr>
          <w:rFonts w:ascii="宋体" w:hAnsi="宋体"/>
          <w:sz w:val="24"/>
          <w:szCs w:val="28"/>
        </w:rPr>
      </w:pPr>
    </w:p>
    <w:p>
      <w:pPr>
        <w:snapToGrid w:val="0"/>
        <w:spacing w:line="360" w:lineRule="auto"/>
        <w:ind w:firstLine="480" w:firstLineChars="200"/>
        <w:rPr>
          <w:rFonts w:ascii="宋体" w:hAnsi="宋体"/>
          <w:sz w:val="24"/>
          <w:szCs w:val="28"/>
        </w:rPr>
      </w:pPr>
    </w:p>
    <w:p>
      <w:pPr>
        <w:pageBreakBefore/>
        <w:tabs>
          <w:tab w:val="left" w:pos="6300"/>
        </w:tabs>
        <w:snapToGrid w:val="0"/>
        <w:spacing w:line="360" w:lineRule="auto"/>
        <w:rPr>
          <w:b/>
          <w:sz w:val="24"/>
          <w:szCs w:val="24"/>
        </w:rPr>
      </w:pPr>
      <w:r>
        <w:rPr>
          <w:rFonts w:hint="eastAsia"/>
          <w:b/>
          <w:sz w:val="24"/>
          <w:szCs w:val="24"/>
        </w:rPr>
        <w:t xml:space="preserve">    </w:t>
      </w:r>
      <w:r>
        <w:rPr>
          <w:b/>
          <w:sz w:val="24"/>
          <w:szCs w:val="24"/>
        </w:rPr>
        <w:t>二、</w:t>
      </w:r>
      <w:r>
        <w:rPr>
          <w:rFonts w:hint="eastAsia"/>
          <w:b/>
          <w:sz w:val="24"/>
          <w:szCs w:val="24"/>
        </w:rPr>
        <w:t>技术</w:t>
      </w:r>
      <w:r>
        <w:rPr>
          <w:b/>
          <w:sz w:val="24"/>
          <w:szCs w:val="24"/>
        </w:rPr>
        <w:t>部分</w:t>
      </w:r>
      <w:bookmarkEnd w:id="133"/>
      <w:bookmarkEnd w:id="134"/>
      <w:bookmarkEnd w:id="135"/>
      <w:bookmarkEnd w:id="136"/>
    </w:p>
    <w:p>
      <w:pPr>
        <w:snapToGrid w:val="0"/>
        <w:spacing w:line="360" w:lineRule="auto"/>
        <w:rPr>
          <w:rFonts w:ascii="宋体" w:hAnsi="宋体"/>
          <w:sz w:val="24"/>
          <w:szCs w:val="24"/>
        </w:rPr>
      </w:pPr>
      <w:r>
        <w:rPr>
          <w:rFonts w:hint="eastAsia"/>
          <w:sz w:val="24"/>
          <w:szCs w:val="24"/>
        </w:rPr>
        <w:t xml:space="preserve">    </w:t>
      </w:r>
      <w:r>
        <w:rPr>
          <w:rFonts w:hint="eastAsia" w:ascii="宋体" w:hAnsi="宋体"/>
          <w:sz w:val="24"/>
          <w:szCs w:val="24"/>
        </w:rPr>
        <w:t>（一）服务方案</w:t>
      </w:r>
    </w:p>
    <w:p>
      <w:pPr>
        <w:snapToGrid w:val="0"/>
        <w:spacing w:line="360" w:lineRule="auto"/>
        <w:rPr>
          <w:rFonts w:ascii="宋体" w:hAnsi="宋体"/>
          <w:sz w:val="24"/>
          <w:szCs w:val="24"/>
        </w:rPr>
      </w:pPr>
      <w:r>
        <w:rPr>
          <w:rFonts w:hint="eastAsia" w:ascii="宋体" w:hAnsi="宋体"/>
          <w:sz w:val="24"/>
          <w:szCs w:val="24"/>
        </w:rPr>
        <w:t xml:space="preserve">    （二）技术响应偏离表</w:t>
      </w:r>
    </w:p>
    <w:p>
      <w:pPr>
        <w:tabs>
          <w:tab w:val="left" w:pos="6300"/>
        </w:tabs>
        <w:snapToGrid w:val="0"/>
        <w:spacing w:line="360" w:lineRule="auto"/>
        <w:jc w:val="center"/>
        <w:rPr>
          <w:rFonts w:ascii="宋体" w:hAnsi="宋体"/>
          <w:szCs w:val="24"/>
        </w:rPr>
      </w:pPr>
      <w:r>
        <w:rPr>
          <w:rFonts w:hint="eastAsia" w:ascii="宋体" w:hAnsi="宋体"/>
          <w:szCs w:val="24"/>
        </w:rPr>
        <w:t>技术响应偏离表</w:t>
      </w:r>
    </w:p>
    <w:p>
      <w:pPr>
        <w:pStyle w:val="33"/>
        <w:tabs>
          <w:tab w:val="left" w:pos="6300"/>
        </w:tabs>
        <w:snapToGrid w:val="0"/>
        <w:spacing w:line="360" w:lineRule="auto"/>
        <w:ind w:firstLine="480" w:firstLineChars="200"/>
        <w:outlineLvl w:val="0"/>
        <w:rPr>
          <w:rFonts w:ascii="宋体" w:hAnsi="宋体"/>
          <w:sz w:val="24"/>
        </w:rPr>
      </w:pPr>
      <w:r>
        <w:rPr>
          <w:rFonts w:hint="eastAsia" w:ascii="宋体" w:hAnsi="宋体"/>
          <w:sz w:val="24"/>
        </w:rPr>
        <w:t>项目号：</w:t>
      </w:r>
    </w:p>
    <w:p>
      <w:pPr>
        <w:pStyle w:val="33"/>
        <w:tabs>
          <w:tab w:val="left" w:pos="6300"/>
        </w:tabs>
        <w:snapToGrid w:val="0"/>
        <w:spacing w:line="360" w:lineRule="auto"/>
        <w:ind w:firstLine="480" w:firstLineChars="200"/>
        <w:outlineLvl w:val="0"/>
        <w:rPr>
          <w:rFonts w:ascii="宋体" w:hAnsi="宋体"/>
          <w:sz w:val="24"/>
        </w:rPr>
      </w:pPr>
      <w:r>
        <w:rPr>
          <w:rFonts w:hint="eastAsia" w:ascii="宋体" w:hAnsi="宋体"/>
          <w:sz w:val="24"/>
        </w:rPr>
        <w:t>项目名称：</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序号</w:t>
            </w:r>
          </w:p>
        </w:tc>
        <w:tc>
          <w:tcPr>
            <w:tcW w:w="2658"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采购需求</w:t>
            </w:r>
          </w:p>
        </w:tc>
        <w:tc>
          <w:tcPr>
            <w:tcW w:w="2759"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响应情况</w:t>
            </w:r>
          </w:p>
        </w:tc>
        <w:tc>
          <w:tcPr>
            <w:tcW w:w="2633"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bl>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r>
        <w:rPr>
          <w:rFonts w:hint="eastAsia" w:ascii="宋体" w:hAnsi="宋体"/>
          <w:sz w:val="24"/>
          <w:szCs w:val="28"/>
        </w:rPr>
        <w:t>供应商：             法定代表人（或法定代表人授权代表）或自然人：</w:t>
      </w:r>
    </w:p>
    <w:p>
      <w:pPr>
        <w:spacing w:line="360" w:lineRule="auto"/>
        <w:ind w:firstLine="600" w:firstLineChars="250"/>
        <w:rPr>
          <w:rFonts w:ascii="宋体" w:hAnsi="宋体"/>
          <w:sz w:val="24"/>
          <w:szCs w:val="28"/>
        </w:rPr>
      </w:pPr>
    </w:p>
    <w:p>
      <w:pPr>
        <w:spacing w:line="360" w:lineRule="auto"/>
        <w:rPr>
          <w:rFonts w:ascii="宋体" w:hAnsi="宋体"/>
          <w:sz w:val="24"/>
          <w:szCs w:val="28"/>
        </w:rPr>
      </w:pPr>
      <w:r>
        <w:rPr>
          <w:rFonts w:hint="eastAsia" w:ascii="宋体" w:hAnsi="宋体"/>
          <w:sz w:val="24"/>
          <w:szCs w:val="28"/>
        </w:rPr>
        <w:t xml:space="preserve">   （供应商公章）                               （签字或盖章）</w:t>
      </w:r>
    </w:p>
    <w:p>
      <w:pPr>
        <w:tabs>
          <w:tab w:val="left" w:pos="6300"/>
        </w:tabs>
        <w:snapToGrid w:val="0"/>
        <w:spacing w:line="360" w:lineRule="auto"/>
        <w:ind w:firstLine="570"/>
        <w:rPr>
          <w:rFonts w:ascii="宋体" w:hAnsi="宋体"/>
          <w:sz w:val="24"/>
        </w:rPr>
      </w:pPr>
      <w:r>
        <w:rPr>
          <w:rFonts w:hint="eastAsia" w:ascii="宋体" w:hAnsi="宋体"/>
          <w:sz w:val="24"/>
          <w:szCs w:val="28"/>
        </w:rPr>
        <w:t xml:space="preserve">                                              年     月     日</w:t>
      </w:r>
    </w:p>
    <w:p>
      <w:pPr>
        <w:tabs>
          <w:tab w:val="left" w:pos="6300"/>
        </w:tabs>
        <w:snapToGrid w:val="0"/>
        <w:spacing w:line="360" w:lineRule="auto"/>
        <w:ind w:firstLine="480" w:firstLineChars="200"/>
        <w:rPr>
          <w:rFonts w:ascii="宋体" w:hAnsi="宋体"/>
          <w:sz w:val="24"/>
        </w:rPr>
      </w:pPr>
      <w:r>
        <w:rPr>
          <w:rFonts w:hint="eastAsia" w:ascii="宋体" w:hAnsi="宋体"/>
          <w:sz w:val="24"/>
        </w:rPr>
        <w:t>注：</w:t>
      </w:r>
    </w:p>
    <w:p>
      <w:pPr>
        <w:tabs>
          <w:tab w:val="left" w:pos="6300"/>
        </w:tabs>
        <w:snapToGrid w:val="0"/>
        <w:spacing w:line="360" w:lineRule="auto"/>
        <w:ind w:firstLine="480" w:firstLineChars="200"/>
        <w:rPr>
          <w:rFonts w:ascii="宋体" w:hAnsi="宋体"/>
          <w:sz w:val="24"/>
        </w:rPr>
      </w:pPr>
      <w:r>
        <w:rPr>
          <w:rFonts w:hint="eastAsia" w:ascii="宋体" w:hAnsi="宋体"/>
          <w:sz w:val="24"/>
          <w:szCs w:val="24"/>
        </w:rPr>
        <w:t>1</w:t>
      </w:r>
      <w:r>
        <w:rPr>
          <w:rFonts w:hint="eastAsia" w:ascii="宋体" w:hAnsi="宋体"/>
          <w:sz w:val="24"/>
        </w:rPr>
        <w:t>.本表即为对本项目“第二篇 采购技术和服务需求”中所列技术要求进行比较和响应；</w:t>
      </w:r>
    </w:p>
    <w:p>
      <w:pPr>
        <w:tabs>
          <w:tab w:val="left" w:pos="6300"/>
        </w:tabs>
        <w:snapToGrid w:val="0"/>
        <w:spacing w:line="360" w:lineRule="auto"/>
        <w:ind w:firstLine="480" w:firstLineChars="200"/>
        <w:rPr>
          <w:rFonts w:ascii="宋体" w:hAnsi="宋体"/>
          <w:sz w:val="24"/>
        </w:rPr>
      </w:pPr>
      <w:r>
        <w:rPr>
          <w:rFonts w:hint="eastAsia" w:ascii="宋体" w:hAnsi="宋体"/>
          <w:sz w:val="24"/>
        </w:rPr>
        <w:t>2.该表必须按照招标要求逐条如实填写，根据响应情况在“差异说明”项填写正偏离或负偏离及原因，完全符合的填写“无差异”；</w:t>
      </w:r>
    </w:p>
    <w:p>
      <w:pPr>
        <w:tabs>
          <w:tab w:val="left" w:pos="6300"/>
        </w:tabs>
        <w:snapToGrid w:val="0"/>
        <w:spacing w:line="360" w:lineRule="auto"/>
        <w:ind w:firstLine="480" w:firstLineChars="200"/>
        <w:rPr>
          <w:rFonts w:ascii="宋体" w:hAnsi="宋体"/>
          <w:sz w:val="24"/>
        </w:rPr>
      </w:pPr>
      <w:r>
        <w:rPr>
          <w:rFonts w:hint="eastAsia" w:ascii="宋体" w:hAnsi="宋体"/>
          <w:sz w:val="24"/>
        </w:rPr>
        <w:t>3.该表可扩展；</w:t>
      </w:r>
    </w:p>
    <w:p>
      <w:pPr>
        <w:pageBreakBefore/>
        <w:tabs>
          <w:tab w:val="left" w:pos="6300"/>
        </w:tabs>
        <w:snapToGrid w:val="0"/>
        <w:spacing w:line="360" w:lineRule="auto"/>
        <w:rPr>
          <w:b/>
          <w:sz w:val="24"/>
          <w:szCs w:val="24"/>
        </w:rPr>
      </w:pPr>
      <w:bookmarkStart w:id="137" w:name="_Toc23764524"/>
      <w:bookmarkStart w:id="138" w:name="_Toc342913421"/>
      <w:bookmarkStart w:id="139" w:name="_Toc313888362"/>
      <w:bookmarkStart w:id="140" w:name="_Toc313008358"/>
      <w:r>
        <w:rPr>
          <w:rFonts w:hint="eastAsia"/>
          <w:sz w:val="24"/>
          <w:szCs w:val="24"/>
        </w:rPr>
        <w:t xml:space="preserve">   </w:t>
      </w:r>
      <w:r>
        <w:rPr>
          <w:rFonts w:hint="eastAsia"/>
          <w:b/>
          <w:sz w:val="24"/>
          <w:szCs w:val="24"/>
        </w:rPr>
        <w:t xml:space="preserve"> </w:t>
      </w:r>
      <w:r>
        <w:rPr>
          <w:b/>
          <w:sz w:val="24"/>
          <w:szCs w:val="24"/>
        </w:rPr>
        <w:t>三、商务部分</w:t>
      </w:r>
      <w:bookmarkEnd w:id="137"/>
      <w:bookmarkEnd w:id="138"/>
      <w:bookmarkEnd w:id="139"/>
      <w:bookmarkEnd w:id="140"/>
    </w:p>
    <w:p>
      <w:pPr>
        <w:tabs>
          <w:tab w:val="left" w:pos="6300"/>
        </w:tabs>
        <w:snapToGrid w:val="0"/>
        <w:spacing w:line="360" w:lineRule="auto"/>
        <w:rPr>
          <w:sz w:val="24"/>
          <w:szCs w:val="24"/>
        </w:rPr>
      </w:pPr>
      <w:r>
        <w:rPr>
          <w:rFonts w:hint="eastAsia"/>
          <w:sz w:val="24"/>
          <w:szCs w:val="24"/>
        </w:rPr>
        <w:t xml:space="preserve">    （一）商务要求响应情况（格式自定）：</w:t>
      </w:r>
    </w:p>
    <w:p>
      <w:pPr>
        <w:tabs>
          <w:tab w:val="left" w:pos="6300"/>
        </w:tabs>
        <w:snapToGrid w:val="0"/>
        <w:spacing w:line="360" w:lineRule="auto"/>
        <w:rPr>
          <w:rFonts w:ascii="宋体" w:hAnsi="宋体"/>
          <w:sz w:val="24"/>
          <w:szCs w:val="24"/>
        </w:rPr>
      </w:pPr>
      <w:r>
        <w:rPr>
          <w:rFonts w:hint="eastAsia"/>
          <w:sz w:val="24"/>
          <w:szCs w:val="24"/>
        </w:rPr>
        <w:t xml:space="preserve">    （二）商务响应偏离表</w:t>
      </w:r>
    </w:p>
    <w:p>
      <w:pPr>
        <w:tabs>
          <w:tab w:val="left" w:pos="6300"/>
        </w:tabs>
        <w:snapToGrid w:val="0"/>
        <w:spacing w:line="360" w:lineRule="auto"/>
        <w:jc w:val="center"/>
        <w:rPr>
          <w:rFonts w:ascii="宋体" w:hAnsi="宋体"/>
          <w:szCs w:val="28"/>
        </w:rPr>
      </w:pPr>
      <w:r>
        <w:rPr>
          <w:rFonts w:hint="eastAsia" w:ascii="宋体" w:hAnsi="宋体"/>
          <w:szCs w:val="28"/>
        </w:rPr>
        <w:t>商务响应偏离表</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项目号：</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项目名称：</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2428"/>
        <w:gridCol w:w="2520"/>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80"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序号</w:t>
            </w:r>
          </w:p>
        </w:tc>
        <w:tc>
          <w:tcPr>
            <w:tcW w:w="2428"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采购需求</w:t>
            </w:r>
          </w:p>
        </w:tc>
        <w:tc>
          <w:tcPr>
            <w:tcW w:w="2520"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响应情况</w:t>
            </w:r>
          </w:p>
        </w:tc>
        <w:tc>
          <w:tcPr>
            <w:tcW w:w="2416"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bl>
    <w:p>
      <w:pPr>
        <w:spacing w:line="360" w:lineRule="auto"/>
        <w:ind w:firstLine="480" w:firstLineChars="200"/>
        <w:rPr>
          <w:rFonts w:ascii="宋体" w:hAnsi="宋体"/>
          <w:sz w:val="24"/>
          <w:szCs w:val="28"/>
        </w:rPr>
      </w:pPr>
      <w:r>
        <w:rPr>
          <w:rFonts w:hint="eastAsia" w:ascii="宋体" w:hAnsi="宋体"/>
          <w:sz w:val="24"/>
          <w:szCs w:val="28"/>
        </w:rPr>
        <w:t xml:space="preserve">供应商：                         </w:t>
      </w:r>
      <w:r>
        <w:rPr>
          <w:rFonts w:ascii="宋体" w:hAnsi="宋体"/>
          <w:sz w:val="24"/>
          <w:szCs w:val="28"/>
        </w:rPr>
        <w:t xml:space="preserve"> </w:t>
      </w:r>
      <w:r>
        <w:rPr>
          <w:rFonts w:hint="eastAsia" w:ascii="宋体" w:hAnsi="宋体"/>
          <w:sz w:val="24"/>
          <w:szCs w:val="28"/>
        </w:rPr>
        <w:t>法定代表人（或法定代表人授权代表）或自然人：</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 xml:space="preserve">    （供应商公章）                          （签字或盖章）</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 xml:space="preserve">                                            年     月     日</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注：1.本表即为对本项目“第三篇 项目商务要求”中所列商务条款进行比较和响应；</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2.该表必须按照采购文件要求逐条如实填写，根据投标情况在“差异说明”项填写正偏离或负偏离及原因，完全符合的填写“无差异”。</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3.该表可扩展。</w:t>
      </w:r>
    </w:p>
    <w:p>
      <w:pPr>
        <w:tabs>
          <w:tab w:val="left" w:pos="6300"/>
        </w:tabs>
        <w:snapToGrid w:val="0"/>
        <w:spacing w:line="360" w:lineRule="auto"/>
        <w:ind w:firstLine="480" w:firstLineChars="200"/>
        <w:rPr>
          <w:rFonts w:ascii="宋体" w:hAnsi="宋体"/>
          <w:sz w:val="24"/>
          <w:szCs w:val="24"/>
        </w:rPr>
      </w:pPr>
    </w:p>
    <w:p>
      <w:pPr>
        <w:pStyle w:val="2"/>
      </w:pPr>
    </w:p>
    <w:p>
      <w:pPr>
        <w:tabs>
          <w:tab w:val="left" w:pos="6300"/>
        </w:tabs>
        <w:snapToGrid w:val="0"/>
        <w:spacing w:line="500" w:lineRule="exact"/>
        <w:ind w:firstLine="480" w:firstLineChars="200"/>
        <w:rPr>
          <w:rFonts w:ascii="宋体" w:hAnsi="宋体"/>
          <w:sz w:val="24"/>
          <w:szCs w:val="24"/>
        </w:rPr>
      </w:pPr>
      <w:r>
        <w:rPr>
          <w:rFonts w:hint="eastAsia" w:ascii="宋体" w:hAnsi="宋体"/>
          <w:sz w:val="24"/>
          <w:szCs w:val="24"/>
        </w:rPr>
        <w:t>（三）其它优惠承诺（格式自定）</w:t>
      </w:r>
    </w:p>
    <w:p>
      <w:pPr>
        <w:pStyle w:val="2"/>
      </w:pPr>
    </w:p>
    <w:p>
      <w:pPr>
        <w:pageBreakBefore/>
        <w:tabs>
          <w:tab w:val="left" w:pos="6300"/>
        </w:tabs>
        <w:snapToGrid w:val="0"/>
        <w:spacing w:line="360" w:lineRule="auto"/>
        <w:rPr>
          <w:b/>
          <w:sz w:val="24"/>
          <w:szCs w:val="24"/>
        </w:rPr>
      </w:pPr>
      <w:bookmarkStart w:id="141" w:name="_Toc313888363"/>
      <w:bookmarkStart w:id="142" w:name="_Toc313008359"/>
      <w:bookmarkStart w:id="143" w:name="_Toc342913422"/>
      <w:bookmarkStart w:id="144" w:name="_Toc23764525"/>
      <w:r>
        <w:rPr>
          <w:rFonts w:hint="eastAsia"/>
          <w:b/>
          <w:sz w:val="24"/>
          <w:szCs w:val="24"/>
        </w:rPr>
        <w:t xml:space="preserve">    </w:t>
      </w:r>
      <w:r>
        <w:rPr>
          <w:b/>
          <w:sz w:val="24"/>
          <w:szCs w:val="24"/>
        </w:rPr>
        <w:t>四、资格条件及其他</w:t>
      </w:r>
      <w:bookmarkEnd w:id="141"/>
      <w:bookmarkEnd w:id="142"/>
      <w:bookmarkEnd w:id="143"/>
      <w:bookmarkEnd w:id="144"/>
    </w:p>
    <w:p>
      <w:pPr>
        <w:tabs>
          <w:tab w:val="left" w:pos="6300"/>
        </w:tabs>
        <w:snapToGrid w:val="0"/>
        <w:spacing w:line="360" w:lineRule="auto"/>
        <w:ind w:firstLine="570"/>
        <w:rPr>
          <w:rFonts w:ascii="宋体" w:hAnsi="宋体"/>
          <w:sz w:val="24"/>
          <w:szCs w:val="24"/>
        </w:rPr>
      </w:pPr>
      <w:r>
        <w:rPr>
          <w:rFonts w:hint="eastAsia" w:ascii="宋体" w:hAnsi="宋体"/>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360" w:lineRule="auto"/>
        <w:rPr>
          <w:rFonts w:ascii="宋体" w:hAnsi="宋体"/>
          <w:sz w:val="24"/>
          <w:szCs w:val="24"/>
        </w:rPr>
      </w:pPr>
    </w:p>
    <w:p>
      <w:pPr>
        <w:widowControl/>
        <w:snapToGrid w:val="0"/>
        <w:spacing w:line="360" w:lineRule="auto"/>
        <w:ind w:firstLine="600" w:firstLineChars="250"/>
        <w:jc w:val="left"/>
        <w:rPr>
          <w:rFonts w:ascii="宋体" w:hAnsi="宋体"/>
          <w:sz w:val="24"/>
          <w:szCs w:val="24"/>
        </w:rPr>
      </w:pPr>
      <w:r>
        <w:rPr>
          <w:rFonts w:hint="eastAsia" w:ascii="宋体" w:hAnsi="宋体"/>
          <w:sz w:val="24"/>
          <w:szCs w:val="24"/>
        </w:rPr>
        <w:t>（二）</w:t>
      </w:r>
      <w:r>
        <w:rPr>
          <w:rFonts w:ascii="宋体" w:hAnsi="宋体"/>
          <w:sz w:val="24"/>
          <w:szCs w:val="24"/>
        </w:rPr>
        <w:t>法定代表人身份证明书（格式）</w:t>
      </w:r>
    </w:p>
    <w:p>
      <w:pPr>
        <w:tabs>
          <w:tab w:val="left" w:pos="6300"/>
        </w:tabs>
        <w:snapToGrid w:val="0"/>
        <w:spacing w:line="500" w:lineRule="exact"/>
        <w:jc w:val="center"/>
        <w:rPr>
          <w:rFonts w:ascii="宋体" w:hAnsi="宋体"/>
        </w:rPr>
      </w:pPr>
      <w:r>
        <w:rPr>
          <w:rFonts w:ascii="宋体" w:hAnsi="宋体"/>
        </w:rPr>
        <w:t>法定代表人身份证明书</w:t>
      </w:r>
    </w:p>
    <w:p>
      <w:pPr>
        <w:tabs>
          <w:tab w:val="left" w:pos="6300"/>
        </w:tabs>
        <w:snapToGrid w:val="0"/>
        <w:spacing w:line="500" w:lineRule="exact"/>
        <w:jc w:val="center"/>
        <w:rPr>
          <w:rFonts w:ascii="宋体" w:hAnsi="宋体"/>
          <w:sz w:val="24"/>
          <w:szCs w:val="24"/>
        </w:rPr>
      </w:pPr>
    </w:p>
    <w:p>
      <w:pPr>
        <w:tabs>
          <w:tab w:val="left" w:pos="6300"/>
        </w:tabs>
        <w:snapToGrid w:val="0"/>
        <w:spacing w:line="500" w:lineRule="exact"/>
        <w:ind w:firstLine="570"/>
        <w:rPr>
          <w:rFonts w:ascii="宋体" w:hAnsi="宋体"/>
          <w:sz w:val="24"/>
          <w:szCs w:val="24"/>
        </w:rPr>
      </w:pPr>
      <w:r>
        <w:rPr>
          <w:rFonts w:ascii="宋体" w:hAnsi="宋体"/>
          <w:sz w:val="24"/>
          <w:szCs w:val="24"/>
        </w:rPr>
        <w:t>磋商项目名称：</w:t>
      </w:r>
      <w:r>
        <w:rPr>
          <w:rFonts w:ascii="宋体" w:hAnsi="宋体"/>
          <w:sz w:val="24"/>
          <w:szCs w:val="24"/>
          <w:u w:val="single"/>
        </w:rPr>
        <w:t xml:space="preserve">                                                </w:t>
      </w:r>
    </w:p>
    <w:p>
      <w:pPr>
        <w:tabs>
          <w:tab w:val="left" w:pos="6300"/>
        </w:tabs>
        <w:snapToGrid w:val="0"/>
        <w:spacing w:line="500" w:lineRule="exact"/>
        <w:ind w:firstLine="570"/>
        <w:rPr>
          <w:rFonts w:ascii="宋体" w:hAnsi="宋体"/>
          <w:sz w:val="24"/>
          <w:szCs w:val="24"/>
        </w:rPr>
      </w:pPr>
    </w:p>
    <w:p>
      <w:pPr>
        <w:tabs>
          <w:tab w:val="left" w:pos="6300"/>
        </w:tabs>
        <w:snapToGrid w:val="0"/>
        <w:spacing w:line="500" w:lineRule="exact"/>
        <w:ind w:firstLine="570"/>
        <w:rPr>
          <w:rFonts w:ascii="宋体" w:hAnsi="宋体"/>
          <w:sz w:val="24"/>
          <w:szCs w:val="24"/>
        </w:rPr>
      </w:pPr>
      <w:r>
        <w:rPr>
          <w:rFonts w:ascii="宋体" w:hAnsi="宋体"/>
          <w:sz w:val="24"/>
          <w:szCs w:val="24"/>
        </w:rPr>
        <w:t>致：</w:t>
      </w:r>
      <w:r>
        <w:rPr>
          <w:rFonts w:ascii="宋体" w:hAnsi="宋体"/>
          <w:sz w:val="24"/>
          <w:szCs w:val="24"/>
          <w:u w:val="single"/>
        </w:rPr>
        <w:t xml:space="preserve">                     </w:t>
      </w:r>
      <w:r>
        <w:rPr>
          <w:rFonts w:ascii="宋体" w:hAnsi="宋体"/>
          <w:sz w:val="24"/>
          <w:szCs w:val="24"/>
        </w:rPr>
        <w:t>（采购代理机构名称）：</w:t>
      </w:r>
    </w:p>
    <w:p>
      <w:pPr>
        <w:tabs>
          <w:tab w:val="left" w:pos="6300"/>
        </w:tabs>
        <w:snapToGrid w:val="0"/>
        <w:spacing w:line="500" w:lineRule="exact"/>
        <w:ind w:firstLine="570"/>
        <w:rPr>
          <w:rFonts w:ascii="宋体" w:hAnsi="宋体"/>
          <w:sz w:val="24"/>
          <w:szCs w:val="24"/>
        </w:rPr>
      </w:pPr>
      <w:r>
        <w:rPr>
          <w:rFonts w:ascii="宋体" w:hAnsi="宋体"/>
          <w:sz w:val="24"/>
          <w:szCs w:val="24"/>
          <w:u w:val="single"/>
        </w:rPr>
        <w:t xml:space="preserve">        </w:t>
      </w:r>
      <w:r>
        <w:rPr>
          <w:rFonts w:ascii="宋体" w:hAnsi="宋体"/>
          <w:sz w:val="24"/>
          <w:szCs w:val="24"/>
        </w:rPr>
        <w:t>（法定代表人姓名）在</w:t>
      </w:r>
      <w:r>
        <w:rPr>
          <w:rFonts w:ascii="宋体" w:hAnsi="宋体"/>
          <w:sz w:val="24"/>
          <w:szCs w:val="24"/>
          <w:u w:val="single"/>
        </w:rPr>
        <w:t xml:space="preserve">                       </w:t>
      </w:r>
      <w:r>
        <w:rPr>
          <w:rFonts w:ascii="宋体" w:hAnsi="宋体"/>
          <w:sz w:val="24"/>
          <w:szCs w:val="24"/>
        </w:rPr>
        <w:t>（供应商名称）任</w:t>
      </w:r>
      <w:r>
        <w:rPr>
          <w:rFonts w:ascii="宋体" w:hAnsi="宋体"/>
          <w:sz w:val="24"/>
          <w:szCs w:val="24"/>
          <w:u w:val="single"/>
        </w:rPr>
        <w:t xml:space="preserve">    </w:t>
      </w:r>
      <w:r>
        <w:rPr>
          <w:rFonts w:ascii="宋体" w:hAnsi="宋体"/>
          <w:sz w:val="24"/>
          <w:szCs w:val="24"/>
        </w:rPr>
        <w:t>（职务名称）职务，是（供应商名称）</w:t>
      </w:r>
      <w:r>
        <w:rPr>
          <w:rFonts w:ascii="宋体" w:hAnsi="宋体"/>
          <w:sz w:val="24"/>
          <w:szCs w:val="24"/>
          <w:u w:val="single"/>
        </w:rPr>
        <w:t xml:space="preserve">              </w:t>
      </w:r>
      <w:r>
        <w:rPr>
          <w:rFonts w:ascii="宋体" w:hAnsi="宋体"/>
          <w:sz w:val="24"/>
          <w:szCs w:val="24"/>
        </w:rPr>
        <w:t>的法定代表人。</w:t>
      </w:r>
    </w:p>
    <w:p>
      <w:pPr>
        <w:tabs>
          <w:tab w:val="left" w:pos="6300"/>
        </w:tabs>
        <w:snapToGrid w:val="0"/>
        <w:spacing w:line="500" w:lineRule="exact"/>
        <w:ind w:firstLine="570"/>
        <w:rPr>
          <w:rFonts w:ascii="宋体" w:hAnsi="宋体"/>
          <w:sz w:val="24"/>
          <w:szCs w:val="24"/>
        </w:rPr>
      </w:pPr>
    </w:p>
    <w:p>
      <w:pPr>
        <w:tabs>
          <w:tab w:val="left" w:pos="6300"/>
        </w:tabs>
        <w:snapToGrid w:val="0"/>
        <w:spacing w:line="500" w:lineRule="exact"/>
        <w:ind w:firstLine="570"/>
        <w:rPr>
          <w:sz w:val="24"/>
          <w:szCs w:val="24"/>
        </w:rPr>
      </w:pPr>
      <w:r>
        <w:rPr>
          <w:rFonts w:ascii="宋体" w:hAnsi="宋体"/>
          <w:sz w:val="24"/>
          <w:szCs w:val="24"/>
        </w:rPr>
        <w:t>特此证</w:t>
      </w:r>
      <w:r>
        <w:rPr>
          <w:sz w:val="24"/>
          <w:szCs w:val="24"/>
        </w:rPr>
        <w:t>明。</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r>
        <w:rPr>
          <w:sz w:val="24"/>
          <w:szCs w:val="24"/>
        </w:rPr>
        <w:t xml:space="preserve">                                             （供应商公章）</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r>
        <w:rPr>
          <w:sz w:val="24"/>
          <w:szCs w:val="24"/>
        </w:rPr>
        <w:t xml:space="preserve">                                             年   月   日</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r>
        <w:rPr>
          <w:sz w:val="24"/>
          <w:szCs w:val="24"/>
        </w:rPr>
        <w:t>（附：法定代表人身份证正反面复印件）</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rPr>
      </w:pPr>
    </w:p>
    <w:p>
      <w:pPr>
        <w:tabs>
          <w:tab w:val="left" w:pos="6300"/>
        </w:tabs>
        <w:snapToGrid w:val="0"/>
        <w:spacing w:line="500" w:lineRule="exact"/>
        <w:ind w:firstLine="570"/>
        <w:rPr>
          <w:sz w:val="24"/>
        </w:rPr>
      </w:pPr>
    </w:p>
    <w:p>
      <w:pPr>
        <w:tabs>
          <w:tab w:val="left" w:pos="6300"/>
        </w:tabs>
        <w:snapToGrid w:val="0"/>
        <w:spacing w:line="500" w:lineRule="exact"/>
        <w:ind w:firstLine="570"/>
        <w:rPr>
          <w:sz w:val="24"/>
        </w:rPr>
      </w:pPr>
    </w:p>
    <w:p>
      <w:pPr>
        <w:tabs>
          <w:tab w:val="left" w:pos="6300"/>
        </w:tabs>
        <w:snapToGrid w:val="0"/>
        <w:spacing w:line="500" w:lineRule="exact"/>
        <w:ind w:firstLine="480" w:firstLineChars="200"/>
        <w:rPr>
          <w:rFonts w:ascii="宋体" w:hAnsi="宋体"/>
          <w:sz w:val="24"/>
          <w:szCs w:val="24"/>
        </w:rPr>
      </w:pPr>
    </w:p>
    <w:p>
      <w:pPr>
        <w:pageBreakBefore/>
        <w:tabs>
          <w:tab w:val="left" w:pos="6300"/>
        </w:tabs>
        <w:snapToGrid w:val="0"/>
        <w:spacing w:line="360" w:lineRule="auto"/>
        <w:ind w:firstLine="480" w:firstLineChars="200"/>
        <w:rPr>
          <w:sz w:val="24"/>
          <w:szCs w:val="24"/>
        </w:rPr>
      </w:pPr>
      <w:r>
        <w:rPr>
          <w:rFonts w:hint="eastAsia" w:ascii="宋体" w:hAnsi="宋体"/>
          <w:sz w:val="24"/>
          <w:szCs w:val="24"/>
        </w:rPr>
        <w:t>（三）</w:t>
      </w:r>
      <w:r>
        <w:rPr>
          <w:rFonts w:ascii="宋体" w:hAnsi="宋体"/>
          <w:sz w:val="24"/>
          <w:szCs w:val="24"/>
        </w:rPr>
        <w:t>法定</w:t>
      </w:r>
      <w:r>
        <w:rPr>
          <w:sz w:val="24"/>
          <w:szCs w:val="24"/>
        </w:rPr>
        <w:t>代表人授权委托书（格式）</w:t>
      </w:r>
    </w:p>
    <w:p>
      <w:pPr>
        <w:tabs>
          <w:tab w:val="left" w:pos="6300"/>
        </w:tabs>
        <w:snapToGrid w:val="0"/>
        <w:spacing w:line="500" w:lineRule="exact"/>
        <w:jc w:val="center"/>
      </w:pPr>
      <w:r>
        <w:t>法定代表人授权委托书</w:t>
      </w:r>
    </w:p>
    <w:p>
      <w:pPr>
        <w:tabs>
          <w:tab w:val="left" w:pos="6300"/>
        </w:tabs>
        <w:snapToGrid w:val="0"/>
        <w:spacing w:line="500" w:lineRule="exact"/>
        <w:jc w:val="center"/>
        <w:rPr>
          <w:sz w:val="24"/>
          <w:szCs w:val="24"/>
        </w:rPr>
      </w:pPr>
    </w:p>
    <w:p>
      <w:pPr>
        <w:tabs>
          <w:tab w:val="left" w:pos="6300"/>
        </w:tabs>
        <w:snapToGrid w:val="0"/>
        <w:spacing w:line="500" w:lineRule="exact"/>
        <w:ind w:firstLine="480" w:firstLineChars="200"/>
        <w:rPr>
          <w:sz w:val="24"/>
          <w:szCs w:val="24"/>
        </w:rPr>
      </w:pPr>
      <w:r>
        <w:rPr>
          <w:sz w:val="24"/>
          <w:szCs w:val="24"/>
        </w:rPr>
        <w:t>磋商项目名称：</w:t>
      </w:r>
      <w:r>
        <w:rPr>
          <w:sz w:val="24"/>
          <w:szCs w:val="24"/>
          <w:u w:val="single"/>
        </w:rPr>
        <w:t xml:space="preserve">                                                </w:t>
      </w:r>
    </w:p>
    <w:p>
      <w:pPr>
        <w:tabs>
          <w:tab w:val="left" w:pos="6300"/>
        </w:tabs>
        <w:snapToGrid w:val="0"/>
        <w:spacing w:line="500" w:lineRule="exact"/>
        <w:ind w:firstLine="570"/>
        <w:rPr>
          <w:sz w:val="24"/>
          <w:szCs w:val="24"/>
        </w:rPr>
      </w:pPr>
    </w:p>
    <w:p>
      <w:pPr>
        <w:tabs>
          <w:tab w:val="left" w:pos="6300"/>
        </w:tabs>
        <w:snapToGrid w:val="0"/>
        <w:spacing w:line="500" w:lineRule="exact"/>
        <w:ind w:firstLine="480" w:firstLineChars="200"/>
        <w:rPr>
          <w:sz w:val="24"/>
          <w:szCs w:val="24"/>
        </w:rPr>
      </w:pPr>
      <w:r>
        <w:rPr>
          <w:sz w:val="24"/>
          <w:szCs w:val="24"/>
        </w:rPr>
        <w:t>致：</w:t>
      </w:r>
      <w:r>
        <w:rPr>
          <w:sz w:val="24"/>
          <w:szCs w:val="24"/>
          <w:u w:val="single"/>
        </w:rPr>
        <w:t xml:space="preserve">                     </w:t>
      </w:r>
      <w:r>
        <w:rPr>
          <w:sz w:val="24"/>
          <w:szCs w:val="24"/>
        </w:rPr>
        <w:t>（采购代理机构名称）：</w:t>
      </w:r>
    </w:p>
    <w:p>
      <w:pPr>
        <w:tabs>
          <w:tab w:val="left" w:pos="6300"/>
        </w:tabs>
        <w:snapToGrid w:val="0"/>
        <w:spacing w:line="500" w:lineRule="exact"/>
        <w:ind w:firstLine="480" w:firstLineChars="200"/>
        <w:rPr>
          <w:sz w:val="24"/>
          <w:szCs w:val="24"/>
        </w:rPr>
      </w:pPr>
      <w:r>
        <w:rPr>
          <w:sz w:val="24"/>
          <w:szCs w:val="24"/>
          <w:u w:val="single"/>
        </w:rPr>
        <w:t xml:space="preserve">            </w:t>
      </w:r>
      <w:r>
        <w:rPr>
          <w:sz w:val="24"/>
          <w:szCs w:val="24"/>
        </w:rPr>
        <w:t>（供应商法定代表人名称）是</w:t>
      </w:r>
      <w:r>
        <w:rPr>
          <w:sz w:val="24"/>
          <w:szCs w:val="24"/>
          <w:u w:val="single"/>
        </w:rPr>
        <w:t xml:space="preserve">                    </w:t>
      </w:r>
      <w:r>
        <w:rPr>
          <w:sz w:val="24"/>
          <w:szCs w:val="24"/>
        </w:rPr>
        <w:t>（供应商名称）的法定代表人，特授权</w:t>
      </w:r>
      <w:r>
        <w:rPr>
          <w:sz w:val="24"/>
          <w:szCs w:val="24"/>
          <w:u w:val="single"/>
        </w:rPr>
        <w:t xml:space="preserve">          </w:t>
      </w:r>
      <w:r>
        <w:rPr>
          <w:sz w:val="24"/>
          <w:szCs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sz w:val="24"/>
          <w:szCs w:val="24"/>
        </w:rPr>
      </w:pPr>
      <w:r>
        <w:rPr>
          <w:sz w:val="24"/>
          <w:szCs w:val="24"/>
        </w:rPr>
        <w:t>我单位对被授权人的签字负全部责任。</w:t>
      </w:r>
    </w:p>
    <w:p>
      <w:pPr>
        <w:tabs>
          <w:tab w:val="left" w:pos="6300"/>
        </w:tabs>
        <w:snapToGrid w:val="0"/>
        <w:spacing w:line="500" w:lineRule="exact"/>
        <w:ind w:firstLine="480" w:firstLineChars="200"/>
        <w:rPr>
          <w:sz w:val="24"/>
          <w:szCs w:val="24"/>
        </w:rPr>
      </w:pPr>
      <w:r>
        <w:rPr>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r>
        <w:rPr>
          <w:sz w:val="24"/>
          <w:szCs w:val="24"/>
        </w:rPr>
        <w:t>被授权人：                                 供应商法定代表人：</w:t>
      </w:r>
    </w:p>
    <w:p>
      <w:pPr>
        <w:tabs>
          <w:tab w:val="left" w:pos="6300"/>
        </w:tabs>
        <w:snapToGrid w:val="0"/>
        <w:spacing w:line="500" w:lineRule="exact"/>
        <w:ind w:firstLine="570"/>
        <w:rPr>
          <w:sz w:val="24"/>
          <w:szCs w:val="24"/>
        </w:rPr>
      </w:pPr>
      <w:r>
        <w:rPr>
          <w:sz w:val="24"/>
          <w:szCs w:val="24"/>
        </w:rPr>
        <w:t>（签字或盖章）                                （签字或盖章）</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r>
        <w:rPr>
          <w:sz w:val="24"/>
          <w:szCs w:val="24"/>
        </w:rPr>
        <w:t>（附：被授权人身份证正反面复印件）</w:t>
      </w:r>
    </w:p>
    <w:p>
      <w:pPr>
        <w:tabs>
          <w:tab w:val="left" w:pos="6300"/>
        </w:tabs>
        <w:snapToGrid w:val="0"/>
        <w:spacing w:line="500" w:lineRule="exact"/>
        <w:ind w:firstLine="570"/>
        <w:rPr>
          <w:sz w:val="24"/>
          <w:szCs w:val="24"/>
        </w:rPr>
      </w:pPr>
      <w:r>
        <w:rPr>
          <w:sz w:val="24"/>
          <w:szCs w:val="24"/>
        </w:rPr>
        <w:t xml:space="preserve">                                          </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right="480" w:firstLine="570"/>
        <w:jc w:val="right"/>
        <w:rPr>
          <w:sz w:val="24"/>
          <w:szCs w:val="24"/>
        </w:rPr>
      </w:pPr>
      <w:r>
        <w:rPr>
          <w:sz w:val="24"/>
          <w:szCs w:val="24"/>
        </w:rPr>
        <w:t>（供应商公章）</w:t>
      </w:r>
    </w:p>
    <w:p>
      <w:pPr>
        <w:tabs>
          <w:tab w:val="left" w:pos="6300"/>
        </w:tabs>
        <w:snapToGrid w:val="0"/>
        <w:spacing w:line="500" w:lineRule="exact"/>
        <w:ind w:right="480" w:firstLine="570"/>
        <w:jc w:val="right"/>
        <w:rPr>
          <w:sz w:val="24"/>
          <w:szCs w:val="24"/>
        </w:rPr>
      </w:pPr>
      <w:r>
        <w:rPr>
          <w:sz w:val="24"/>
          <w:szCs w:val="24"/>
        </w:rPr>
        <w:t>年   月   日</w:t>
      </w:r>
    </w:p>
    <w:p>
      <w:pPr>
        <w:tabs>
          <w:tab w:val="left" w:pos="6300"/>
        </w:tabs>
        <w:snapToGrid w:val="0"/>
        <w:spacing w:line="500" w:lineRule="exact"/>
        <w:ind w:right="480" w:firstLine="570"/>
        <w:jc w:val="right"/>
        <w:rPr>
          <w:sz w:val="24"/>
          <w:szCs w:val="24"/>
        </w:rPr>
      </w:pPr>
    </w:p>
    <w:p>
      <w:pPr>
        <w:tabs>
          <w:tab w:val="left" w:pos="6300"/>
        </w:tabs>
        <w:snapToGrid w:val="0"/>
        <w:spacing w:line="500" w:lineRule="exact"/>
        <w:ind w:right="480" w:firstLine="570"/>
        <w:jc w:val="left"/>
        <w:rPr>
          <w:sz w:val="24"/>
          <w:szCs w:val="24"/>
        </w:rPr>
      </w:pPr>
      <w:r>
        <w:rPr>
          <w:sz w:val="24"/>
          <w:szCs w:val="24"/>
        </w:rPr>
        <w:t>注：</w:t>
      </w:r>
      <w:r>
        <w:rPr>
          <w:rFonts w:ascii="宋体" w:hAnsi="宋体"/>
          <w:sz w:val="24"/>
          <w:szCs w:val="24"/>
        </w:rPr>
        <w:t>若为法定代表人办理并签署响应文件的，不提供此文件。</w:t>
      </w:r>
    </w:p>
    <w:p>
      <w:pPr>
        <w:tabs>
          <w:tab w:val="left" w:pos="6300"/>
        </w:tabs>
        <w:snapToGrid w:val="0"/>
        <w:spacing w:line="360" w:lineRule="auto"/>
        <w:ind w:firstLine="560" w:firstLineChars="200"/>
        <w:rPr>
          <w:rFonts w:ascii="宋体" w:hAnsi="宋体"/>
          <w:sz w:val="24"/>
        </w:rPr>
      </w:pPr>
      <w:r>
        <w:rPr>
          <w:rFonts w:ascii="宋体" w:hAnsi="宋体"/>
        </w:rPr>
        <w:br w:type="column"/>
      </w:r>
      <w:r>
        <w:rPr>
          <w:rFonts w:hint="eastAsia" w:ascii="宋体" w:hAnsi="宋体"/>
          <w:sz w:val="24"/>
        </w:rPr>
        <w:t>（四）基本资格条件承诺函（格式）</w:t>
      </w:r>
    </w:p>
    <w:p>
      <w:pPr>
        <w:tabs>
          <w:tab w:val="left" w:pos="6300"/>
        </w:tabs>
        <w:snapToGrid w:val="0"/>
        <w:spacing w:line="360" w:lineRule="auto"/>
        <w:jc w:val="center"/>
        <w:rPr>
          <w:rFonts w:ascii="宋体" w:hAnsi="宋体"/>
          <w:sz w:val="36"/>
          <w:szCs w:val="36"/>
        </w:rPr>
      </w:pPr>
      <w:r>
        <w:rPr>
          <w:rFonts w:hint="eastAsia" w:ascii="宋体" w:hAnsi="宋体"/>
          <w:sz w:val="36"/>
          <w:szCs w:val="36"/>
        </w:rPr>
        <w:t>基本资格条件承诺函</w:t>
      </w:r>
    </w:p>
    <w:p>
      <w:pPr>
        <w:tabs>
          <w:tab w:val="left" w:pos="6300"/>
        </w:tabs>
        <w:snapToGrid w:val="0"/>
        <w:spacing w:line="360" w:lineRule="auto"/>
        <w:rPr>
          <w:rFonts w:ascii="宋体" w:hAnsi="宋体"/>
          <w:sz w:val="24"/>
          <w:szCs w:val="24"/>
        </w:rPr>
      </w:pPr>
    </w:p>
    <w:p>
      <w:pPr>
        <w:tabs>
          <w:tab w:val="left" w:pos="6300"/>
        </w:tabs>
        <w:snapToGrid w:val="0"/>
        <w:spacing w:line="360" w:lineRule="auto"/>
        <w:rPr>
          <w:rFonts w:ascii="宋体" w:hAnsi="宋体"/>
          <w:sz w:val="24"/>
          <w:szCs w:val="24"/>
        </w:rPr>
      </w:pPr>
      <w:r>
        <w:rPr>
          <w:rFonts w:hint="eastAsia" w:ascii="宋体" w:hAnsi="宋体"/>
          <w:sz w:val="24"/>
          <w:szCs w:val="24"/>
        </w:rPr>
        <w:t>致</w:t>
      </w:r>
      <w:r>
        <w:rPr>
          <w:rFonts w:hint="eastAsia" w:ascii="宋体" w:hAnsi="宋体"/>
          <w:sz w:val="24"/>
          <w:szCs w:val="24"/>
          <w:u w:val="single"/>
        </w:rPr>
        <w:t xml:space="preserve">                   </w:t>
      </w:r>
      <w:r>
        <w:rPr>
          <w:rFonts w:hint="eastAsia" w:ascii="宋体" w:hAnsi="宋体"/>
          <w:sz w:val="24"/>
          <w:szCs w:val="24"/>
        </w:rPr>
        <w:t>（采购代理机构名称）：</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（投标人名称）郑重承诺：</w:t>
      </w:r>
    </w:p>
    <w:p>
      <w:pPr>
        <w:spacing w:line="360" w:lineRule="auto"/>
        <w:ind w:firstLine="480" w:firstLineChars="200"/>
        <w:rPr>
          <w:rFonts w:ascii="宋体" w:hAnsi="宋体"/>
          <w:sz w:val="24"/>
          <w:szCs w:val="24"/>
        </w:rPr>
      </w:pPr>
      <w:r>
        <w:rPr>
          <w:rFonts w:hint="eastAsia" w:ascii="宋体" w:hAnsi="宋体"/>
          <w:sz w:val="24"/>
          <w:szCs w:val="24"/>
        </w:rPr>
        <w:t>1.我方具有良好的商业信誉和健全的财务会计制度，具有履行合同所必需的设备和专业技术能力，具</w:t>
      </w:r>
      <w:r>
        <w:rPr>
          <w:rFonts w:hint="eastAsia" w:ascii="宋体" w:hAnsi="宋体" w:cs="仿宋_GB2312"/>
          <w:sz w:val="24"/>
          <w:szCs w:val="24"/>
          <w:lang w:val="zh-CN"/>
        </w:rPr>
        <w:t>有依法缴纳税收和社会保障金的良好记录</w:t>
      </w:r>
      <w:r>
        <w:rPr>
          <w:rFonts w:hint="eastAsia" w:ascii="宋体" w:hAnsi="宋体" w:cs="仿宋_GB2312"/>
          <w:sz w:val="24"/>
          <w:szCs w:val="24"/>
        </w:rPr>
        <w:t>，</w:t>
      </w:r>
      <w:r>
        <w:rPr>
          <w:rFonts w:hint="eastAsia" w:ascii="宋体" w:hAnsi="宋体"/>
          <w:sz w:val="24"/>
          <w:szCs w:val="24"/>
        </w:rPr>
        <w:t>参加本项目采购活动前三年内无重大违法活动记录。</w:t>
      </w:r>
    </w:p>
    <w:p>
      <w:pPr>
        <w:spacing w:line="360" w:lineRule="auto"/>
        <w:ind w:firstLine="480" w:firstLineChars="200"/>
        <w:rPr>
          <w:rFonts w:ascii="宋体" w:hAnsi="宋体"/>
          <w:sz w:val="24"/>
          <w:szCs w:val="24"/>
        </w:rPr>
      </w:pPr>
      <w:r>
        <w:rPr>
          <w:rFonts w:hint="eastAsia" w:ascii="宋体" w:hAnsi="宋体"/>
          <w:sz w:val="24"/>
          <w:szCs w:val="24"/>
        </w:rPr>
        <w:t>2.我方未列入在信用中国网站（www.creditchina.gov.cn）“失信被执行人”、“重大税收违法案件当事人名单”中，也未列入中国政府采购网（www.ccgp.gov.cn）“政府采购严重违法失信行为记录名单”中。</w:t>
      </w:r>
    </w:p>
    <w:p>
      <w:pPr>
        <w:spacing w:line="360" w:lineRule="auto"/>
        <w:ind w:firstLine="480" w:firstLineChars="200"/>
        <w:rPr>
          <w:rFonts w:ascii="宋体" w:hAnsi="宋体"/>
          <w:sz w:val="24"/>
          <w:szCs w:val="24"/>
        </w:rPr>
      </w:pPr>
      <w:r>
        <w:rPr>
          <w:rFonts w:hint="eastAsia" w:ascii="宋体" w:hAnsi="宋体"/>
          <w:sz w:val="24"/>
          <w:szCs w:val="24"/>
        </w:rPr>
        <w:t>3.我方在采购项目评审（评标）环节结束后，随时接受采购人、采购代理机构的检查验证，配合提供相关证明材料，证明符合《中华人民共和国政府采购法》规定的投标人基本资格条件。</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我方对以上承诺负全部法律责任。</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特此承诺。</w:t>
      </w:r>
    </w:p>
    <w:p>
      <w:pPr>
        <w:tabs>
          <w:tab w:val="left" w:pos="6300"/>
        </w:tabs>
        <w:snapToGrid w:val="0"/>
        <w:spacing w:line="360" w:lineRule="auto"/>
        <w:rPr>
          <w:rFonts w:ascii="宋体" w:hAnsi="宋体"/>
          <w:sz w:val="24"/>
          <w:szCs w:val="24"/>
        </w:rPr>
      </w:pPr>
    </w:p>
    <w:p>
      <w:pPr>
        <w:tabs>
          <w:tab w:val="left" w:pos="6300"/>
        </w:tabs>
        <w:snapToGrid w:val="0"/>
        <w:spacing w:line="360" w:lineRule="auto"/>
        <w:ind w:right="424" w:firstLine="570"/>
        <w:jc w:val="right"/>
        <w:rPr>
          <w:rFonts w:ascii="宋体" w:hAnsi="宋体"/>
          <w:sz w:val="24"/>
          <w:szCs w:val="24"/>
        </w:rPr>
      </w:pPr>
      <w:r>
        <w:rPr>
          <w:rFonts w:hint="eastAsia" w:ascii="宋体" w:hAnsi="宋体"/>
          <w:sz w:val="24"/>
          <w:szCs w:val="24"/>
        </w:rPr>
        <w:t>（投标人公章）</w:t>
      </w:r>
    </w:p>
    <w:p>
      <w:pPr>
        <w:tabs>
          <w:tab w:val="left" w:pos="6300"/>
        </w:tabs>
        <w:snapToGrid w:val="0"/>
        <w:spacing w:line="360" w:lineRule="auto"/>
        <w:ind w:right="480" w:firstLine="570"/>
        <w:jc w:val="right"/>
        <w:rPr>
          <w:rFonts w:ascii="宋体" w:hAnsi="宋体"/>
          <w:sz w:val="24"/>
          <w:szCs w:val="24"/>
        </w:rPr>
      </w:pPr>
      <w:r>
        <w:rPr>
          <w:rFonts w:hint="eastAsia" w:ascii="宋体" w:hAnsi="宋体"/>
          <w:sz w:val="24"/>
          <w:szCs w:val="24"/>
        </w:rPr>
        <w:t>年   月   日</w:t>
      </w:r>
    </w:p>
    <w:p>
      <w:pPr>
        <w:spacing w:line="360" w:lineRule="auto"/>
      </w:pPr>
    </w:p>
    <w:p>
      <w:pPr>
        <w:tabs>
          <w:tab w:val="left" w:pos="6300"/>
        </w:tabs>
        <w:snapToGrid w:val="0"/>
        <w:spacing w:line="360" w:lineRule="auto"/>
        <w:ind w:firstLine="480" w:firstLineChars="200"/>
        <w:rPr>
          <w:rFonts w:ascii="宋体" w:hAnsi="宋体"/>
          <w:sz w:val="24"/>
        </w:rPr>
      </w:pPr>
      <w:r>
        <w:rPr>
          <w:rFonts w:hint="eastAsia" w:ascii="宋体" w:hAnsi="宋体"/>
          <w:sz w:val="24"/>
        </w:rPr>
        <w:t>（五）特定资格条件证书或证明文件</w:t>
      </w:r>
    </w:p>
    <w:p>
      <w:pPr>
        <w:tabs>
          <w:tab w:val="left" w:pos="6300"/>
        </w:tabs>
        <w:snapToGrid w:val="0"/>
        <w:spacing w:line="360" w:lineRule="auto"/>
        <w:ind w:firstLine="573"/>
        <w:rPr>
          <w:sz w:val="24"/>
          <w:szCs w:val="24"/>
        </w:rPr>
      </w:pPr>
      <w:r>
        <w:rPr>
          <w:rFonts w:hint="eastAsia"/>
          <w:sz w:val="24"/>
          <w:szCs w:val="24"/>
        </w:rPr>
        <w:t xml:space="preserve">    </w:t>
      </w:r>
    </w:p>
    <w:p>
      <w:pPr>
        <w:tabs>
          <w:tab w:val="left" w:pos="6300"/>
        </w:tabs>
        <w:snapToGrid w:val="0"/>
        <w:spacing w:line="360" w:lineRule="auto"/>
        <w:ind w:firstLine="560" w:firstLineChars="200"/>
        <w:rPr>
          <w:rFonts w:ascii="宋体" w:hAnsi="宋体"/>
          <w:sz w:val="24"/>
        </w:rPr>
      </w:pPr>
      <w:r>
        <w:br w:type="page"/>
      </w:r>
      <w:r>
        <w:rPr>
          <w:rFonts w:ascii="宋体" w:hAnsi="宋体"/>
          <w:sz w:val="24"/>
        </w:rPr>
        <w:t>（</w:t>
      </w:r>
      <w:r>
        <w:rPr>
          <w:rFonts w:hint="eastAsia" w:ascii="宋体" w:hAnsi="宋体"/>
          <w:sz w:val="24"/>
        </w:rPr>
        <w:t>六</w:t>
      </w:r>
      <w:r>
        <w:rPr>
          <w:rFonts w:ascii="宋体" w:hAnsi="宋体"/>
          <w:sz w:val="24"/>
        </w:rPr>
        <w:t>）其他应提供的资料</w:t>
      </w:r>
    </w:p>
    <w:p>
      <w:pPr>
        <w:tabs>
          <w:tab w:val="left" w:pos="6300"/>
        </w:tabs>
        <w:snapToGrid w:val="0"/>
        <w:spacing w:line="360" w:lineRule="auto"/>
        <w:rPr>
          <w:rFonts w:ascii="宋体" w:hAnsi="宋体"/>
          <w:sz w:val="24"/>
          <w:szCs w:val="24"/>
        </w:rPr>
      </w:pPr>
      <w:r>
        <w:rPr>
          <w:rFonts w:hint="eastAsia" w:ascii="宋体" w:hAnsi="宋体"/>
          <w:sz w:val="24"/>
          <w:szCs w:val="24"/>
        </w:rPr>
        <w:t xml:space="preserve">    1.中小企业声明函、监狱企业证明文件、残疾人福利性单位声明函</w:t>
      </w:r>
    </w:p>
    <w:p>
      <w:pPr>
        <w:tabs>
          <w:tab w:val="left" w:pos="6300"/>
        </w:tabs>
        <w:snapToGrid w:val="0"/>
        <w:spacing w:line="360" w:lineRule="auto"/>
        <w:rPr>
          <w:rFonts w:ascii="宋体" w:hAnsi="宋体"/>
          <w:sz w:val="24"/>
          <w:szCs w:val="24"/>
        </w:rPr>
      </w:pPr>
      <w:r>
        <w:rPr>
          <w:rFonts w:hint="eastAsia" w:ascii="宋体" w:hAnsi="宋体"/>
          <w:sz w:val="24"/>
          <w:szCs w:val="24"/>
        </w:rPr>
        <w:t xml:space="preserve">    （1）中小企业声明函</w:t>
      </w:r>
    </w:p>
    <w:p>
      <w:pPr>
        <w:snapToGrid w:val="0"/>
        <w:spacing w:line="500" w:lineRule="exact"/>
        <w:jc w:val="center"/>
        <w:rPr>
          <w:rFonts w:ascii="宋体" w:hAnsi="宋体"/>
          <w:szCs w:val="28"/>
        </w:rPr>
      </w:pPr>
      <w:r>
        <w:rPr>
          <w:rFonts w:hint="eastAsia" w:ascii="宋体" w:hAnsi="宋体"/>
        </w:rPr>
        <w:t>中小企业声明函</w:t>
      </w:r>
    </w:p>
    <w:p>
      <w:pPr>
        <w:spacing w:line="400" w:lineRule="exact"/>
        <w:ind w:firstLine="480" w:firstLineChars="200"/>
        <w:rPr>
          <w:rFonts w:ascii="宋体" w:hAnsi="宋体"/>
          <w:sz w:val="24"/>
          <w:szCs w:val="24"/>
        </w:rPr>
      </w:pPr>
      <w:r>
        <w:rPr>
          <w:rFonts w:hint="eastAsia" w:ascii="宋体" w:hAnsi="宋体" w:cs="微软雅黑"/>
          <w:sz w:val="24"/>
          <w:szCs w:val="24"/>
        </w:rPr>
        <w:t>本公司郑重声明，根据《政府采购促进中小企业发展管理办法》（财</w:t>
      </w:r>
      <w:r>
        <w:rPr>
          <w:rFonts w:hint="eastAsia" w:ascii="宋体" w:hAnsi="宋体"/>
          <w:sz w:val="24"/>
          <w:szCs w:val="24"/>
        </w:rPr>
        <w:t>库﹝</w:t>
      </w:r>
      <w:r>
        <w:rPr>
          <w:rFonts w:hint="eastAsia" w:ascii="宋体" w:hAnsi="宋体" w:cs="微软雅黑"/>
          <w:sz w:val="24"/>
          <w:szCs w:val="24"/>
        </w:rPr>
        <w:t>2020</w:t>
      </w:r>
      <w:r>
        <w:rPr>
          <w:rFonts w:hint="eastAsia" w:ascii="宋体" w:hAnsi="宋体"/>
          <w:sz w:val="24"/>
          <w:szCs w:val="24"/>
        </w:rPr>
        <w:t>﹞4</w:t>
      </w:r>
      <w:r>
        <w:rPr>
          <w:rFonts w:ascii="宋体" w:hAnsi="宋体"/>
          <w:sz w:val="24"/>
          <w:szCs w:val="24"/>
        </w:rPr>
        <w:t xml:space="preserve"> </w:t>
      </w:r>
      <w:r>
        <w:rPr>
          <w:rFonts w:hint="eastAsia" w:ascii="宋体" w:hAnsi="宋体" w:cs="微软雅黑"/>
          <w:sz w:val="24"/>
          <w:szCs w:val="24"/>
        </w:rPr>
        <w:t>6号）的规定，本公司参加</w:t>
      </w:r>
      <w:r>
        <w:rPr>
          <w:rFonts w:hint="eastAsia" w:ascii="宋体" w:hAnsi="宋体" w:cs="微软雅黑"/>
          <w:sz w:val="24"/>
          <w:szCs w:val="24"/>
          <w:u w:val="single" w:color="000000"/>
        </w:rPr>
        <w:t>(</w:t>
      </w:r>
      <w:r>
        <w:rPr>
          <w:rFonts w:hint="eastAsia" w:ascii="宋体" w:hAnsi="宋体"/>
          <w:sz w:val="24"/>
          <w:szCs w:val="24"/>
          <w:u w:val="single" w:color="000000"/>
        </w:rPr>
        <w:t>单位名称)</w:t>
      </w:r>
      <w:r>
        <w:rPr>
          <w:rFonts w:hint="eastAsia" w:ascii="宋体" w:hAnsi="宋体" w:cs="微软雅黑"/>
          <w:sz w:val="24"/>
          <w:szCs w:val="24"/>
        </w:rPr>
        <w:t>采购活动，服务</w:t>
      </w:r>
      <w:r>
        <w:rPr>
          <w:rFonts w:hint="eastAsia" w:ascii="宋体" w:hAnsi="宋体"/>
          <w:sz w:val="24"/>
          <w:szCs w:val="24"/>
        </w:rPr>
        <w:t>全部</w:t>
      </w:r>
      <w:r>
        <w:rPr>
          <w:rFonts w:hint="eastAsia" w:ascii="宋体" w:hAnsi="宋体" w:cs="微软雅黑"/>
          <w:sz w:val="24"/>
          <w:szCs w:val="24"/>
        </w:rPr>
        <w:t>由符合政策要求的中小企业承接。相关企业的具体情况如下：</w:t>
      </w:r>
    </w:p>
    <w:p>
      <w:pPr>
        <w:spacing w:line="400" w:lineRule="exact"/>
        <w:ind w:firstLine="480" w:firstLineChars="200"/>
        <w:rPr>
          <w:rFonts w:ascii="宋体" w:hAnsi="宋体"/>
          <w:sz w:val="24"/>
          <w:szCs w:val="24"/>
          <w:u w:val="single" w:color="000000"/>
        </w:rPr>
      </w:pPr>
      <w:r>
        <w:rPr>
          <w:rFonts w:hint="eastAsia" w:ascii="宋体" w:hAnsi="宋体"/>
          <w:sz w:val="24"/>
          <w:szCs w:val="24"/>
        </w:rPr>
        <w:t xml:space="preserve"> </w:t>
      </w:r>
      <w:r>
        <w:rPr>
          <w:rFonts w:hint="eastAsia" w:ascii="宋体" w:hAnsi="宋体"/>
          <w:sz w:val="24"/>
          <w:szCs w:val="24"/>
          <w:u w:val="single"/>
        </w:rPr>
        <w:t>（标的名称）</w:t>
      </w:r>
      <w:r>
        <w:rPr>
          <w:rFonts w:hint="eastAsia" w:ascii="宋体" w:hAnsi="宋体"/>
          <w:sz w:val="24"/>
          <w:szCs w:val="24"/>
        </w:rPr>
        <w:t>，属于</w:t>
      </w:r>
      <w:r>
        <w:rPr>
          <w:rFonts w:hint="eastAsia" w:ascii="宋体" w:hAnsi="宋体"/>
          <w:sz w:val="24"/>
          <w:szCs w:val="24"/>
          <w:u w:val="single"/>
        </w:rPr>
        <w:t>（采购文件中明确的所属行业）</w:t>
      </w:r>
      <w:r>
        <w:rPr>
          <w:rFonts w:hint="eastAsia" w:ascii="宋体" w:hAnsi="宋体"/>
          <w:sz w:val="24"/>
          <w:szCs w:val="24"/>
        </w:rPr>
        <w:t>；</w:t>
      </w:r>
      <w:r>
        <w:rPr>
          <w:rFonts w:hint="eastAsia" w:ascii="宋体" w:hAnsi="宋体" w:cs="微软雅黑"/>
          <w:sz w:val="24"/>
          <w:szCs w:val="24"/>
        </w:rPr>
        <w:t>承接企业为</w:t>
      </w:r>
      <w:r>
        <w:rPr>
          <w:rFonts w:hint="eastAsia" w:ascii="宋体" w:hAnsi="宋体" w:cs="微软雅黑"/>
          <w:sz w:val="24"/>
          <w:szCs w:val="24"/>
          <w:u w:val="single" w:color="000000"/>
        </w:rPr>
        <w:t>(企</w:t>
      </w:r>
      <w:r>
        <w:rPr>
          <w:rFonts w:hint="eastAsia" w:ascii="宋体" w:hAnsi="宋体"/>
          <w:sz w:val="24"/>
          <w:szCs w:val="24"/>
          <w:u w:val="single" w:color="000000"/>
        </w:rPr>
        <w:t>业名</w:t>
      </w:r>
      <w:r>
        <w:rPr>
          <w:rFonts w:hint="eastAsia" w:ascii="宋体" w:hAnsi="宋体" w:cs="微软雅黑"/>
          <w:sz w:val="24"/>
          <w:szCs w:val="24"/>
          <w:u w:val="single" w:color="000000"/>
        </w:rPr>
        <w:t>称)</w:t>
      </w:r>
      <w:r>
        <w:rPr>
          <w:rFonts w:hint="eastAsia" w:ascii="宋体" w:hAnsi="宋体" w:cs="微软雅黑"/>
          <w:sz w:val="24"/>
          <w:szCs w:val="24"/>
        </w:rPr>
        <w:t>，从业人员</w:t>
      </w:r>
      <w:r>
        <w:rPr>
          <w:rFonts w:hint="eastAsia" w:ascii="宋体" w:hAnsi="宋体"/>
          <w:sz w:val="24"/>
          <w:szCs w:val="24"/>
          <w:u w:val="single"/>
        </w:rPr>
        <w:t xml:space="preserve">     </w:t>
      </w:r>
      <w:r>
        <w:rPr>
          <w:rFonts w:hint="eastAsia" w:ascii="宋体" w:hAnsi="宋体" w:cs="微软雅黑"/>
          <w:sz w:val="24"/>
          <w:szCs w:val="24"/>
        </w:rPr>
        <w:t>人，营业收入为</w:t>
      </w:r>
      <w:r>
        <w:rPr>
          <w:rFonts w:hint="eastAsia" w:ascii="宋体" w:hAnsi="宋体"/>
          <w:sz w:val="24"/>
          <w:szCs w:val="24"/>
          <w:u w:val="single"/>
        </w:rPr>
        <w:t xml:space="preserve">     </w:t>
      </w:r>
      <w:r>
        <w:rPr>
          <w:rFonts w:hint="eastAsia" w:ascii="宋体" w:hAnsi="宋体" w:cs="微软雅黑"/>
          <w:sz w:val="24"/>
          <w:szCs w:val="24"/>
        </w:rPr>
        <w:t>万元，资产总额为</w:t>
      </w:r>
      <w:r>
        <w:rPr>
          <w:rFonts w:hint="eastAsia" w:ascii="宋体" w:hAnsi="宋体"/>
          <w:sz w:val="24"/>
          <w:szCs w:val="24"/>
          <w:u w:val="single"/>
        </w:rPr>
        <w:t xml:space="preserve">     </w:t>
      </w:r>
      <w:r>
        <w:rPr>
          <w:rFonts w:hint="eastAsia" w:ascii="宋体" w:hAnsi="宋体" w:cs="微软雅黑"/>
          <w:sz w:val="24"/>
          <w:szCs w:val="24"/>
        </w:rPr>
        <w:t>万元，属于</w:t>
      </w:r>
      <w:r>
        <w:rPr>
          <w:rFonts w:hint="eastAsia" w:ascii="宋体" w:hAnsi="宋体"/>
          <w:sz w:val="24"/>
          <w:szCs w:val="24"/>
          <w:u w:val="single" w:color="000000"/>
        </w:rPr>
        <w:t>（中型企业、小型企业、微型企业）。</w:t>
      </w:r>
    </w:p>
    <w:p>
      <w:pPr>
        <w:spacing w:line="400" w:lineRule="exact"/>
        <w:ind w:firstLine="480" w:firstLineChars="200"/>
        <w:rPr>
          <w:rFonts w:ascii="宋体" w:hAnsi="宋体"/>
          <w:sz w:val="24"/>
          <w:szCs w:val="24"/>
        </w:rPr>
      </w:pPr>
      <w:r>
        <w:rPr>
          <w:rFonts w:hint="eastAsia" w:ascii="宋体" w:hAnsi="宋体"/>
          <w:sz w:val="24"/>
          <w:szCs w:val="24"/>
        </w:rPr>
        <w:t>为本标的提供的服务人员</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人，其中与本企业签订劳动合同</w:t>
      </w:r>
      <w:r>
        <w:rPr>
          <w:rFonts w:hint="eastAsia" w:ascii="宋体" w:hAnsi="宋体"/>
          <w:sz w:val="24"/>
          <w:szCs w:val="24"/>
          <w:u w:val="single"/>
        </w:rPr>
        <w:t xml:space="preserve">     </w:t>
      </w:r>
      <w:r>
        <w:rPr>
          <w:rFonts w:hint="eastAsia" w:ascii="宋体" w:hAnsi="宋体"/>
          <w:sz w:val="24"/>
          <w:szCs w:val="24"/>
        </w:rPr>
        <w:t>人，其他人员</w:t>
      </w:r>
    </w:p>
    <w:p>
      <w:pPr>
        <w:spacing w:line="400" w:lineRule="exact"/>
        <w:rPr>
          <w:rFonts w:ascii="宋体" w:hAnsi="宋体"/>
          <w:b/>
          <w:sz w:val="24"/>
          <w:szCs w:val="24"/>
        </w:rPr>
      </w:pPr>
      <w:r>
        <w:rPr>
          <w:rFonts w:hint="eastAsia" w:ascii="宋体" w:hAnsi="宋体"/>
          <w:sz w:val="24"/>
          <w:szCs w:val="24"/>
          <w:u w:val="single"/>
        </w:rPr>
        <w:t xml:space="preserve">     </w:t>
      </w:r>
      <w:r>
        <w:rPr>
          <w:rFonts w:hint="eastAsia" w:ascii="宋体" w:hAnsi="宋体"/>
          <w:sz w:val="24"/>
          <w:szCs w:val="24"/>
        </w:rPr>
        <w:t>人。</w:t>
      </w:r>
      <w:r>
        <w:rPr>
          <w:rFonts w:hint="eastAsia" w:ascii="宋体" w:hAnsi="宋体"/>
          <w:b/>
          <w:sz w:val="24"/>
          <w:szCs w:val="24"/>
        </w:rPr>
        <w:t>有其他人员的不符合中小企业扶持政策。</w:t>
      </w:r>
    </w:p>
    <w:p>
      <w:pPr>
        <w:spacing w:line="400" w:lineRule="exact"/>
        <w:ind w:firstLine="696"/>
        <w:rPr>
          <w:rFonts w:ascii="宋体" w:hAnsi="宋体"/>
          <w:sz w:val="24"/>
          <w:szCs w:val="24"/>
        </w:rPr>
      </w:pPr>
      <w:r>
        <w:rPr>
          <w:rFonts w:hint="eastAsia" w:ascii="宋体" w:hAnsi="宋体" w:cs="微软雅黑"/>
          <w:sz w:val="24"/>
          <w:szCs w:val="24"/>
        </w:rPr>
        <w:t>以上企业，不属于大企业的分支机构，不存在控股股东为大企业的情形，也不存在与大企业的负责人为同一人的情形。</w:t>
      </w:r>
    </w:p>
    <w:p>
      <w:pPr>
        <w:spacing w:line="400" w:lineRule="exact"/>
        <w:ind w:firstLine="619"/>
        <w:rPr>
          <w:rFonts w:ascii="宋体" w:hAnsi="宋体"/>
          <w:sz w:val="24"/>
          <w:szCs w:val="24"/>
        </w:rPr>
      </w:pPr>
      <w:r>
        <w:rPr>
          <w:rFonts w:hint="eastAsia" w:ascii="宋体" w:hAnsi="宋体" w:cs="微软雅黑"/>
          <w:sz w:val="24"/>
          <w:szCs w:val="24"/>
        </w:rPr>
        <w:t>本企业对上述声明内容的真实性负责。如有虚假，将依法承担相应责任。</w:t>
      </w:r>
    </w:p>
    <w:p>
      <w:pPr>
        <w:spacing w:line="400" w:lineRule="exact"/>
        <w:ind w:firstLine="3120" w:firstLineChars="1300"/>
        <w:rPr>
          <w:rFonts w:ascii="宋体" w:hAnsi="宋体" w:cs="微软雅黑"/>
          <w:sz w:val="24"/>
          <w:szCs w:val="24"/>
        </w:rPr>
      </w:pPr>
    </w:p>
    <w:p>
      <w:pPr>
        <w:spacing w:line="400" w:lineRule="exact"/>
        <w:ind w:firstLine="3120" w:firstLineChars="1300"/>
        <w:jc w:val="right"/>
        <w:rPr>
          <w:rFonts w:ascii="宋体" w:hAnsi="宋体"/>
          <w:sz w:val="24"/>
          <w:szCs w:val="24"/>
        </w:rPr>
      </w:pPr>
      <w:r>
        <w:rPr>
          <w:rFonts w:hint="eastAsia" w:ascii="宋体" w:hAnsi="宋体" w:cs="微软雅黑"/>
          <w:sz w:val="24"/>
          <w:szCs w:val="24"/>
        </w:rPr>
        <w:t>企业名称（盖章）：</w:t>
      </w:r>
    </w:p>
    <w:p>
      <w:pPr>
        <w:spacing w:line="400" w:lineRule="exact"/>
        <w:ind w:firstLine="3120" w:firstLineChars="1300"/>
        <w:jc w:val="right"/>
        <w:rPr>
          <w:rFonts w:ascii="宋体" w:hAnsi="宋体"/>
          <w:sz w:val="24"/>
          <w:szCs w:val="24"/>
        </w:rPr>
      </w:pPr>
      <w:r>
        <w:rPr>
          <w:rFonts w:hint="eastAsia" w:ascii="宋体" w:hAnsi="宋体" w:cs="微软雅黑"/>
          <w:sz w:val="24"/>
          <w:szCs w:val="24"/>
        </w:rPr>
        <w:t>日 期：</w:t>
      </w:r>
    </w:p>
    <w:p>
      <w:pPr>
        <w:snapToGrid w:val="0"/>
        <w:spacing w:line="500" w:lineRule="exact"/>
        <w:ind w:firstLine="480" w:firstLineChars="200"/>
        <w:rPr>
          <w:rFonts w:ascii="宋体" w:hAnsi="宋体"/>
          <w:sz w:val="24"/>
          <w:szCs w:val="24"/>
        </w:rPr>
      </w:pPr>
      <w:r>
        <w:rPr>
          <w:rFonts w:hint="eastAsia" w:ascii="宋体" w:hAnsi="宋体"/>
          <w:sz w:val="24"/>
          <w:szCs w:val="24"/>
        </w:rPr>
        <w:t xml:space="preserve">                                        </w:t>
      </w:r>
    </w:p>
    <w:p>
      <w:pPr>
        <w:snapToGrid w:val="0"/>
        <w:spacing w:line="420" w:lineRule="exact"/>
        <w:rPr>
          <w:rFonts w:ascii="宋体" w:hAnsi="宋体" w:cs="宋体"/>
          <w:kern w:val="0"/>
          <w:sz w:val="21"/>
          <w:szCs w:val="21"/>
        </w:rPr>
      </w:pPr>
      <w:r>
        <w:rPr>
          <w:rFonts w:hint="eastAsia" w:ascii="宋体" w:hAnsi="宋体" w:cs="宋体"/>
          <w:kern w:val="0"/>
          <w:sz w:val="21"/>
          <w:szCs w:val="21"/>
        </w:rPr>
        <w:t>填写时应注意以下事项：</w:t>
      </w:r>
    </w:p>
    <w:p>
      <w:pPr>
        <w:snapToGrid w:val="0"/>
        <w:spacing w:line="420" w:lineRule="exact"/>
        <w:ind w:firstLine="420" w:firstLineChars="200"/>
        <w:rPr>
          <w:rFonts w:ascii="宋体" w:hAnsi="宋体" w:cs="宋体"/>
          <w:kern w:val="0"/>
          <w:sz w:val="21"/>
          <w:szCs w:val="21"/>
        </w:rPr>
      </w:pPr>
      <w:r>
        <w:rPr>
          <w:rFonts w:hint="eastAsia" w:ascii="宋体" w:hAnsi="宋体" w:cs="宋体"/>
          <w:kern w:val="0"/>
          <w:sz w:val="21"/>
          <w:szCs w:val="21"/>
        </w:rPr>
        <w:t>1.从业人员、营业收入、资产总额填报上一年度数据，无上一年度数据的新成立企业可不填报。</w:t>
      </w:r>
    </w:p>
    <w:p>
      <w:pPr>
        <w:snapToGrid w:val="0"/>
        <w:spacing w:line="420" w:lineRule="exact"/>
        <w:ind w:firstLine="420" w:firstLineChars="200"/>
        <w:rPr>
          <w:rFonts w:ascii="宋体" w:hAnsi="宋体" w:cs="宋体"/>
          <w:kern w:val="0"/>
          <w:sz w:val="21"/>
          <w:szCs w:val="21"/>
        </w:rPr>
      </w:pPr>
      <w:r>
        <w:rPr>
          <w:rFonts w:hint="eastAsia" w:ascii="宋体" w:hAnsi="宋体" w:cs="宋体"/>
          <w:kern w:val="0"/>
          <w:sz w:val="21"/>
          <w:szCs w:val="21"/>
        </w:rPr>
        <w:t>2.供应商未按照采购文件第一篇“采购标的对应的中小企业划分标准所属行业”填写所属行业，或所填写企业类型与相应行业划型标准不一致的，视为未提供《中小企业声明函》，不享受中小企业扶持政策。</w:t>
      </w:r>
    </w:p>
    <w:p>
      <w:pPr>
        <w:snapToGrid w:val="0"/>
        <w:spacing w:line="420" w:lineRule="exact"/>
        <w:ind w:firstLine="420" w:firstLineChars="200"/>
        <w:rPr>
          <w:rFonts w:ascii="宋体" w:hAnsi="宋体" w:cs="宋体"/>
          <w:kern w:val="0"/>
          <w:sz w:val="21"/>
          <w:szCs w:val="21"/>
        </w:rPr>
      </w:pPr>
      <w:r>
        <w:rPr>
          <w:rFonts w:hint="eastAsia" w:ascii="宋体" w:hAnsi="宋体" w:cs="宋体"/>
          <w:kern w:val="0"/>
          <w:sz w:val="21"/>
          <w:szCs w:val="21"/>
        </w:rPr>
        <w:t>3.中小企业应当按照《中小企业划型标准规定》（工信部联企业〔2011〕300号），如实填写并提交《中小企业声明函》。</w:t>
      </w:r>
    </w:p>
    <w:p>
      <w:pPr>
        <w:snapToGrid w:val="0"/>
        <w:spacing w:line="420" w:lineRule="exact"/>
        <w:ind w:firstLine="422" w:firstLineChars="200"/>
        <w:jc w:val="left"/>
        <w:rPr>
          <w:rFonts w:ascii="宋体" w:hAnsi="宋体"/>
          <w:b/>
          <w:bCs/>
          <w:sz w:val="21"/>
          <w:szCs w:val="21"/>
        </w:rPr>
      </w:pPr>
      <w:r>
        <w:rPr>
          <w:rFonts w:hint="eastAsia" w:ascii="宋体" w:hAnsi="宋体"/>
          <w:b/>
          <w:bCs/>
          <w:sz w:val="21"/>
          <w:szCs w:val="21"/>
        </w:rPr>
        <w:t>注：各行业划型标准：</w:t>
      </w:r>
    </w:p>
    <w:p>
      <w:pPr>
        <w:tabs>
          <w:tab w:val="left" w:pos="6300"/>
        </w:tabs>
        <w:snapToGrid w:val="0"/>
        <w:spacing w:line="400" w:lineRule="exact"/>
        <w:ind w:firstLine="420" w:firstLineChars="200"/>
        <w:jc w:val="left"/>
        <w:rPr>
          <w:rFonts w:ascii="宋体" w:hAnsi="宋体"/>
          <w:sz w:val="21"/>
          <w:szCs w:val="21"/>
        </w:rPr>
      </w:pPr>
      <w:bookmarkStart w:id="145" w:name="_Hlk80349109"/>
      <w:r>
        <w:rPr>
          <w:rFonts w:hint="eastAsia" w:ascii="宋体" w:hAnsi="宋体"/>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二）工业（包括采矿业，制造业，电力、热力、燃气及水生产和供应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六）交通运输业（不含铁路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一）信息传输业（包括电信、互联网和相关服务）。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六）其他未列明行业（包括科学研究和技术服务业，水利、环境和公共设施管理业，居民服务、修理和其他服务业，社会工作，文化、体育和娱乐业等）。从业人员300人以下的为中小微型企业。其中，从业人员100人及以上的为中型企业；从业人员10人及以上的为小型企业；从业人员10人以下的为微型企业。</w:t>
      </w:r>
    </w:p>
    <w:bookmarkEnd w:id="145"/>
    <w:p>
      <w:pPr>
        <w:tabs>
          <w:tab w:val="left" w:pos="6300"/>
        </w:tabs>
        <w:snapToGrid w:val="0"/>
        <w:spacing w:line="400" w:lineRule="exact"/>
        <w:jc w:val="left"/>
        <w:rPr>
          <w:rFonts w:ascii="宋体" w:hAnsi="宋体"/>
          <w:sz w:val="21"/>
          <w:szCs w:val="21"/>
        </w:rPr>
      </w:pPr>
    </w:p>
    <w:p>
      <w:pPr>
        <w:tabs>
          <w:tab w:val="left" w:pos="6300"/>
        </w:tabs>
        <w:snapToGrid w:val="0"/>
        <w:spacing w:line="360" w:lineRule="auto"/>
        <w:ind w:firstLine="480" w:firstLineChars="200"/>
        <w:rPr>
          <w:rFonts w:ascii="宋体" w:hAnsi="宋体"/>
          <w:sz w:val="24"/>
          <w:szCs w:val="24"/>
        </w:rPr>
      </w:pPr>
      <w:r>
        <w:rPr>
          <w:rFonts w:ascii="宋体" w:hAnsi="宋体"/>
          <w:sz w:val="24"/>
          <w:szCs w:val="24"/>
        </w:rPr>
        <w:br w:type="page"/>
      </w:r>
      <w:r>
        <w:rPr>
          <w:rFonts w:hint="eastAsia" w:ascii="宋体" w:hAnsi="宋体"/>
          <w:sz w:val="24"/>
          <w:szCs w:val="24"/>
        </w:rPr>
        <w:t>（2）监狱企业证明文件</w:t>
      </w:r>
    </w:p>
    <w:p>
      <w:pPr>
        <w:tabs>
          <w:tab w:val="left" w:pos="6300"/>
        </w:tabs>
        <w:snapToGrid w:val="0"/>
        <w:spacing w:line="360" w:lineRule="auto"/>
        <w:ind w:firstLine="480" w:firstLineChars="200"/>
        <w:rPr>
          <w:rFonts w:ascii="宋体" w:hAnsi="宋体"/>
          <w:sz w:val="29"/>
          <w:szCs w:val="29"/>
        </w:rPr>
      </w:pPr>
      <w:r>
        <w:rPr>
          <w:rFonts w:hint="eastAsia" w:ascii="宋体" w:hAnsi="宋体"/>
          <w:sz w:val="24"/>
          <w:szCs w:val="24"/>
        </w:rPr>
        <w:t>以省级以上监狱管理局、戒毒管理局（含新疆生产建设兵团）出具的属于监狱企业的证明文件为准</w:t>
      </w:r>
      <w:r>
        <w:rPr>
          <w:rFonts w:hint="eastAsia" w:ascii="宋体" w:hAnsi="宋体"/>
          <w:sz w:val="29"/>
          <w:szCs w:val="29"/>
        </w:rPr>
        <w:t>。</w:t>
      </w:r>
    </w:p>
    <w:p>
      <w:pPr>
        <w:tabs>
          <w:tab w:val="left" w:pos="6300"/>
        </w:tabs>
        <w:snapToGrid w:val="0"/>
        <w:spacing w:line="360" w:lineRule="auto"/>
        <w:ind w:firstLine="580" w:firstLineChars="200"/>
        <w:rPr>
          <w:rFonts w:ascii="宋体" w:hAnsi="宋体"/>
          <w:sz w:val="29"/>
          <w:szCs w:val="29"/>
        </w:rPr>
      </w:pPr>
    </w:p>
    <w:p>
      <w:pPr>
        <w:tabs>
          <w:tab w:val="left" w:pos="6300"/>
        </w:tabs>
        <w:snapToGrid w:val="0"/>
        <w:spacing w:line="360" w:lineRule="auto"/>
        <w:ind w:firstLine="580" w:firstLineChars="200"/>
        <w:rPr>
          <w:rFonts w:ascii="宋体" w:hAnsi="宋体"/>
          <w:sz w:val="29"/>
          <w:szCs w:val="29"/>
        </w:rPr>
      </w:pP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（3）残疾人福利性单位声明函（格式）</w:t>
      </w:r>
    </w:p>
    <w:p>
      <w:pPr>
        <w:tabs>
          <w:tab w:val="left" w:pos="6300"/>
        </w:tabs>
        <w:snapToGrid w:val="0"/>
        <w:spacing w:line="360" w:lineRule="auto"/>
        <w:ind w:firstLine="560" w:firstLineChars="200"/>
        <w:jc w:val="center"/>
        <w:rPr>
          <w:rFonts w:ascii="宋体" w:hAnsi="宋体"/>
          <w:szCs w:val="28"/>
        </w:rPr>
      </w:pPr>
      <w:r>
        <w:rPr>
          <w:rFonts w:hint="eastAsia" w:ascii="宋体" w:hAnsi="宋体"/>
          <w:szCs w:val="28"/>
        </w:rPr>
        <w:t>残疾人福利性单位声明函</w:t>
      </w:r>
    </w:p>
    <w:p>
      <w:pPr>
        <w:tabs>
          <w:tab w:val="left" w:pos="6300"/>
        </w:tabs>
        <w:snapToGrid w:val="0"/>
        <w:spacing w:line="360" w:lineRule="auto"/>
        <w:ind w:firstLine="480" w:firstLineChars="200"/>
        <w:rPr>
          <w:rFonts w:ascii="宋体" w:hAnsi="宋体"/>
          <w:sz w:val="24"/>
        </w:rPr>
      </w:pPr>
      <w:r>
        <w:rPr>
          <w:rFonts w:hint="eastAsia" w:ascii="宋体" w:hAnsi="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360" w:lineRule="auto"/>
        <w:ind w:firstLine="480" w:firstLineChars="200"/>
        <w:rPr>
          <w:rFonts w:ascii="宋体" w:hAnsi="宋体"/>
          <w:sz w:val="24"/>
        </w:rPr>
      </w:pPr>
      <w:r>
        <w:rPr>
          <w:rFonts w:hint="eastAsia" w:ascii="宋体" w:hAnsi="宋体"/>
          <w:sz w:val="24"/>
        </w:rPr>
        <w:t>本单位对上述声明的真实性负责。如有虚假，将依法承担相应责任。</w:t>
      </w: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ind w:firstLine="480" w:firstLineChars="200"/>
        <w:rPr>
          <w:rFonts w:ascii="宋体" w:hAnsi="宋体"/>
          <w:sz w:val="24"/>
        </w:rPr>
      </w:pPr>
      <w:r>
        <w:rPr>
          <w:rFonts w:hint="eastAsia" w:ascii="宋体" w:hAnsi="宋体"/>
          <w:sz w:val="24"/>
        </w:rPr>
        <w:t xml:space="preserve">                                                  供应商名称（盖章）：</w:t>
      </w:r>
    </w:p>
    <w:p>
      <w:pPr>
        <w:tabs>
          <w:tab w:val="left" w:pos="6300"/>
        </w:tabs>
        <w:snapToGrid w:val="0"/>
        <w:spacing w:line="360" w:lineRule="auto"/>
        <w:ind w:firstLine="570"/>
        <w:jc w:val="left"/>
        <w:rPr>
          <w:rFonts w:ascii="宋体" w:hAnsi="宋体"/>
        </w:rPr>
      </w:pPr>
      <w:r>
        <w:rPr>
          <w:rFonts w:hint="eastAsia" w:ascii="宋体" w:hAnsi="宋体"/>
          <w:sz w:val="24"/>
        </w:rPr>
        <w:t xml:space="preserve">                                                  日  期：</w:t>
      </w:r>
    </w:p>
    <w:p>
      <w:pPr>
        <w:tabs>
          <w:tab w:val="left" w:pos="6300"/>
        </w:tabs>
        <w:snapToGrid w:val="0"/>
        <w:spacing w:line="500" w:lineRule="exact"/>
        <w:jc w:val="left"/>
        <w:rPr>
          <w:rFonts w:ascii="宋体" w:hAnsi="宋体"/>
        </w:rPr>
      </w:pPr>
    </w:p>
    <w:p>
      <w:pPr>
        <w:tabs>
          <w:tab w:val="left" w:pos="6300"/>
        </w:tabs>
        <w:snapToGrid w:val="0"/>
        <w:spacing w:line="500" w:lineRule="exact"/>
        <w:ind w:firstLine="570"/>
        <w:jc w:val="left"/>
        <w:rPr>
          <w:rFonts w:ascii="宋体" w:hAnsi="宋体"/>
          <w:sz w:val="24"/>
          <w:szCs w:val="24"/>
        </w:rPr>
      </w:pPr>
      <w:r>
        <w:rPr>
          <w:rFonts w:hint="eastAsia" w:ascii="宋体" w:hAnsi="宋体"/>
          <w:sz w:val="24"/>
          <w:szCs w:val="24"/>
        </w:rPr>
        <w:t>若成交供应商为残疾人福利性单位的，将在结果公告时公告其《残疾人福利性单位声明函》。</w:t>
      </w:r>
    </w:p>
    <w:p>
      <w:pPr>
        <w:tabs>
          <w:tab w:val="left" w:pos="6300"/>
        </w:tabs>
        <w:snapToGrid w:val="0"/>
        <w:spacing w:line="500" w:lineRule="exact"/>
        <w:jc w:val="left"/>
        <w:rPr>
          <w:rFonts w:ascii="宋体" w:hAnsi="宋体"/>
        </w:rPr>
      </w:pPr>
    </w:p>
    <w:p>
      <w:pPr>
        <w:tabs>
          <w:tab w:val="left" w:pos="6300"/>
        </w:tabs>
        <w:snapToGrid w:val="0"/>
        <w:spacing w:line="500" w:lineRule="exact"/>
        <w:jc w:val="left"/>
        <w:rPr>
          <w:rFonts w:ascii="宋体" w:hAnsi="宋体"/>
        </w:rPr>
      </w:pPr>
    </w:p>
    <w:p>
      <w:pPr>
        <w:ind w:firstLine="480" w:firstLineChars="200"/>
        <w:jc w:val="left"/>
        <w:rPr>
          <w:rFonts w:ascii="宋体" w:hAnsi="宋体"/>
          <w:sz w:val="24"/>
          <w:szCs w:val="24"/>
        </w:rPr>
      </w:pPr>
      <w:r>
        <w:rPr>
          <w:rFonts w:hint="eastAsia" w:ascii="宋体" w:hAnsi="宋体"/>
          <w:sz w:val="24"/>
          <w:szCs w:val="24"/>
        </w:rPr>
        <w:t>2.其他与项目有关的资料（自附）</w:t>
      </w:r>
    </w:p>
    <w:p>
      <w:pPr>
        <w:ind w:firstLine="480" w:firstLineChars="200"/>
        <w:jc w:val="left"/>
        <w:rPr>
          <w:rFonts w:ascii="宋体" w:hAnsi="宋体"/>
          <w:sz w:val="24"/>
          <w:szCs w:val="24"/>
        </w:rPr>
      </w:pPr>
    </w:p>
    <w:p>
      <w:pPr>
        <w:ind w:firstLine="480" w:firstLineChars="200"/>
        <w:jc w:val="left"/>
        <w:rPr>
          <w:rFonts w:ascii="宋体" w:hAnsi="宋体"/>
          <w:sz w:val="24"/>
          <w:szCs w:val="24"/>
        </w:rPr>
      </w:pPr>
    </w:p>
    <w:p>
      <w:pPr>
        <w:ind w:firstLine="480" w:firstLineChars="200"/>
        <w:jc w:val="left"/>
        <w:rPr>
          <w:rFonts w:ascii="宋体" w:hAnsi="宋体"/>
          <w:sz w:val="24"/>
          <w:szCs w:val="24"/>
        </w:rPr>
      </w:pPr>
    </w:p>
    <w:p>
      <w:pPr>
        <w:ind w:firstLine="480" w:firstLineChars="200"/>
        <w:jc w:val="left"/>
        <w:rPr>
          <w:rFonts w:ascii="宋体" w:hAnsi="宋体"/>
          <w:sz w:val="24"/>
          <w:szCs w:val="24"/>
        </w:rPr>
      </w:pPr>
    </w:p>
    <w:p>
      <w:pPr>
        <w:jc w:val="left"/>
        <w:rPr>
          <w:rFonts w:ascii="宋体" w:hAnsi="宋体"/>
          <w:sz w:val="24"/>
          <w:szCs w:val="24"/>
        </w:rPr>
      </w:pPr>
    </w:p>
    <w:p>
      <w:pPr>
        <w:tabs>
          <w:tab w:val="left" w:pos="6300"/>
        </w:tabs>
        <w:snapToGrid w:val="0"/>
        <w:spacing w:line="500" w:lineRule="exact"/>
        <w:rPr>
          <w:rFonts w:ascii="宋体" w:hAnsi="宋体"/>
          <w:sz w:val="24"/>
          <w:szCs w:val="24"/>
        </w:rPr>
      </w:pPr>
    </w:p>
    <w:p>
      <w:pPr>
        <w:tabs>
          <w:tab w:val="left" w:pos="6300"/>
        </w:tabs>
        <w:snapToGrid w:val="0"/>
        <w:spacing w:line="500" w:lineRule="exact"/>
        <w:rPr>
          <w:rFonts w:ascii="宋体" w:hAnsi="宋体"/>
          <w:sz w:val="24"/>
          <w:szCs w:val="24"/>
        </w:rPr>
      </w:pPr>
    </w:p>
    <w:p>
      <w:pPr>
        <w:tabs>
          <w:tab w:val="left" w:pos="6300"/>
        </w:tabs>
        <w:snapToGrid w:val="0"/>
        <w:spacing w:line="500" w:lineRule="exact"/>
        <w:jc w:val="center"/>
        <w:rPr>
          <w:sz w:val="24"/>
          <w:szCs w:val="24"/>
        </w:rPr>
      </w:pPr>
      <w:r>
        <w:rPr>
          <w:sz w:val="24"/>
          <w:szCs w:val="24"/>
        </w:rPr>
        <w:t>（结束）</w:t>
      </w:r>
    </w:p>
    <w:sectPr>
      <w:pgSz w:w="11907" w:h="16840"/>
      <w:pgMar w:top="1134" w:right="1191" w:bottom="1134" w:left="1191"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Courier New">
    <w:panose1 w:val="02070309020205020404"/>
    <w:charset w:val="00"/>
    <w:family w:val="modern"/>
    <w:pitch w:val="default"/>
    <w:sig w:usb0="E0002EFF" w:usb1="C0007843" w:usb2="00000009" w:usb3="00000000" w:csb0="400001FF" w:csb1="FFFF0000"/>
  </w:font>
  <w:font w:name="_x000B__x000C_">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昆仑楷体">
    <w:altName w:val="方正楷体_GBK"/>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文鼎粗黑">
    <w:altName w:val="方正黑体_GBK"/>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Pr>
    </w:pPr>
    <w:r>
      <w:fldChar w:fldCharType="begin"/>
    </w:r>
    <w:r>
      <w:rPr>
        <w:rStyle w:val="62"/>
      </w:rPr>
      <w:instrText xml:space="preserve">PAGE  </w:instrText>
    </w:r>
    <w:r>
      <w:fldChar w:fldCharType="separate"/>
    </w:r>
    <w: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Pr>
    </w:pPr>
  </w:p>
  <w:p>
    <w:pPr>
      <w:pStyle w:val="36"/>
      <w:jc w:val="center"/>
      <w:rPr>
        <w:rFonts w:ascii="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jc w:val="center"/>
      <w:rPr>
        <w:rStyle w:val="62"/>
        <w:rFonts w:ascii="宋体"/>
        <w:sz w:val="21"/>
        <w:szCs w:val="21"/>
      </w:rPr>
    </w:pPr>
    <w:r>
      <w:rPr>
        <w:rFonts w:ascii="宋体"/>
        <w:sz w:val="21"/>
        <w:szCs w:val="21"/>
      </w:rPr>
      <w:fldChar w:fldCharType="begin"/>
    </w:r>
    <w:r>
      <w:rPr>
        <w:rStyle w:val="62"/>
        <w:rFonts w:ascii="宋体"/>
        <w:sz w:val="21"/>
        <w:szCs w:val="21"/>
      </w:rPr>
      <w:instrText xml:space="preserve">PAGE  </w:instrText>
    </w:r>
    <w:r>
      <w:rPr>
        <w:rFonts w:ascii="宋体"/>
        <w:sz w:val="21"/>
        <w:szCs w:val="21"/>
      </w:rPr>
      <w:fldChar w:fldCharType="separate"/>
    </w:r>
    <w:r>
      <w:rPr>
        <w:rStyle w:val="62"/>
        <w:rFonts w:ascii="宋体"/>
        <w:sz w:val="21"/>
        <w:szCs w:val="21"/>
      </w:rPr>
      <w:t>- 2 -</w:t>
    </w:r>
    <w:r>
      <w:rPr>
        <w:rFonts w:ascii="宋体"/>
        <w:sz w:val="21"/>
        <w:szCs w:val="21"/>
      </w:rPr>
      <w:fldChar w:fldCharType="end"/>
    </w: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rFonts w:ascii="宋体" w:hAnsi="宋体"/>
        <w:sz w:val="21"/>
        <w:szCs w:val="21"/>
      </w:rPr>
    </w:pPr>
    <w:r>
      <w:rPr>
        <w:rFonts w:ascii="宋体" w:hAnsi="宋体"/>
        <w:sz w:val="21"/>
        <w:szCs w:val="21"/>
      </w:rPr>
      <w:fldChar w:fldCharType="begin"/>
    </w:r>
    <w:r>
      <w:rPr>
        <w:rStyle w:val="62"/>
        <w:rFonts w:ascii="宋体" w:hAnsi="宋体"/>
        <w:sz w:val="21"/>
        <w:szCs w:val="21"/>
      </w:rPr>
      <w:instrText xml:space="preserve"> PAGE </w:instrText>
    </w:r>
    <w:r>
      <w:rPr>
        <w:rFonts w:ascii="宋体" w:hAnsi="宋体"/>
        <w:sz w:val="21"/>
        <w:szCs w:val="21"/>
      </w:rPr>
      <w:fldChar w:fldCharType="separate"/>
    </w:r>
    <w:r>
      <w:rPr>
        <w:rStyle w:val="62"/>
        <w:rFonts w:ascii="宋体" w:hAnsi="宋体"/>
        <w:sz w:val="21"/>
        <w:szCs w:val="21"/>
      </w:rPr>
      <w:t>- 10 -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Pr>
    </w:pPr>
    <w:r>
      <w:fldChar w:fldCharType="begin"/>
    </w:r>
    <w:r>
      <w:rPr>
        <w:rStyle w:val="62"/>
      </w:rPr>
      <w:instrText xml:space="preserve">PAGE  </w:instrText>
    </w:r>
    <w:r>
      <w:fldChar w:fldCharType="separate"/>
    </w:r>
    <w: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宋体" w:hAnsi="宋体"/>
        <w:sz w:val="21"/>
        <w:szCs w:val="21"/>
      </w:rPr>
    </w:pPr>
    <w:r>
      <w:rPr>
        <w:rFonts w:hint="eastAsia" w:ascii="宋体" w:hAnsi="宋体"/>
        <w:sz w:val="21"/>
        <w:szCs w:val="21"/>
      </w:rPr>
      <w:t xml:space="preserve">重庆中基                                                               </w:t>
    </w:r>
    <w:r>
      <w:rPr>
        <w:rFonts w:ascii="宋体" w:hAnsi="宋体"/>
        <w:sz w:val="21"/>
        <w:szCs w:val="21"/>
      </w:rPr>
      <w:t xml:space="preserve">     </w:t>
    </w:r>
    <w:r>
      <w:rPr>
        <w:rFonts w:hint="eastAsia" w:ascii="宋体" w:hAnsi="宋体"/>
        <w:sz w:val="21"/>
        <w:szCs w:val="21"/>
      </w:rPr>
      <w:t>竞争性比选文件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left"/>
      <w:rPr>
        <w:rFonts w:ascii="宋体" w:hAnsi="宋体"/>
        <w:sz w:val="21"/>
        <w:szCs w:val="21"/>
      </w:rPr>
    </w:pPr>
    <w:r>
      <w:rPr>
        <w:rFonts w:hint="eastAsia" w:ascii="宋体" w:hAnsi="宋体"/>
        <w:sz w:val="21"/>
        <w:szCs w:val="21"/>
      </w:rPr>
      <w:t xml:space="preserve">重庆中基                                  </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 竞争性比选文件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宋体" w:hAnsi="宋体"/>
        <w:sz w:val="21"/>
        <w:szCs w:val="21"/>
      </w:rPr>
    </w:pPr>
    <w:r>
      <w:rPr>
        <w:rFonts w:hint="eastAsia" w:ascii="宋体" w:hAnsi="宋体"/>
        <w:sz w:val="21"/>
        <w:szCs w:val="21"/>
      </w:rPr>
      <w:t xml:space="preserve">重庆中基                                                               </w:t>
    </w:r>
    <w:r>
      <w:rPr>
        <w:rFonts w:ascii="宋体" w:hAnsi="宋体"/>
        <w:sz w:val="21"/>
        <w:szCs w:val="21"/>
      </w:rPr>
      <w:t xml:space="preserve"> </w:t>
    </w:r>
    <w:r>
      <w:rPr>
        <w:rFonts w:hint="eastAsia" w:ascii="宋体" w:hAnsi="宋体"/>
        <w:sz w:val="21"/>
        <w:szCs w:val="21"/>
      </w:rPr>
      <w:t xml:space="preserve">    竞争性比选文件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upperLetter"/>
      <w:pStyle w:val="186"/>
      <w:suff w:val="nothing"/>
      <w:lvlText w:val="附　录　%1"/>
      <w:lvlJc w:val="left"/>
      <w:pPr>
        <w:ind w:left="0" w:firstLine="0"/>
      </w:pPr>
      <w:rPr>
        <w:rFonts w:hint="eastAsia" w:ascii="黑体" w:hAnsi="Times New Roman" w:eastAsia="黑体"/>
        <w:b w:val="0"/>
        <w:i w:val="0"/>
        <w:sz w:val="21"/>
      </w:rPr>
    </w:lvl>
    <w:lvl w:ilvl="1" w:tentative="0">
      <w:start w:val="1"/>
      <w:numFmt w:val="decimal"/>
      <w:pStyle w:val="158"/>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tentative="0">
      <w:start w:val="1"/>
      <w:numFmt w:val="bullet"/>
      <w:pStyle w:val="217"/>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singleLevel"/>
    <w:tmpl w:val="0000000B"/>
    <w:lvl w:ilvl="0" w:tentative="0">
      <w:start w:val="1"/>
      <w:numFmt w:val="bullet"/>
      <w:pStyle w:val="237"/>
      <w:lvlText w:val=""/>
      <w:lvlJc w:val="left"/>
      <w:pPr>
        <w:tabs>
          <w:tab w:val="left" w:pos="360"/>
        </w:tabs>
        <w:ind w:left="360" w:hanging="360"/>
      </w:pPr>
      <w:rPr>
        <w:rFonts w:hint="default" w:ascii="Wingdings" w:hAnsi="Wingdings"/>
      </w:rPr>
    </w:lvl>
  </w:abstractNum>
  <w:abstractNum w:abstractNumId="3">
    <w:nsid w:val="0000000C"/>
    <w:multiLevelType w:val="multilevel"/>
    <w:tmpl w:val="0000000C"/>
    <w:lvl w:ilvl="0" w:tentative="0">
      <w:start w:val="5"/>
      <w:numFmt w:val="japaneseCounting"/>
      <w:pStyle w:val="146"/>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singleLevel"/>
    <w:tmpl w:val="0000000D"/>
    <w:lvl w:ilvl="0" w:tentative="0">
      <w:start w:val="1"/>
      <w:numFmt w:val="bullet"/>
      <w:pStyle w:val="153"/>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226"/>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abstractNum w:abstractNumId="7">
    <w:nsid w:val="00000011"/>
    <w:multiLevelType w:val="multilevel"/>
    <w:tmpl w:val="00000011"/>
    <w:lvl w:ilvl="0" w:tentative="0">
      <w:start w:val="1"/>
      <w:numFmt w:val="decimal"/>
      <w:pStyle w:val="213"/>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2"/>
    <w:multiLevelType w:val="multilevel"/>
    <w:tmpl w:val="00000012"/>
    <w:lvl w:ilvl="0" w:tentative="0">
      <w:start w:val="1"/>
      <w:numFmt w:val="bullet"/>
      <w:pStyle w:val="188"/>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decimal"/>
      <w:pStyle w:val="15"/>
      <w:lvlText w:val="%1."/>
      <w:lvlJc w:val="left"/>
      <w:pPr>
        <w:tabs>
          <w:tab w:val="left" w:pos="425"/>
        </w:tabs>
        <w:ind w:left="425" w:hanging="425"/>
      </w:pPr>
      <w:rPr>
        <w:rFonts w:hint="default"/>
      </w:rPr>
    </w:lvl>
  </w:abstractNum>
  <w:abstractNum w:abstractNumId="10">
    <w:nsid w:val="00000014"/>
    <w:multiLevelType w:val="singleLevel"/>
    <w:tmpl w:val="00000014"/>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1">
    <w:nsid w:val="00000016"/>
    <w:multiLevelType w:val="singleLevel"/>
    <w:tmpl w:val="00000016"/>
    <w:lvl w:ilvl="0" w:tentative="0">
      <w:start w:val="1"/>
      <w:numFmt w:val="decimal"/>
      <w:pStyle w:val="191"/>
      <w:lvlText w:val="%1)"/>
      <w:lvlJc w:val="left"/>
      <w:pPr>
        <w:tabs>
          <w:tab w:val="left" w:pos="425"/>
        </w:tabs>
        <w:ind w:left="425" w:hanging="425"/>
      </w:pPr>
      <w:rPr>
        <w:rFonts w:hint="eastAsia"/>
      </w:rPr>
    </w:lvl>
  </w:abstractNum>
  <w:abstractNum w:abstractNumId="12">
    <w:nsid w:val="00000017"/>
    <w:multiLevelType w:val="multilevel"/>
    <w:tmpl w:val="00000017"/>
    <w:lvl w:ilvl="0" w:tentative="0">
      <w:start w:val="1"/>
      <w:numFmt w:val="chineseCountingThousand"/>
      <w:pStyle w:val="195"/>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E7A3C32"/>
    <w:multiLevelType w:val="multilevel"/>
    <w:tmpl w:val="5E7A3C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pStyle w:val="88"/>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9"/>
  </w:num>
  <w:num w:numId="2">
    <w:abstractNumId w:val="10"/>
  </w:num>
  <w:num w:numId="3">
    <w:abstractNumId w:val="13"/>
  </w:num>
  <w:num w:numId="4">
    <w:abstractNumId w:val="3"/>
  </w:num>
  <w:num w:numId="5">
    <w:abstractNumId w:val="6"/>
  </w:num>
  <w:num w:numId="6">
    <w:abstractNumId w:val="4"/>
  </w:num>
  <w:num w:numId="7">
    <w:abstractNumId w:val="0"/>
  </w:num>
  <w:num w:numId="8">
    <w:abstractNumId w:val="8"/>
  </w:num>
  <w:num w:numId="9">
    <w:abstractNumId w:val="11"/>
  </w:num>
  <w:num w:numId="10">
    <w:abstractNumId w:val="12"/>
  </w:num>
  <w:num w:numId="11">
    <w:abstractNumId w:val="7"/>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6"/>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hNzA3OGY1N2Q4MWM4ZDhkMWQ5OTYwZmIxNDkwZTEifQ=="/>
  </w:docVars>
  <w:rsids>
    <w:rsidRoot w:val="00172A27"/>
    <w:rsid w:val="00000498"/>
    <w:rsid w:val="00001E90"/>
    <w:rsid w:val="000040DE"/>
    <w:rsid w:val="00004CA8"/>
    <w:rsid w:val="00006F86"/>
    <w:rsid w:val="00006FAA"/>
    <w:rsid w:val="000075E8"/>
    <w:rsid w:val="0000767A"/>
    <w:rsid w:val="00007E86"/>
    <w:rsid w:val="000106E5"/>
    <w:rsid w:val="00011B4B"/>
    <w:rsid w:val="00012920"/>
    <w:rsid w:val="000134F9"/>
    <w:rsid w:val="00013F82"/>
    <w:rsid w:val="00015A5E"/>
    <w:rsid w:val="00016B79"/>
    <w:rsid w:val="00017816"/>
    <w:rsid w:val="00017DDB"/>
    <w:rsid w:val="000202A5"/>
    <w:rsid w:val="00021BFC"/>
    <w:rsid w:val="0002244E"/>
    <w:rsid w:val="00023349"/>
    <w:rsid w:val="00023B94"/>
    <w:rsid w:val="00024976"/>
    <w:rsid w:val="00026234"/>
    <w:rsid w:val="000276F9"/>
    <w:rsid w:val="00031122"/>
    <w:rsid w:val="000314C7"/>
    <w:rsid w:val="0003184C"/>
    <w:rsid w:val="000318FF"/>
    <w:rsid w:val="000326D2"/>
    <w:rsid w:val="000328D9"/>
    <w:rsid w:val="00033F9C"/>
    <w:rsid w:val="0003422B"/>
    <w:rsid w:val="00034302"/>
    <w:rsid w:val="0003632F"/>
    <w:rsid w:val="00036B6E"/>
    <w:rsid w:val="0003748C"/>
    <w:rsid w:val="00037681"/>
    <w:rsid w:val="00040B3F"/>
    <w:rsid w:val="0004198A"/>
    <w:rsid w:val="000431AF"/>
    <w:rsid w:val="000432E7"/>
    <w:rsid w:val="0004348E"/>
    <w:rsid w:val="000435C0"/>
    <w:rsid w:val="00043E9D"/>
    <w:rsid w:val="00044FB5"/>
    <w:rsid w:val="000451C6"/>
    <w:rsid w:val="000451E0"/>
    <w:rsid w:val="000468E0"/>
    <w:rsid w:val="00047E3F"/>
    <w:rsid w:val="00047EF0"/>
    <w:rsid w:val="00051015"/>
    <w:rsid w:val="00051383"/>
    <w:rsid w:val="00052334"/>
    <w:rsid w:val="00052964"/>
    <w:rsid w:val="0005298B"/>
    <w:rsid w:val="000529F4"/>
    <w:rsid w:val="000533A5"/>
    <w:rsid w:val="00053AFB"/>
    <w:rsid w:val="0005417C"/>
    <w:rsid w:val="000552F4"/>
    <w:rsid w:val="000568F9"/>
    <w:rsid w:val="000574AB"/>
    <w:rsid w:val="000576E1"/>
    <w:rsid w:val="00057B29"/>
    <w:rsid w:val="00061192"/>
    <w:rsid w:val="00063981"/>
    <w:rsid w:val="000645F1"/>
    <w:rsid w:val="000653C6"/>
    <w:rsid w:val="0006587B"/>
    <w:rsid w:val="0007233F"/>
    <w:rsid w:val="00073BB7"/>
    <w:rsid w:val="00074D2F"/>
    <w:rsid w:val="00075C5F"/>
    <w:rsid w:val="00076B77"/>
    <w:rsid w:val="00077795"/>
    <w:rsid w:val="00080519"/>
    <w:rsid w:val="0008070D"/>
    <w:rsid w:val="00080A20"/>
    <w:rsid w:val="0008102B"/>
    <w:rsid w:val="000818A1"/>
    <w:rsid w:val="00083B84"/>
    <w:rsid w:val="000850F5"/>
    <w:rsid w:val="0008593E"/>
    <w:rsid w:val="00085F90"/>
    <w:rsid w:val="00086033"/>
    <w:rsid w:val="000868BD"/>
    <w:rsid w:val="00086D6B"/>
    <w:rsid w:val="00086F80"/>
    <w:rsid w:val="00087004"/>
    <w:rsid w:val="00087882"/>
    <w:rsid w:val="00087B92"/>
    <w:rsid w:val="00090C5A"/>
    <w:rsid w:val="00090DF4"/>
    <w:rsid w:val="00091B1C"/>
    <w:rsid w:val="000921A8"/>
    <w:rsid w:val="000923FA"/>
    <w:rsid w:val="00092576"/>
    <w:rsid w:val="0009269D"/>
    <w:rsid w:val="00094140"/>
    <w:rsid w:val="000943FB"/>
    <w:rsid w:val="00094D17"/>
    <w:rsid w:val="00096E3E"/>
    <w:rsid w:val="00097FF6"/>
    <w:rsid w:val="000A164E"/>
    <w:rsid w:val="000A3CEE"/>
    <w:rsid w:val="000A5754"/>
    <w:rsid w:val="000A58D1"/>
    <w:rsid w:val="000A5D17"/>
    <w:rsid w:val="000A5F16"/>
    <w:rsid w:val="000A7241"/>
    <w:rsid w:val="000A72C0"/>
    <w:rsid w:val="000B0272"/>
    <w:rsid w:val="000B2811"/>
    <w:rsid w:val="000B42F4"/>
    <w:rsid w:val="000B4B56"/>
    <w:rsid w:val="000B4BD9"/>
    <w:rsid w:val="000B4DA2"/>
    <w:rsid w:val="000B5AF8"/>
    <w:rsid w:val="000B621E"/>
    <w:rsid w:val="000B6523"/>
    <w:rsid w:val="000B6A62"/>
    <w:rsid w:val="000B6A82"/>
    <w:rsid w:val="000B6CF0"/>
    <w:rsid w:val="000B7377"/>
    <w:rsid w:val="000B749C"/>
    <w:rsid w:val="000B7F54"/>
    <w:rsid w:val="000C1461"/>
    <w:rsid w:val="000C14D1"/>
    <w:rsid w:val="000C23E6"/>
    <w:rsid w:val="000C3A1D"/>
    <w:rsid w:val="000C4773"/>
    <w:rsid w:val="000C4FD2"/>
    <w:rsid w:val="000C6472"/>
    <w:rsid w:val="000C6EB2"/>
    <w:rsid w:val="000C7C24"/>
    <w:rsid w:val="000D01D9"/>
    <w:rsid w:val="000D10E9"/>
    <w:rsid w:val="000D2216"/>
    <w:rsid w:val="000D37C7"/>
    <w:rsid w:val="000D5453"/>
    <w:rsid w:val="000D5701"/>
    <w:rsid w:val="000D68FF"/>
    <w:rsid w:val="000D6B20"/>
    <w:rsid w:val="000D7888"/>
    <w:rsid w:val="000D79BB"/>
    <w:rsid w:val="000E01C9"/>
    <w:rsid w:val="000E05BC"/>
    <w:rsid w:val="000E0769"/>
    <w:rsid w:val="000E24E5"/>
    <w:rsid w:val="000E3259"/>
    <w:rsid w:val="000E3454"/>
    <w:rsid w:val="000E5DF8"/>
    <w:rsid w:val="000E6005"/>
    <w:rsid w:val="000E601E"/>
    <w:rsid w:val="000E7236"/>
    <w:rsid w:val="000E783A"/>
    <w:rsid w:val="000E7AE4"/>
    <w:rsid w:val="000F1172"/>
    <w:rsid w:val="000F12F0"/>
    <w:rsid w:val="000F16C9"/>
    <w:rsid w:val="000F2EDE"/>
    <w:rsid w:val="000F358C"/>
    <w:rsid w:val="000F35A5"/>
    <w:rsid w:val="000F52CF"/>
    <w:rsid w:val="000F5401"/>
    <w:rsid w:val="000F5BB5"/>
    <w:rsid w:val="000F5F78"/>
    <w:rsid w:val="000F5FD6"/>
    <w:rsid w:val="000F65BF"/>
    <w:rsid w:val="000F6929"/>
    <w:rsid w:val="000F6F04"/>
    <w:rsid w:val="000F7DBF"/>
    <w:rsid w:val="0010014A"/>
    <w:rsid w:val="00100639"/>
    <w:rsid w:val="001013CF"/>
    <w:rsid w:val="0010237E"/>
    <w:rsid w:val="00102544"/>
    <w:rsid w:val="0010266D"/>
    <w:rsid w:val="0010286A"/>
    <w:rsid w:val="001040CE"/>
    <w:rsid w:val="001042C7"/>
    <w:rsid w:val="00105650"/>
    <w:rsid w:val="00106CD4"/>
    <w:rsid w:val="00107149"/>
    <w:rsid w:val="00107445"/>
    <w:rsid w:val="00107B3A"/>
    <w:rsid w:val="001100DA"/>
    <w:rsid w:val="001113BE"/>
    <w:rsid w:val="00111939"/>
    <w:rsid w:val="00111C0C"/>
    <w:rsid w:val="00112547"/>
    <w:rsid w:val="00113728"/>
    <w:rsid w:val="00115096"/>
    <w:rsid w:val="001167CA"/>
    <w:rsid w:val="00116856"/>
    <w:rsid w:val="00117C75"/>
    <w:rsid w:val="00117CDC"/>
    <w:rsid w:val="00117DF9"/>
    <w:rsid w:val="0012006D"/>
    <w:rsid w:val="00120259"/>
    <w:rsid w:val="0012069A"/>
    <w:rsid w:val="00122A8B"/>
    <w:rsid w:val="001230D8"/>
    <w:rsid w:val="001234BD"/>
    <w:rsid w:val="0012398A"/>
    <w:rsid w:val="00123B94"/>
    <w:rsid w:val="00124D09"/>
    <w:rsid w:val="001253FF"/>
    <w:rsid w:val="00125DBA"/>
    <w:rsid w:val="001266BF"/>
    <w:rsid w:val="0012710F"/>
    <w:rsid w:val="001277D6"/>
    <w:rsid w:val="00127F11"/>
    <w:rsid w:val="0013085B"/>
    <w:rsid w:val="001330DD"/>
    <w:rsid w:val="00133D16"/>
    <w:rsid w:val="00135FF6"/>
    <w:rsid w:val="0013601C"/>
    <w:rsid w:val="00136D2B"/>
    <w:rsid w:val="0013794A"/>
    <w:rsid w:val="00137EB6"/>
    <w:rsid w:val="00142491"/>
    <w:rsid w:val="001429F3"/>
    <w:rsid w:val="00143186"/>
    <w:rsid w:val="00143675"/>
    <w:rsid w:val="0014474A"/>
    <w:rsid w:val="00145999"/>
    <w:rsid w:val="001460CF"/>
    <w:rsid w:val="001460FA"/>
    <w:rsid w:val="001464CE"/>
    <w:rsid w:val="00147FB4"/>
    <w:rsid w:val="0015011C"/>
    <w:rsid w:val="00150429"/>
    <w:rsid w:val="00150E1E"/>
    <w:rsid w:val="00151887"/>
    <w:rsid w:val="00151F3B"/>
    <w:rsid w:val="001537C6"/>
    <w:rsid w:val="00153F29"/>
    <w:rsid w:val="0015429E"/>
    <w:rsid w:val="0015489A"/>
    <w:rsid w:val="00154B3C"/>
    <w:rsid w:val="00154C98"/>
    <w:rsid w:val="00154FB4"/>
    <w:rsid w:val="00156D10"/>
    <w:rsid w:val="00157E6F"/>
    <w:rsid w:val="00160A1A"/>
    <w:rsid w:val="00160D3D"/>
    <w:rsid w:val="00161270"/>
    <w:rsid w:val="001641D9"/>
    <w:rsid w:val="00165715"/>
    <w:rsid w:val="001661E0"/>
    <w:rsid w:val="0016657A"/>
    <w:rsid w:val="0016725B"/>
    <w:rsid w:val="00167825"/>
    <w:rsid w:val="001717BA"/>
    <w:rsid w:val="00171A7B"/>
    <w:rsid w:val="00172A27"/>
    <w:rsid w:val="00172DC6"/>
    <w:rsid w:val="001730D7"/>
    <w:rsid w:val="0017529A"/>
    <w:rsid w:val="001758A7"/>
    <w:rsid w:val="00175C6C"/>
    <w:rsid w:val="001761FD"/>
    <w:rsid w:val="00177836"/>
    <w:rsid w:val="00180413"/>
    <w:rsid w:val="00180A61"/>
    <w:rsid w:val="00180ACB"/>
    <w:rsid w:val="001810EA"/>
    <w:rsid w:val="001826C7"/>
    <w:rsid w:val="0018396D"/>
    <w:rsid w:val="00185891"/>
    <w:rsid w:val="00186623"/>
    <w:rsid w:val="001872E3"/>
    <w:rsid w:val="001879FD"/>
    <w:rsid w:val="00187CBA"/>
    <w:rsid w:val="00187FE3"/>
    <w:rsid w:val="00190DA3"/>
    <w:rsid w:val="00190E36"/>
    <w:rsid w:val="00193758"/>
    <w:rsid w:val="001937A9"/>
    <w:rsid w:val="00193D98"/>
    <w:rsid w:val="001940F1"/>
    <w:rsid w:val="00195091"/>
    <w:rsid w:val="00195D48"/>
    <w:rsid w:val="00196543"/>
    <w:rsid w:val="00197CD0"/>
    <w:rsid w:val="001A0DF4"/>
    <w:rsid w:val="001A1025"/>
    <w:rsid w:val="001A152C"/>
    <w:rsid w:val="001A24BA"/>
    <w:rsid w:val="001A3732"/>
    <w:rsid w:val="001A43A9"/>
    <w:rsid w:val="001A5897"/>
    <w:rsid w:val="001A6632"/>
    <w:rsid w:val="001A6DCC"/>
    <w:rsid w:val="001B2523"/>
    <w:rsid w:val="001B3DBD"/>
    <w:rsid w:val="001B418D"/>
    <w:rsid w:val="001B4377"/>
    <w:rsid w:val="001B6EEA"/>
    <w:rsid w:val="001B74F5"/>
    <w:rsid w:val="001B7861"/>
    <w:rsid w:val="001B7942"/>
    <w:rsid w:val="001B7BB4"/>
    <w:rsid w:val="001C0E58"/>
    <w:rsid w:val="001C1FC7"/>
    <w:rsid w:val="001C23E7"/>
    <w:rsid w:val="001C2B3A"/>
    <w:rsid w:val="001C37AA"/>
    <w:rsid w:val="001C4803"/>
    <w:rsid w:val="001C4C9F"/>
    <w:rsid w:val="001C6F1E"/>
    <w:rsid w:val="001C6FA3"/>
    <w:rsid w:val="001C7ABE"/>
    <w:rsid w:val="001C7CD2"/>
    <w:rsid w:val="001D100C"/>
    <w:rsid w:val="001D1A56"/>
    <w:rsid w:val="001D212D"/>
    <w:rsid w:val="001D2321"/>
    <w:rsid w:val="001D25D6"/>
    <w:rsid w:val="001D2DCD"/>
    <w:rsid w:val="001D5055"/>
    <w:rsid w:val="001D58BC"/>
    <w:rsid w:val="001D59A3"/>
    <w:rsid w:val="001D629E"/>
    <w:rsid w:val="001D630C"/>
    <w:rsid w:val="001D64EE"/>
    <w:rsid w:val="001D65AE"/>
    <w:rsid w:val="001E086A"/>
    <w:rsid w:val="001E1837"/>
    <w:rsid w:val="001E201B"/>
    <w:rsid w:val="001E20B0"/>
    <w:rsid w:val="001E210A"/>
    <w:rsid w:val="001E233D"/>
    <w:rsid w:val="001E2708"/>
    <w:rsid w:val="001E272B"/>
    <w:rsid w:val="001E2B42"/>
    <w:rsid w:val="001E2B6A"/>
    <w:rsid w:val="001E309B"/>
    <w:rsid w:val="001E38F9"/>
    <w:rsid w:val="001E4717"/>
    <w:rsid w:val="001E479D"/>
    <w:rsid w:val="001E5CAC"/>
    <w:rsid w:val="001E68DF"/>
    <w:rsid w:val="001E725F"/>
    <w:rsid w:val="001E7A23"/>
    <w:rsid w:val="001F0738"/>
    <w:rsid w:val="001F0B34"/>
    <w:rsid w:val="001F1336"/>
    <w:rsid w:val="001F13DA"/>
    <w:rsid w:val="001F1AF7"/>
    <w:rsid w:val="001F1DAB"/>
    <w:rsid w:val="001F2104"/>
    <w:rsid w:val="001F2882"/>
    <w:rsid w:val="001F2F9C"/>
    <w:rsid w:val="001F3A3C"/>
    <w:rsid w:val="001F3BA0"/>
    <w:rsid w:val="001F4964"/>
    <w:rsid w:val="001F5EAF"/>
    <w:rsid w:val="001F7063"/>
    <w:rsid w:val="001F7652"/>
    <w:rsid w:val="00200571"/>
    <w:rsid w:val="00200A34"/>
    <w:rsid w:val="00202B04"/>
    <w:rsid w:val="00202C55"/>
    <w:rsid w:val="00204936"/>
    <w:rsid w:val="00204DA3"/>
    <w:rsid w:val="00204F16"/>
    <w:rsid w:val="002053C4"/>
    <w:rsid w:val="00206C70"/>
    <w:rsid w:val="00207CE6"/>
    <w:rsid w:val="002100EE"/>
    <w:rsid w:val="00210F5A"/>
    <w:rsid w:val="002111DD"/>
    <w:rsid w:val="00212685"/>
    <w:rsid w:val="0021305C"/>
    <w:rsid w:val="00215E47"/>
    <w:rsid w:val="0021704D"/>
    <w:rsid w:val="002208B1"/>
    <w:rsid w:val="00220EE5"/>
    <w:rsid w:val="00222097"/>
    <w:rsid w:val="0022270C"/>
    <w:rsid w:val="002228BA"/>
    <w:rsid w:val="0022543D"/>
    <w:rsid w:val="00225E2A"/>
    <w:rsid w:val="00226419"/>
    <w:rsid w:val="00226EB8"/>
    <w:rsid w:val="00226F04"/>
    <w:rsid w:val="00227734"/>
    <w:rsid w:val="00227D53"/>
    <w:rsid w:val="00227EF7"/>
    <w:rsid w:val="00231660"/>
    <w:rsid w:val="00233099"/>
    <w:rsid w:val="00233421"/>
    <w:rsid w:val="002348E0"/>
    <w:rsid w:val="00234F22"/>
    <w:rsid w:val="00236009"/>
    <w:rsid w:val="00236B3E"/>
    <w:rsid w:val="00237015"/>
    <w:rsid w:val="00237C93"/>
    <w:rsid w:val="00241034"/>
    <w:rsid w:val="00241148"/>
    <w:rsid w:val="002415EF"/>
    <w:rsid w:val="00241D18"/>
    <w:rsid w:val="00242E9E"/>
    <w:rsid w:val="00243306"/>
    <w:rsid w:val="002437FD"/>
    <w:rsid w:val="00244353"/>
    <w:rsid w:val="0024491C"/>
    <w:rsid w:val="00245FAF"/>
    <w:rsid w:val="0024641F"/>
    <w:rsid w:val="00246C53"/>
    <w:rsid w:val="00247A03"/>
    <w:rsid w:val="00247A95"/>
    <w:rsid w:val="00247EE9"/>
    <w:rsid w:val="002503AD"/>
    <w:rsid w:val="00252228"/>
    <w:rsid w:val="0025309E"/>
    <w:rsid w:val="00253AC1"/>
    <w:rsid w:val="00253B46"/>
    <w:rsid w:val="0025490D"/>
    <w:rsid w:val="002561E6"/>
    <w:rsid w:val="00257F64"/>
    <w:rsid w:val="00261083"/>
    <w:rsid w:val="00262839"/>
    <w:rsid w:val="00263E6C"/>
    <w:rsid w:val="002643C1"/>
    <w:rsid w:val="00264BB5"/>
    <w:rsid w:val="00265203"/>
    <w:rsid w:val="00265498"/>
    <w:rsid w:val="00265C55"/>
    <w:rsid w:val="0026695A"/>
    <w:rsid w:val="0026699C"/>
    <w:rsid w:val="0026720A"/>
    <w:rsid w:val="00270AEA"/>
    <w:rsid w:val="00271D47"/>
    <w:rsid w:val="002721D9"/>
    <w:rsid w:val="002721EA"/>
    <w:rsid w:val="00272E62"/>
    <w:rsid w:val="00274DF0"/>
    <w:rsid w:val="002750A5"/>
    <w:rsid w:val="0027735B"/>
    <w:rsid w:val="002805AA"/>
    <w:rsid w:val="00280D70"/>
    <w:rsid w:val="00280E8A"/>
    <w:rsid w:val="00281F3D"/>
    <w:rsid w:val="00282059"/>
    <w:rsid w:val="00282E12"/>
    <w:rsid w:val="002835BF"/>
    <w:rsid w:val="00285066"/>
    <w:rsid w:val="00285164"/>
    <w:rsid w:val="00285634"/>
    <w:rsid w:val="002859B4"/>
    <w:rsid w:val="00286491"/>
    <w:rsid w:val="00287DFF"/>
    <w:rsid w:val="00290E60"/>
    <w:rsid w:val="00291597"/>
    <w:rsid w:val="00293B0B"/>
    <w:rsid w:val="00294AD2"/>
    <w:rsid w:val="002952B5"/>
    <w:rsid w:val="00295A91"/>
    <w:rsid w:val="00295B8C"/>
    <w:rsid w:val="00295EA4"/>
    <w:rsid w:val="00297317"/>
    <w:rsid w:val="00297357"/>
    <w:rsid w:val="00297C93"/>
    <w:rsid w:val="002A061E"/>
    <w:rsid w:val="002A072B"/>
    <w:rsid w:val="002A1232"/>
    <w:rsid w:val="002A2590"/>
    <w:rsid w:val="002A3C7C"/>
    <w:rsid w:val="002A4956"/>
    <w:rsid w:val="002A57AD"/>
    <w:rsid w:val="002A63E5"/>
    <w:rsid w:val="002A65D6"/>
    <w:rsid w:val="002A6615"/>
    <w:rsid w:val="002A6710"/>
    <w:rsid w:val="002A722C"/>
    <w:rsid w:val="002B0725"/>
    <w:rsid w:val="002B1D66"/>
    <w:rsid w:val="002B71A5"/>
    <w:rsid w:val="002B7501"/>
    <w:rsid w:val="002B780C"/>
    <w:rsid w:val="002B7904"/>
    <w:rsid w:val="002C2136"/>
    <w:rsid w:val="002C2507"/>
    <w:rsid w:val="002C2E6E"/>
    <w:rsid w:val="002C3A48"/>
    <w:rsid w:val="002C4781"/>
    <w:rsid w:val="002C5403"/>
    <w:rsid w:val="002C5DE2"/>
    <w:rsid w:val="002C6EF6"/>
    <w:rsid w:val="002D081E"/>
    <w:rsid w:val="002D49AE"/>
    <w:rsid w:val="002D4D51"/>
    <w:rsid w:val="002D6696"/>
    <w:rsid w:val="002D75B6"/>
    <w:rsid w:val="002D7707"/>
    <w:rsid w:val="002D7725"/>
    <w:rsid w:val="002E0A13"/>
    <w:rsid w:val="002E0A25"/>
    <w:rsid w:val="002E0F92"/>
    <w:rsid w:val="002E13A6"/>
    <w:rsid w:val="002E167C"/>
    <w:rsid w:val="002E19DE"/>
    <w:rsid w:val="002E1BD1"/>
    <w:rsid w:val="002E3831"/>
    <w:rsid w:val="002E391B"/>
    <w:rsid w:val="002E40BB"/>
    <w:rsid w:val="002E4386"/>
    <w:rsid w:val="002E69BB"/>
    <w:rsid w:val="002E6D2E"/>
    <w:rsid w:val="002F1DBB"/>
    <w:rsid w:val="002F228B"/>
    <w:rsid w:val="002F3DE3"/>
    <w:rsid w:val="002F459D"/>
    <w:rsid w:val="002F4996"/>
    <w:rsid w:val="002F5375"/>
    <w:rsid w:val="002F632E"/>
    <w:rsid w:val="002F69B3"/>
    <w:rsid w:val="002F70E5"/>
    <w:rsid w:val="002F772E"/>
    <w:rsid w:val="002F7C39"/>
    <w:rsid w:val="002F7C9B"/>
    <w:rsid w:val="0030167F"/>
    <w:rsid w:val="003016AF"/>
    <w:rsid w:val="00301727"/>
    <w:rsid w:val="0030175D"/>
    <w:rsid w:val="00301F64"/>
    <w:rsid w:val="00301FA3"/>
    <w:rsid w:val="0030202F"/>
    <w:rsid w:val="00302F01"/>
    <w:rsid w:val="00303655"/>
    <w:rsid w:val="00303B63"/>
    <w:rsid w:val="00307859"/>
    <w:rsid w:val="003079D6"/>
    <w:rsid w:val="00310438"/>
    <w:rsid w:val="00310AF9"/>
    <w:rsid w:val="00313635"/>
    <w:rsid w:val="00313F79"/>
    <w:rsid w:val="0031465E"/>
    <w:rsid w:val="0031557E"/>
    <w:rsid w:val="00315742"/>
    <w:rsid w:val="003163B3"/>
    <w:rsid w:val="00317F28"/>
    <w:rsid w:val="003202F5"/>
    <w:rsid w:val="0032163E"/>
    <w:rsid w:val="003228EE"/>
    <w:rsid w:val="00322A7A"/>
    <w:rsid w:val="00323542"/>
    <w:rsid w:val="00324734"/>
    <w:rsid w:val="003248B1"/>
    <w:rsid w:val="00324A00"/>
    <w:rsid w:val="00325296"/>
    <w:rsid w:val="0032568A"/>
    <w:rsid w:val="00326213"/>
    <w:rsid w:val="00331002"/>
    <w:rsid w:val="00331E07"/>
    <w:rsid w:val="00332BE1"/>
    <w:rsid w:val="003344F6"/>
    <w:rsid w:val="003355B5"/>
    <w:rsid w:val="00335CD5"/>
    <w:rsid w:val="003369C5"/>
    <w:rsid w:val="00337753"/>
    <w:rsid w:val="00340873"/>
    <w:rsid w:val="00340ADC"/>
    <w:rsid w:val="0034102D"/>
    <w:rsid w:val="00341DEB"/>
    <w:rsid w:val="00342B0C"/>
    <w:rsid w:val="00342B14"/>
    <w:rsid w:val="003433A0"/>
    <w:rsid w:val="00345768"/>
    <w:rsid w:val="0034591F"/>
    <w:rsid w:val="0034639B"/>
    <w:rsid w:val="0034664F"/>
    <w:rsid w:val="0034697B"/>
    <w:rsid w:val="00346A3D"/>
    <w:rsid w:val="00347618"/>
    <w:rsid w:val="00347A4A"/>
    <w:rsid w:val="00347F6B"/>
    <w:rsid w:val="00350C20"/>
    <w:rsid w:val="003518A4"/>
    <w:rsid w:val="003524B8"/>
    <w:rsid w:val="00352864"/>
    <w:rsid w:val="003530F8"/>
    <w:rsid w:val="003548FA"/>
    <w:rsid w:val="00354DE5"/>
    <w:rsid w:val="00354F48"/>
    <w:rsid w:val="003551F3"/>
    <w:rsid w:val="0035560B"/>
    <w:rsid w:val="00355A74"/>
    <w:rsid w:val="00356B83"/>
    <w:rsid w:val="00356C32"/>
    <w:rsid w:val="00356F69"/>
    <w:rsid w:val="0035742F"/>
    <w:rsid w:val="00357D6C"/>
    <w:rsid w:val="0036013B"/>
    <w:rsid w:val="003606CD"/>
    <w:rsid w:val="00361266"/>
    <w:rsid w:val="00361427"/>
    <w:rsid w:val="0036458B"/>
    <w:rsid w:val="00365521"/>
    <w:rsid w:val="00366B73"/>
    <w:rsid w:val="00367266"/>
    <w:rsid w:val="00367CBD"/>
    <w:rsid w:val="00371D2F"/>
    <w:rsid w:val="0037257D"/>
    <w:rsid w:val="00373217"/>
    <w:rsid w:val="003748AD"/>
    <w:rsid w:val="00376B94"/>
    <w:rsid w:val="0038033A"/>
    <w:rsid w:val="00380447"/>
    <w:rsid w:val="0038274F"/>
    <w:rsid w:val="00384161"/>
    <w:rsid w:val="003846FE"/>
    <w:rsid w:val="0038626A"/>
    <w:rsid w:val="00387610"/>
    <w:rsid w:val="0039076D"/>
    <w:rsid w:val="00391C7C"/>
    <w:rsid w:val="00391DC2"/>
    <w:rsid w:val="00393369"/>
    <w:rsid w:val="0039371F"/>
    <w:rsid w:val="00394922"/>
    <w:rsid w:val="00395C2F"/>
    <w:rsid w:val="00396D43"/>
    <w:rsid w:val="003973D3"/>
    <w:rsid w:val="003A01E5"/>
    <w:rsid w:val="003A0892"/>
    <w:rsid w:val="003A0CAB"/>
    <w:rsid w:val="003A117E"/>
    <w:rsid w:val="003A1674"/>
    <w:rsid w:val="003A19D4"/>
    <w:rsid w:val="003A214D"/>
    <w:rsid w:val="003A449E"/>
    <w:rsid w:val="003A529A"/>
    <w:rsid w:val="003A567D"/>
    <w:rsid w:val="003A6B70"/>
    <w:rsid w:val="003A6BF3"/>
    <w:rsid w:val="003A71F3"/>
    <w:rsid w:val="003B0C9B"/>
    <w:rsid w:val="003B13E4"/>
    <w:rsid w:val="003B19F5"/>
    <w:rsid w:val="003B227C"/>
    <w:rsid w:val="003B286E"/>
    <w:rsid w:val="003B2FDB"/>
    <w:rsid w:val="003B5E9C"/>
    <w:rsid w:val="003B63C5"/>
    <w:rsid w:val="003B6590"/>
    <w:rsid w:val="003B764A"/>
    <w:rsid w:val="003C27CC"/>
    <w:rsid w:val="003C2A17"/>
    <w:rsid w:val="003C3A7F"/>
    <w:rsid w:val="003C3DD8"/>
    <w:rsid w:val="003C41F9"/>
    <w:rsid w:val="003C4A44"/>
    <w:rsid w:val="003C565D"/>
    <w:rsid w:val="003C64D8"/>
    <w:rsid w:val="003C6E36"/>
    <w:rsid w:val="003D0E0A"/>
    <w:rsid w:val="003D2401"/>
    <w:rsid w:val="003D24B4"/>
    <w:rsid w:val="003D2D09"/>
    <w:rsid w:val="003D3B22"/>
    <w:rsid w:val="003D4272"/>
    <w:rsid w:val="003D4EF3"/>
    <w:rsid w:val="003D613D"/>
    <w:rsid w:val="003E0F85"/>
    <w:rsid w:val="003E153E"/>
    <w:rsid w:val="003E170A"/>
    <w:rsid w:val="003E1D0F"/>
    <w:rsid w:val="003E4851"/>
    <w:rsid w:val="003E58D9"/>
    <w:rsid w:val="003E63CD"/>
    <w:rsid w:val="003E6488"/>
    <w:rsid w:val="003F08FA"/>
    <w:rsid w:val="003F09AB"/>
    <w:rsid w:val="003F0F58"/>
    <w:rsid w:val="003F1363"/>
    <w:rsid w:val="003F1742"/>
    <w:rsid w:val="003F24B5"/>
    <w:rsid w:val="003F3A29"/>
    <w:rsid w:val="003F61A0"/>
    <w:rsid w:val="003F7A1C"/>
    <w:rsid w:val="003F7B16"/>
    <w:rsid w:val="00400859"/>
    <w:rsid w:val="00400A7F"/>
    <w:rsid w:val="00400F9C"/>
    <w:rsid w:val="00401C5D"/>
    <w:rsid w:val="00401D58"/>
    <w:rsid w:val="004021E6"/>
    <w:rsid w:val="00402B32"/>
    <w:rsid w:val="004046F7"/>
    <w:rsid w:val="00405FB2"/>
    <w:rsid w:val="0040638D"/>
    <w:rsid w:val="00406647"/>
    <w:rsid w:val="004067A5"/>
    <w:rsid w:val="00407E02"/>
    <w:rsid w:val="00410AFE"/>
    <w:rsid w:val="00410C34"/>
    <w:rsid w:val="00410C93"/>
    <w:rsid w:val="00410D9A"/>
    <w:rsid w:val="00410FB5"/>
    <w:rsid w:val="00411B4A"/>
    <w:rsid w:val="0041250D"/>
    <w:rsid w:val="00413472"/>
    <w:rsid w:val="00413C81"/>
    <w:rsid w:val="0041597E"/>
    <w:rsid w:val="00415FB9"/>
    <w:rsid w:val="0041741A"/>
    <w:rsid w:val="00417E99"/>
    <w:rsid w:val="00422467"/>
    <w:rsid w:val="004225C6"/>
    <w:rsid w:val="00422B84"/>
    <w:rsid w:val="00423570"/>
    <w:rsid w:val="00423870"/>
    <w:rsid w:val="004260E6"/>
    <w:rsid w:val="0042744F"/>
    <w:rsid w:val="0042756B"/>
    <w:rsid w:val="0042763A"/>
    <w:rsid w:val="00427DFB"/>
    <w:rsid w:val="00427E1E"/>
    <w:rsid w:val="00427EAF"/>
    <w:rsid w:val="004311DD"/>
    <w:rsid w:val="00431BA1"/>
    <w:rsid w:val="00432024"/>
    <w:rsid w:val="004323D3"/>
    <w:rsid w:val="0043395E"/>
    <w:rsid w:val="004349C4"/>
    <w:rsid w:val="00434CCF"/>
    <w:rsid w:val="00435671"/>
    <w:rsid w:val="00435C7F"/>
    <w:rsid w:val="00436F00"/>
    <w:rsid w:val="00437210"/>
    <w:rsid w:val="0044095A"/>
    <w:rsid w:val="00441109"/>
    <w:rsid w:val="00441BC8"/>
    <w:rsid w:val="00443D18"/>
    <w:rsid w:val="00443F18"/>
    <w:rsid w:val="004454AC"/>
    <w:rsid w:val="00447BBB"/>
    <w:rsid w:val="004519B6"/>
    <w:rsid w:val="00452E53"/>
    <w:rsid w:val="0045377A"/>
    <w:rsid w:val="004558C7"/>
    <w:rsid w:val="00455DF4"/>
    <w:rsid w:val="00456020"/>
    <w:rsid w:val="0045751F"/>
    <w:rsid w:val="00461B53"/>
    <w:rsid w:val="0046242A"/>
    <w:rsid w:val="00462878"/>
    <w:rsid w:val="00463522"/>
    <w:rsid w:val="0046369E"/>
    <w:rsid w:val="0046485D"/>
    <w:rsid w:val="00465B7A"/>
    <w:rsid w:val="00465F6D"/>
    <w:rsid w:val="00467750"/>
    <w:rsid w:val="00467D56"/>
    <w:rsid w:val="00470AD0"/>
    <w:rsid w:val="00471630"/>
    <w:rsid w:val="00471D38"/>
    <w:rsid w:val="00472AA2"/>
    <w:rsid w:val="00474640"/>
    <w:rsid w:val="0047509D"/>
    <w:rsid w:val="004751F6"/>
    <w:rsid w:val="00475265"/>
    <w:rsid w:val="00475525"/>
    <w:rsid w:val="00476638"/>
    <w:rsid w:val="00477255"/>
    <w:rsid w:val="00481371"/>
    <w:rsid w:val="00482630"/>
    <w:rsid w:val="00484133"/>
    <w:rsid w:val="00484915"/>
    <w:rsid w:val="00485137"/>
    <w:rsid w:val="00485D16"/>
    <w:rsid w:val="00485FB5"/>
    <w:rsid w:val="004873A7"/>
    <w:rsid w:val="00490B2F"/>
    <w:rsid w:val="004920AB"/>
    <w:rsid w:val="00492C53"/>
    <w:rsid w:val="00494F23"/>
    <w:rsid w:val="004953EC"/>
    <w:rsid w:val="00495DFF"/>
    <w:rsid w:val="00496A05"/>
    <w:rsid w:val="004A04BC"/>
    <w:rsid w:val="004A0C58"/>
    <w:rsid w:val="004A0D29"/>
    <w:rsid w:val="004A0DE1"/>
    <w:rsid w:val="004A1022"/>
    <w:rsid w:val="004A2410"/>
    <w:rsid w:val="004A27AC"/>
    <w:rsid w:val="004A2CA3"/>
    <w:rsid w:val="004A35C8"/>
    <w:rsid w:val="004A39C4"/>
    <w:rsid w:val="004A57DF"/>
    <w:rsid w:val="004A5D69"/>
    <w:rsid w:val="004A66E6"/>
    <w:rsid w:val="004B0706"/>
    <w:rsid w:val="004B32A2"/>
    <w:rsid w:val="004B4073"/>
    <w:rsid w:val="004B7859"/>
    <w:rsid w:val="004C1DD0"/>
    <w:rsid w:val="004C1EB2"/>
    <w:rsid w:val="004C1F32"/>
    <w:rsid w:val="004C2517"/>
    <w:rsid w:val="004C2CF6"/>
    <w:rsid w:val="004C3FBF"/>
    <w:rsid w:val="004C4070"/>
    <w:rsid w:val="004C448E"/>
    <w:rsid w:val="004C64E4"/>
    <w:rsid w:val="004C710D"/>
    <w:rsid w:val="004D1016"/>
    <w:rsid w:val="004D3A62"/>
    <w:rsid w:val="004D7D78"/>
    <w:rsid w:val="004D7D81"/>
    <w:rsid w:val="004E0535"/>
    <w:rsid w:val="004E12D8"/>
    <w:rsid w:val="004E156F"/>
    <w:rsid w:val="004E55DB"/>
    <w:rsid w:val="004E6A84"/>
    <w:rsid w:val="004E7146"/>
    <w:rsid w:val="004E7284"/>
    <w:rsid w:val="004E7695"/>
    <w:rsid w:val="004F3025"/>
    <w:rsid w:val="004F35D4"/>
    <w:rsid w:val="004F36B8"/>
    <w:rsid w:val="004F38AF"/>
    <w:rsid w:val="004F38E0"/>
    <w:rsid w:val="004F4CA0"/>
    <w:rsid w:val="004F68B1"/>
    <w:rsid w:val="004F75E9"/>
    <w:rsid w:val="00500904"/>
    <w:rsid w:val="0050123A"/>
    <w:rsid w:val="00501656"/>
    <w:rsid w:val="00501AD0"/>
    <w:rsid w:val="00501E53"/>
    <w:rsid w:val="00501F66"/>
    <w:rsid w:val="00502B2F"/>
    <w:rsid w:val="0050304F"/>
    <w:rsid w:val="0050350B"/>
    <w:rsid w:val="005035D0"/>
    <w:rsid w:val="00504261"/>
    <w:rsid w:val="005043CE"/>
    <w:rsid w:val="00505CD8"/>
    <w:rsid w:val="005062DC"/>
    <w:rsid w:val="0050632D"/>
    <w:rsid w:val="00506ECD"/>
    <w:rsid w:val="00507A3A"/>
    <w:rsid w:val="005100B2"/>
    <w:rsid w:val="005106C5"/>
    <w:rsid w:val="005106C9"/>
    <w:rsid w:val="00511123"/>
    <w:rsid w:val="00511829"/>
    <w:rsid w:val="005118AA"/>
    <w:rsid w:val="00512015"/>
    <w:rsid w:val="00512D00"/>
    <w:rsid w:val="00514179"/>
    <w:rsid w:val="005141D6"/>
    <w:rsid w:val="00514E1B"/>
    <w:rsid w:val="005164F8"/>
    <w:rsid w:val="00520075"/>
    <w:rsid w:val="00520230"/>
    <w:rsid w:val="00521283"/>
    <w:rsid w:val="0052293F"/>
    <w:rsid w:val="005237B2"/>
    <w:rsid w:val="00523C6A"/>
    <w:rsid w:val="00524203"/>
    <w:rsid w:val="005242A4"/>
    <w:rsid w:val="00524693"/>
    <w:rsid w:val="0052505D"/>
    <w:rsid w:val="005251A3"/>
    <w:rsid w:val="00525E4E"/>
    <w:rsid w:val="00526206"/>
    <w:rsid w:val="0052628F"/>
    <w:rsid w:val="005309E0"/>
    <w:rsid w:val="00530AD6"/>
    <w:rsid w:val="0053139B"/>
    <w:rsid w:val="00532C25"/>
    <w:rsid w:val="00532F67"/>
    <w:rsid w:val="00534BDF"/>
    <w:rsid w:val="0053607B"/>
    <w:rsid w:val="00536A00"/>
    <w:rsid w:val="0053749A"/>
    <w:rsid w:val="00537AFE"/>
    <w:rsid w:val="00537DAE"/>
    <w:rsid w:val="00540351"/>
    <w:rsid w:val="005404D9"/>
    <w:rsid w:val="00542CEF"/>
    <w:rsid w:val="00542D04"/>
    <w:rsid w:val="005435AD"/>
    <w:rsid w:val="00543C71"/>
    <w:rsid w:val="0054470E"/>
    <w:rsid w:val="00544933"/>
    <w:rsid w:val="00544BEA"/>
    <w:rsid w:val="0054525E"/>
    <w:rsid w:val="005460D5"/>
    <w:rsid w:val="00552C49"/>
    <w:rsid w:val="0055348E"/>
    <w:rsid w:val="00556630"/>
    <w:rsid w:val="00556913"/>
    <w:rsid w:val="00557F14"/>
    <w:rsid w:val="0056121F"/>
    <w:rsid w:val="0056241D"/>
    <w:rsid w:val="0056623E"/>
    <w:rsid w:val="00566A85"/>
    <w:rsid w:val="00566EB3"/>
    <w:rsid w:val="00567161"/>
    <w:rsid w:val="00567733"/>
    <w:rsid w:val="00567ABA"/>
    <w:rsid w:val="005707AA"/>
    <w:rsid w:val="00571F99"/>
    <w:rsid w:val="0057247C"/>
    <w:rsid w:val="00573AE3"/>
    <w:rsid w:val="00574613"/>
    <w:rsid w:val="00574D27"/>
    <w:rsid w:val="00575438"/>
    <w:rsid w:val="00577A40"/>
    <w:rsid w:val="00577F44"/>
    <w:rsid w:val="005806F6"/>
    <w:rsid w:val="00580E9C"/>
    <w:rsid w:val="00586976"/>
    <w:rsid w:val="005870D4"/>
    <w:rsid w:val="005902D9"/>
    <w:rsid w:val="00590D2B"/>
    <w:rsid w:val="00590FFC"/>
    <w:rsid w:val="00591CC6"/>
    <w:rsid w:val="005923CC"/>
    <w:rsid w:val="00592557"/>
    <w:rsid w:val="00592E10"/>
    <w:rsid w:val="00593130"/>
    <w:rsid w:val="00593925"/>
    <w:rsid w:val="00596015"/>
    <w:rsid w:val="0059605E"/>
    <w:rsid w:val="00596AB7"/>
    <w:rsid w:val="00596D7C"/>
    <w:rsid w:val="005A1301"/>
    <w:rsid w:val="005A144C"/>
    <w:rsid w:val="005A1EA7"/>
    <w:rsid w:val="005A217B"/>
    <w:rsid w:val="005A2300"/>
    <w:rsid w:val="005A2995"/>
    <w:rsid w:val="005A2E3B"/>
    <w:rsid w:val="005A3929"/>
    <w:rsid w:val="005A7EDA"/>
    <w:rsid w:val="005B0724"/>
    <w:rsid w:val="005B0B0E"/>
    <w:rsid w:val="005B0DD6"/>
    <w:rsid w:val="005B10BA"/>
    <w:rsid w:val="005B1351"/>
    <w:rsid w:val="005B1948"/>
    <w:rsid w:val="005B1E46"/>
    <w:rsid w:val="005B3357"/>
    <w:rsid w:val="005B3431"/>
    <w:rsid w:val="005B3D78"/>
    <w:rsid w:val="005B523A"/>
    <w:rsid w:val="005B72D2"/>
    <w:rsid w:val="005B7761"/>
    <w:rsid w:val="005C00A8"/>
    <w:rsid w:val="005C04A5"/>
    <w:rsid w:val="005C156C"/>
    <w:rsid w:val="005C20E5"/>
    <w:rsid w:val="005C36AE"/>
    <w:rsid w:val="005C42AC"/>
    <w:rsid w:val="005C496E"/>
    <w:rsid w:val="005C4BFA"/>
    <w:rsid w:val="005C4F84"/>
    <w:rsid w:val="005C5903"/>
    <w:rsid w:val="005C5ACC"/>
    <w:rsid w:val="005C5E78"/>
    <w:rsid w:val="005C6182"/>
    <w:rsid w:val="005C6AF5"/>
    <w:rsid w:val="005C6F3E"/>
    <w:rsid w:val="005D01C6"/>
    <w:rsid w:val="005D1909"/>
    <w:rsid w:val="005D1DE8"/>
    <w:rsid w:val="005D1EF4"/>
    <w:rsid w:val="005D2489"/>
    <w:rsid w:val="005D37D0"/>
    <w:rsid w:val="005D4CBC"/>
    <w:rsid w:val="005D589B"/>
    <w:rsid w:val="005D703E"/>
    <w:rsid w:val="005D7278"/>
    <w:rsid w:val="005D73C5"/>
    <w:rsid w:val="005D77A3"/>
    <w:rsid w:val="005E0478"/>
    <w:rsid w:val="005E0972"/>
    <w:rsid w:val="005E1171"/>
    <w:rsid w:val="005E1C29"/>
    <w:rsid w:val="005E32B2"/>
    <w:rsid w:val="005E40E1"/>
    <w:rsid w:val="005E4194"/>
    <w:rsid w:val="005E5525"/>
    <w:rsid w:val="005E5E03"/>
    <w:rsid w:val="005E5FDA"/>
    <w:rsid w:val="005E6014"/>
    <w:rsid w:val="005E657B"/>
    <w:rsid w:val="005F0D88"/>
    <w:rsid w:val="005F11E2"/>
    <w:rsid w:val="005F120C"/>
    <w:rsid w:val="005F14CC"/>
    <w:rsid w:val="005F21B6"/>
    <w:rsid w:val="005F2756"/>
    <w:rsid w:val="005F3566"/>
    <w:rsid w:val="005F5712"/>
    <w:rsid w:val="005F5ED1"/>
    <w:rsid w:val="005F6BA9"/>
    <w:rsid w:val="005F7FA6"/>
    <w:rsid w:val="00600AFC"/>
    <w:rsid w:val="00600D7C"/>
    <w:rsid w:val="0060240C"/>
    <w:rsid w:val="00604CF8"/>
    <w:rsid w:val="00605547"/>
    <w:rsid w:val="00606337"/>
    <w:rsid w:val="00606613"/>
    <w:rsid w:val="00606922"/>
    <w:rsid w:val="006069D4"/>
    <w:rsid w:val="00607416"/>
    <w:rsid w:val="006076ED"/>
    <w:rsid w:val="00610069"/>
    <w:rsid w:val="006104BE"/>
    <w:rsid w:val="00610EA6"/>
    <w:rsid w:val="00611A5B"/>
    <w:rsid w:val="00613410"/>
    <w:rsid w:val="00613E29"/>
    <w:rsid w:val="0061427D"/>
    <w:rsid w:val="006144A1"/>
    <w:rsid w:val="00615008"/>
    <w:rsid w:val="00617986"/>
    <w:rsid w:val="00622D51"/>
    <w:rsid w:val="006230A6"/>
    <w:rsid w:val="00623B74"/>
    <w:rsid w:val="00623BE2"/>
    <w:rsid w:val="00623F6C"/>
    <w:rsid w:val="0062480E"/>
    <w:rsid w:val="006254A0"/>
    <w:rsid w:val="00625CF2"/>
    <w:rsid w:val="0062709B"/>
    <w:rsid w:val="006321D7"/>
    <w:rsid w:val="0063450D"/>
    <w:rsid w:val="00634C9C"/>
    <w:rsid w:val="00634D33"/>
    <w:rsid w:val="00634D6B"/>
    <w:rsid w:val="006350CE"/>
    <w:rsid w:val="0063569A"/>
    <w:rsid w:val="00636637"/>
    <w:rsid w:val="00636A07"/>
    <w:rsid w:val="006420D2"/>
    <w:rsid w:val="006428C7"/>
    <w:rsid w:val="006435E9"/>
    <w:rsid w:val="00646291"/>
    <w:rsid w:val="006463C6"/>
    <w:rsid w:val="006467F5"/>
    <w:rsid w:val="0064698B"/>
    <w:rsid w:val="00650E95"/>
    <w:rsid w:val="00654179"/>
    <w:rsid w:val="006541D2"/>
    <w:rsid w:val="00654A48"/>
    <w:rsid w:val="00655009"/>
    <w:rsid w:val="0065651B"/>
    <w:rsid w:val="00656AD7"/>
    <w:rsid w:val="00657A21"/>
    <w:rsid w:val="00657D7A"/>
    <w:rsid w:val="00660E71"/>
    <w:rsid w:val="00662544"/>
    <w:rsid w:val="00662FB2"/>
    <w:rsid w:val="006634D7"/>
    <w:rsid w:val="00663BC0"/>
    <w:rsid w:val="006640BE"/>
    <w:rsid w:val="00664607"/>
    <w:rsid w:val="006646B7"/>
    <w:rsid w:val="0066533E"/>
    <w:rsid w:val="00666958"/>
    <w:rsid w:val="00666C7A"/>
    <w:rsid w:val="00667BBA"/>
    <w:rsid w:val="00670089"/>
    <w:rsid w:val="0067013B"/>
    <w:rsid w:val="00670675"/>
    <w:rsid w:val="00670803"/>
    <w:rsid w:val="006716A7"/>
    <w:rsid w:val="00671F17"/>
    <w:rsid w:val="006721AA"/>
    <w:rsid w:val="00672DAA"/>
    <w:rsid w:val="00672E9D"/>
    <w:rsid w:val="006731E7"/>
    <w:rsid w:val="006734E7"/>
    <w:rsid w:val="006753C2"/>
    <w:rsid w:val="00675A98"/>
    <w:rsid w:val="00675DA1"/>
    <w:rsid w:val="00676483"/>
    <w:rsid w:val="00676D36"/>
    <w:rsid w:val="0067719A"/>
    <w:rsid w:val="0067773C"/>
    <w:rsid w:val="00677F90"/>
    <w:rsid w:val="00680278"/>
    <w:rsid w:val="00680317"/>
    <w:rsid w:val="00680AE4"/>
    <w:rsid w:val="00680D3D"/>
    <w:rsid w:val="00680F54"/>
    <w:rsid w:val="00681274"/>
    <w:rsid w:val="00683435"/>
    <w:rsid w:val="00683A4D"/>
    <w:rsid w:val="00684E51"/>
    <w:rsid w:val="006917A1"/>
    <w:rsid w:val="00692FDE"/>
    <w:rsid w:val="006937CB"/>
    <w:rsid w:val="00694263"/>
    <w:rsid w:val="0069443F"/>
    <w:rsid w:val="00694DF8"/>
    <w:rsid w:val="00697F6A"/>
    <w:rsid w:val="006A100B"/>
    <w:rsid w:val="006A143A"/>
    <w:rsid w:val="006A22DE"/>
    <w:rsid w:val="006A23C3"/>
    <w:rsid w:val="006A3285"/>
    <w:rsid w:val="006A35C6"/>
    <w:rsid w:val="006A4A07"/>
    <w:rsid w:val="006A511B"/>
    <w:rsid w:val="006A523C"/>
    <w:rsid w:val="006A7395"/>
    <w:rsid w:val="006A756E"/>
    <w:rsid w:val="006B2530"/>
    <w:rsid w:val="006B3321"/>
    <w:rsid w:val="006B4899"/>
    <w:rsid w:val="006B56BA"/>
    <w:rsid w:val="006B5BED"/>
    <w:rsid w:val="006B6F91"/>
    <w:rsid w:val="006B72DE"/>
    <w:rsid w:val="006B7EFF"/>
    <w:rsid w:val="006C1D37"/>
    <w:rsid w:val="006C3449"/>
    <w:rsid w:val="006C5819"/>
    <w:rsid w:val="006C5D17"/>
    <w:rsid w:val="006C5FC1"/>
    <w:rsid w:val="006C6D1C"/>
    <w:rsid w:val="006C772C"/>
    <w:rsid w:val="006C7984"/>
    <w:rsid w:val="006D01B5"/>
    <w:rsid w:val="006D06FD"/>
    <w:rsid w:val="006D1153"/>
    <w:rsid w:val="006D19D4"/>
    <w:rsid w:val="006D27B1"/>
    <w:rsid w:val="006D29EB"/>
    <w:rsid w:val="006D35A7"/>
    <w:rsid w:val="006D44E1"/>
    <w:rsid w:val="006D657D"/>
    <w:rsid w:val="006E0490"/>
    <w:rsid w:val="006E1823"/>
    <w:rsid w:val="006E21FA"/>
    <w:rsid w:val="006E2963"/>
    <w:rsid w:val="006E3197"/>
    <w:rsid w:val="006E3DDF"/>
    <w:rsid w:val="006E3FE8"/>
    <w:rsid w:val="006E412F"/>
    <w:rsid w:val="006E4F5E"/>
    <w:rsid w:val="006F0190"/>
    <w:rsid w:val="006F0A64"/>
    <w:rsid w:val="006F0FB7"/>
    <w:rsid w:val="006F2359"/>
    <w:rsid w:val="006F272D"/>
    <w:rsid w:val="006F34E9"/>
    <w:rsid w:val="006F5290"/>
    <w:rsid w:val="006F533E"/>
    <w:rsid w:val="006F55B3"/>
    <w:rsid w:val="006F5A07"/>
    <w:rsid w:val="007001FA"/>
    <w:rsid w:val="007007B1"/>
    <w:rsid w:val="0070091A"/>
    <w:rsid w:val="00700D1B"/>
    <w:rsid w:val="007010CF"/>
    <w:rsid w:val="007024B8"/>
    <w:rsid w:val="00703636"/>
    <w:rsid w:val="00704645"/>
    <w:rsid w:val="007049D8"/>
    <w:rsid w:val="00704E5D"/>
    <w:rsid w:val="00705292"/>
    <w:rsid w:val="00705739"/>
    <w:rsid w:val="00705B42"/>
    <w:rsid w:val="00706335"/>
    <w:rsid w:val="00706802"/>
    <w:rsid w:val="007077B0"/>
    <w:rsid w:val="00707988"/>
    <w:rsid w:val="00710548"/>
    <w:rsid w:val="00710D1C"/>
    <w:rsid w:val="00710E3C"/>
    <w:rsid w:val="00711109"/>
    <w:rsid w:val="0071316F"/>
    <w:rsid w:val="00713A16"/>
    <w:rsid w:val="00713F21"/>
    <w:rsid w:val="0071469E"/>
    <w:rsid w:val="00715FB5"/>
    <w:rsid w:val="00716C93"/>
    <w:rsid w:val="007171A6"/>
    <w:rsid w:val="00717300"/>
    <w:rsid w:val="0071799D"/>
    <w:rsid w:val="00717BD0"/>
    <w:rsid w:val="00717CFB"/>
    <w:rsid w:val="00722B75"/>
    <w:rsid w:val="00723BB2"/>
    <w:rsid w:val="00726088"/>
    <w:rsid w:val="00726240"/>
    <w:rsid w:val="00727775"/>
    <w:rsid w:val="00727965"/>
    <w:rsid w:val="00730921"/>
    <w:rsid w:val="00730B6A"/>
    <w:rsid w:val="007338DC"/>
    <w:rsid w:val="00733E36"/>
    <w:rsid w:val="00735A84"/>
    <w:rsid w:val="00736D88"/>
    <w:rsid w:val="00736DD2"/>
    <w:rsid w:val="00736FE0"/>
    <w:rsid w:val="007371E8"/>
    <w:rsid w:val="0074046C"/>
    <w:rsid w:val="00741B65"/>
    <w:rsid w:val="0074243B"/>
    <w:rsid w:val="00742EC4"/>
    <w:rsid w:val="00743227"/>
    <w:rsid w:val="007436B5"/>
    <w:rsid w:val="0074681C"/>
    <w:rsid w:val="00746EC2"/>
    <w:rsid w:val="00747EB5"/>
    <w:rsid w:val="00750592"/>
    <w:rsid w:val="00750AA9"/>
    <w:rsid w:val="0075156E"/>
    <w:rsid w:val="00751DFD"/>
    <w:rsid w:val="0075426B"/>
    <w:rsid w:val="00755648"/>
    <w:rsid w:val="00757324"/>
    <w:rsid w:val="00757641"/>
    <w:rsid w:val="00760BE7"/>
    <w:rsid w:val="00764955"/>
    <w:rsid w:val="00765743"/>
    <w:rsid w:val="00767998"/>
    <w:rsid w:val="00770713"/>
    <w:rsid w:val="00770AB5"/>
    <w:rsid w:val="007716CD"/>
    <w:rsid w:val="00771AFC"/>
    <w:rsid w:val="00771D8D"/>
    <w:rsid w:val="007722B5"/>
    <w:rsid w:val="0077236A"/>
    <w:rsid w:val="00772398"/>
    <w:rsid w:val="007726AA"/>
    <w:rsid w:val="00772F47"/>
    <w:rsid w:val="00774392"/>
    <w:rsid w:val="007748E5"/>
    <w:rsid w:val="0077590F"/>
    <w:rsid w:val="00775E09"/>
    <w:rsid w:val="00775EAF"/>
    <w:rsid w:val="00775FDF"/>
    <w:rsid w:val="00777024"/>
    <w:rsid w:val="0078000F"/>
    <w:rsid w:val="0078095E"/>
    <w:rsid w:val="00781626"/>
    <w:rsid w:val="00781AFA"/>
    <w:rsid w:val="00781B2D"/>
    <w:rsid w:val="00781BA3"/>
    <w:rsid w:val="00782D67"/>
    <w:rsid w:val="00783BD0"/>
    <w:rsid w:val="00784042"/>
    <w:rsid w:val="007869F0"/>
    <w:rsid w:val="00786DB5"/>
    <w:rsid w:val="0079019C"/>
    <w:rsid w:val="00790F9F"/>
    <w:rsid w:val="00791DC6"/>
    <w:rsid w:val="0079288D"/>
    <w:rsid w:val="00792CD2"/>
    <w:rsid w:val="007931C8"/>
    <w:rsid w:val="00794D1E"/>
    <w:rsid w:val="007959AC"/>
    <w:rsid w:val="00796723"/>
    <w:rsid w:val="0079726B"/>
    <w:rsid w:val="00797841"/>
    <w:rsid w:val="00797A40"/>
    <w:rsid w:val="007A1846"/>
    <w:rsid w:val="007A1919"/>
    <w:rsid w:val="007A20E0"/>
    <w:rsid w:val="007A2DA6"/>
    <w:rsid w:val="007A3A3A"/>
    <w:rsid w:val="007A4430"/>
    <w:rsid w:val="007A4D61"/>
    <w:rsid w:val="007A5DD9"/>
    <w:rsid w:val="007A64A4"/>
    <w:rsid w:val="007A67A7"/>
    <w:rsid w:val="007A73AD"/>
    <w:rsid w:val="007A7B9D"/>
    <w:rsid w:val="007B02B9"/>
    <w:rsid w:val="007B0B0D"/>
    <w:rsid w:val="007B2204"/>
    <w:rsid w:val="007B4B60"/>
    <w:rsid w:val="007B4E1B"/>
    <w:rsid w:val="007B5581"/>
    <w:rsid w:val="007B6D79"/>
    <w:rsid w:val="007B7037"/>
    <w:rsid w:val="007C0124"/>
    <w:rsid w:val="007C0842"/>
    <w:rsid w:val="007C08AD"/>
    <w:rsid w:val="007C1B6E"/>
    <w:rsid w:val="007C20BD"/>
    <w:rsid w:val="007C29B0"/>
    <w:rsid w:val="007C3750"/>
    <w:rsid w:val="007C3DBA"/>
    <w:rsid w:val="007C6E12"/>
    <w:rsid w:val="007D0A74"/>
    <w:rsid w:val="007D0EDC"/>
    <w:rsid w:val="007D0F51"/>
    <w:rsid w:val="007D10D9"/>
    <w:rsid w:val="007D14F5"/>
    <w:rsid w:val="007D1E65"/>
    <w:rsid w:val="007D3DF9"/>
    <w:rsid w:val="007D46FC"/>
    <w:rsid w:val="007D4D87"/>
    <w:rsid w:val="007D4FB3"/>
    <w:rsid w:val="007D5271"/>
    <w:rsid w:val="007D5361"/>
    <w:rsid w:val="007D6C2E"/>
    <w:rsid w:val="007D7E65"/>
    <w:rsid w:val="007E0ADF"/>
    <w:rsid w:val="007E1FB5"/>
    <w:rsid w:val="007E2B3E"/>
    <w:rsid w:val="007E30AE"/>
    <w:rsid w:val="007E3173"/>
    <w:rsid w:val="007E3498"/>
    <w:rsid w:val="007E3571"/>
    <w:rsid w:val="007E418B"/>
    <w:rsid w:val="007E43E0"/>
    <w:rsid w:val="007E56FA"/>
    <w:rsid w:val="007E5F58"/>
    <w:rsid w:val="007E6305"/>
    <w:rsid w:val="007E63CE"/>
    <w:rsid w:val="007F029F"/>
    <w:rsid w:val="007F17FC"/>
    <w:rsid w:val="007F2690"/>
    <w:rsid w:val="007F2B97"/>
    <w:rsid w:val="007F3377"/>
    <w:rsid w:val="007F541D"/>
    <w:rsid w:val="007F6999"/>
    <w:rsid w:val="007F6CB3"/>
    <w:rsid w:val="007F7139"/>
    <w:rsid w:val="008020D2"/>
    <w:rsid w:val="00802DF1"/>
    <w:rsid w:val="00802EB2"/>
    <w:rsid w:val="008033CB"/>
    <w:rsid w:val="00803969"/>
    <w:rsid w:val="00803C89"/>
    <w:rsid w:val="008041D4"/>
    <w:rsid w:val="0080432B"/>
    <w:rsid w:val="008044FF"/>
    <w:rsid w:val="0080533C"/>
    <w:rsid w:val="0080534B"/>
    <w:rsid w:val="00806A0B"/>
    <w:rsid w:val="00807318"/>
    <w:rsid w:val="00807662"/>
    <w:rsid w:val="00807954"/>
    <w:rsid w:val="00810C1B"/>
    <w:rsid w:val="00810C60"/>
    <w:rsid w:val="00810F79"/>
    <w:rsid w:val="0081156A"/>
    <w:rsid w:val="00811CDC"/>
    <w:rsid w:val="00813C0C"/>
    <w:rsid w:val="00813FE1"/>
    <w:rsid w:val="00814772"/>
    <w:rsid w:val="00814F49"/>
    <w:rsid w:val="00816923"/>
    <w:rsid w:val="00816F77"/>
    <w:rsid w:val="0081734A"/>
    <w:rsid w:val="008176A0"/>
    <w:rsid w:val="0082079B"/>
    <w:rsid w:val="00820ED6"/>
    <w:rsid w:val="0082155D"/>
    <w:rsid w:val="00821EFD"/>
    <w:rsid w:val="00823F36"/>
    <w:rsid w:val="008242F5"/>
    <w:rsid w:val="008247D9"/>
    <w:rsid w:val="00825D94"/>
    <w:rsid w:val="008264A7"/>
    <w:rsid w:val="008266A6"/>
    <w:rsid w:val="00826D42"/>
    <w:rsid w:val="00827398"/>
    <w:rsid w:val="008278CB"/>
    <w:rsid w:val="00830F57"/>
    <w:rsid w:val="00831D86"/>
    <w:rsid w:val="0083362F"/>
    <w:rsid w:val="00833AEF"/>
    <w:rsid w:val="008342AF"/>
    <w:rsid w:val="008342C3"/>
    <w:rsid w:val="008346F6"/>
    <w:rsid w:val="00835A22"/>
    <w:rsid w:val="00835F02"/>
    <w:rsid w:val="00836E30"/>
    <w:rsid w:val="00840446"/>
    <w:rsid w:val="0084287A"/>
    <w:rsid w:val="00842974"/>
    <w:rsid w:val="00843966"/>
    <w:rsid w:val="00844366"/>
    <w:rsid w:val="008452FF"/>
    <w:rsid w:val="008468A9"/>
    <w:rsid w:val="008473C7"/>
    <w:rsid w:val="00847A83"/>
    <w:rsid w:val="00850BF5"/>
    <w:rsid w:val="00852814"/>
    <w:rsid w:val="00852DB7"/>
    <w:rsid w:val="00852EBD"/>
    <w:rsid w:val="00853D80"/>
    <w:rsid w:val="00854936"/>
    <w:rsid w:val="0085550A"/>
    <w:rsid w:val="008566B6"/>
    <w:rsid w:val="0085707D"/>
    <w:rsid w:val="00857C4E"/>
    <w:rsid w:val="008601C1"/>
    <w:rsid w:val="008616EF"/>
    <w:rsid w:val="00861A7E"/>
    <w:rsid w:val="0086209C"/>
    <w:rsid w:val="00862BE3"/>
    <w:rsid w:val="008639FF"/>
    <w:rsid w:val="00863C25"/>
    <w:rsid w:val="0086432B"/>
    <w:rsid w:val="008652EC"/>
    <w:rsid w:val="008662A7"/>
    <w:rsid w:val="0086729A"/>
    <w:rsid w:val="00867C84"/>
    <w:rsid w:val="008704A4"/>
    <w:rsid w:val="008705BC"/>
    <w:rsid w:val="0087107F"/>
    <w:rsid w:val="00871139"/>
    <w:rsid w:val="00874AFC"/>
    <w:rsid w:val="00874E31"/>
    <w:rsid w:val="00875667"/>
    <w:rsid w:val="00875A42"/>
    <w:rsid w:val="00875F81"/>
    <w:rsid w:val="00876CEE"/>
    <w:rsid w:val="00880BDF"/>
    <w:rsid w:val="0088114C"/>
    <w:rsid w:val="00882BE2"/>
    <w:rsid w:val="0088486D"/>
    <w:rsid w:val="008877F0"/>
    <w:rsid w:val="008904A8"/>
    <w:rsid w:val="00890A0E"/>
    <w:rsid w:val="00892103"/>
    <w:rsid w:val="0089236E"/>
    <w:rsid w:val="00894190"/>
    <w:rsid w:val="0089454D"/>
    <w:rsid w:val="00894863"/>
    <w:rsid w:val="00894AAF"/>
    <w:rsid w:val="00894B38"/>
    <w:rsid w:val="0089646D"/>
    <w:rsid w:val="008975A4"/>
    <w:rsid w:val="008A06EC"/>
    <w:rsid w:val="008A18C0"/>
    <w:rsid w:val="008A2865"/>
    <w:rsid w:val="008A2F96"/>
    <w:rsid w:val="008A3133"/>
    <w:rsid w:val="008A3612"/>
    <w:rsid w:val="008A3D79"/>
    <w:rsid w:val="008A4057"/>
    <w:rsid w:val="008A4A6A"/>
    <w:rsid w:val="008A50D7"/>
    <w:rsid w:val="008A5E65"/>
    <w:rsid w:val="008A638D"/>
    <w:rsid w:val="008A6480"/>
    <w:rsid w:val="008A663E"/>
    <w:rsid w:val="008A66AD"/>
    <w:rsid w:val="008A722D"/>
    <w:rsid w:val="008B1BA8"/>
    <w:rsid w:val="008B2198"/>
    <w:rsid w:val="008B6E63"/>
    <w:rsid w:val="008B782A"/>
    <w:rsid w:val="008C02FD"/>
    <w:rsid w:val="008C11DB"/>
    <w:rsid w:val="008C144E"/>
    <w:rsid w:val="008C299C"/>
    <w:rsid w:val="008C3244"/>
    <w:rsid w:val="008C341F"/>
    <w:rsid w:val="008C4934"/>
    <w:rsid w:val="008C499D"/>
    <w:rsid w:val="008C510F"/>
    <w:rsid w:val="008C56FE"/>
    <w:rsid w:val="008C5AAB"/>
    <w:rsid w:val="008C6586"/>
    <w:rsid w:val="008C6769"/>
    <w:rsid w:val="008D027C"/>
    <w:rsid w:val="008D0550"/>
    <w:rsid w:val="008D2351"/>
    <w:rsid w:val="008D2D66"/>
    <w:rsid w:val="008D44A0"/>
    <w:rsid w:val="008D49F3"/>
    <w:rsid w:val="008D4A23"/>
    <w:rsid w:val="008D54A7"/>
    <w:rsid w:val="008E151E"/>
    <w:rsid w:val="008E2A27"/>
    <w:rsid w:val="008E3B3E"/>
    <w:rsid w:val="008E3F17"/>
    <w:rsid w:val="008E41E0"/>
    <w:rsid w:val="008E4808"/>
    <w:rsid w:val="008E512F"/>
    <w:rsid w:val="008E596B"/>
    <w:rsid w:val="008E66B8"/>
    <w:rsid w:val="008E75FA"/>
    <w:rsid w:val="008E7C18"/>
    <w:rsid w:val="008F01C1"/>
    <w:rsid w:val="008F109F"/>
    <w:rsid w:val="008F1483"/>
    <w:rsid w:val="008F1988"/>
    <w:rsid w:val="008F450F"/>
    <w:rsid w:val="008F6252"/>
    <w:rsid w:val="008F6D8C"/>
    <w:rsid w:val="008F78E2"/>
    <w:rsid w:val="009023F3"/>
    <w:rsid w:val="00902AB9"/>
    <w:rsid w:val="00902BA7"/>
    <w:rsid w:val="00902D27"/>
    <w:rsid w:val="0090383C"/>
    <w:rsid w:val="009039EC"/>
    <w:rsid w:val="0090464B"/>
    <w:rsid w:val="00906019"/>
    <w:rsid w:val="00907AB7"/>
    <w:rsid w:val="00910578"/>
    <w:rsid w:val="00910DE7"/>
    <w:rsid w:val="00912132"/>
    <w:rsid w:val="009129CA"/>
    <w:rsid w:val="00912AEC"/>
    <w:rsid w:val="009130B2"/>
    <w:rsid w:val="00914277"/>
    <w:rsid w:val="00914C75"/>
    <w:rsid w:val="0091547D"/>
    <w:rsid w:val="009159AB"/>
    <w:rsid w:val="00915C4F"/>
    <w:rsid w:val="009165AE"/>
    <w:rsid w:val="009174D6"/>
    <w:rsid w:val="00917B0E"/>
    <w:rsid w:val="0092035F"/>
    <w:rsid w:val="00920FFA"/>
    <w:rsid w:val="009227B8"/>
    <w:rsid w:val="00922F48"/>
    <w:rsid w:val="00922FAD"/>
    <w:rsid w:val="009248A4"/>
    <w:rsid w:val="00924917"/>
    <w:rsid w:val="00924F0A"/>
    <w:rsid w:val="00925681"/>
    <w:rsid w:val="00925C89"/>
    <w:rsid w:val="00925D5C"/>
    <w:rsid w:val="00926E80"/>
    <w:rsid w:val="0092708B"/>
    <w:rsid w:val="009270EA"/>
    <w:rsid w:val="009271F5"/>
    <w:rsid w:val="0093049D"/>
    <w:rsid w:val="00931AD1"/>
    <w:rsid w:val="00932004"/>
    <w:rsid w:val="00935625"/>
    <w:rsid w:val="00936F66"/>
    <w:rsid w:val="00937713"/>
    <w:rsid w:val="0093771B"/>
    <w:rsid w:val="00937D8C"/>
    <w:rsid w:val="00940235"/>
    <w:rsid w:val="0094051B"/>
    <w:rsid w:val="00940BEC"/>
    <w:rsid w:val="00940EA9"/>
    <w:rsid w:val="00942E54"/>
    <w:rsid w:val="00943270"/>
    <w:rsid w:val="00943CE3"/>
    <w:rsid w:val="00943D8D"/>
    <w:rsid w:val="00944592"/>
    <w:rsid w:val="0094485C"/>
    <w:rsid w:val="00944CC1"/>
    <w:rsid w:val="00945839"/>
    <w:rsid w:val="00945A4A"/>
    <w:rsid w:val="00946941"/>
    <w:rsid w:val="0094696B"/>
    <w:rsid w:val="00946ABF"/>
    <w:rsid w:val="00953333"/>
    <w:rsid w:val="0095340A"/>
    <w:rsid w:val="00953F54"/>
    <w:rsid w:val="009547B6"/>
    <w:rsid w:val="00954B4D"/>
    <w:rsid w:val="009551F9"/>
    <w:rsid w:val="00955A35"/>
    <w:rsid w:val="0095672D"/>
    <w:rsid w:val="00956DFE"/>
    <w:rsid w:val="00957648"/>
    <w:rsid w:val="009606C4"/>
    <w:rsid w:val="00961503"/>
    <w:rsid w:val="0096342A"/>
    <w:rsid w:val="00963D5F"/>
    <w:rsid w:val="0096444A"/>
    <w:rsid w:val="00965B96"/>
    <w:rsid w:val="00966820"/>
    <w:rsid w:val="00966BBD"/>
    <w:rsid w:val="00967762"/>
    <w:rsid w:val="0096788A"/>
    <w:rsid w:val="00967F6F"/>
    <w:rsid w:val="00971E57"/>
    <w:rsid w:val="009723CF"/>
    <w:rsid w:val="00972A9D"/>
    <w:rsid w:val="00972C42"/>
    <w:rsid w:val="00972C86"/>
    <w:rsid w:val="009745EB"/>
    <w:rsid w:val="00974A62"/>
    <w:rsid w:val="00975A73"/>
    <w:rsid w:val="00975BE0"/>
    <w:rsid w:val="00977343"/>
    <w:rsid w:val="009776AE"/>
    <w:rsid w:val="00977C81"/>
    <w:rsid w:val="00980037"/>
    <w:rsid w:val="00980BDD"/>
    <w:rsid w:val="009814A6"/>
    <w:rsid w:val="00981DFD"/>
    <w:rsid w:val="00983B43"/>
    <w:rsid w:val="009844DD"/>
    <w:rsid w:val="00985462"/>
    <w:rsid w:val="00987850"/>
    <w:rsid w:val="00990179"/>
    <w:rsid w:val="00991035"/>
    <w:rsid w:val="009917FB"/>
    <w:rsid w:val="00991B37"/>
    <w:rsid w:val="00992231"/>
    <w:rsid w:val="0099271F"/>
    <w:rsid w:val="009927D8"/>
    <w:rsid w:val="00994029"/>
    <w:rsid w:val="009942B5"/>
    <w:rsid w:val="00995C45"/>
    <w:rsid w:val="00995D19"/>
    <w:rsid w:val="00995F35"/>
    <w:rsid w:val="00996680"/>
    <w:rsid w:val="009967FA"/>
    <w:rsid w:val="00996E82"/>
    <w:rsid w:val="009974B5"/>
    <w:rsid w:val="009A02D9"/>
    <w:rsid w:val="009A0A29"/>
    <w:rsid w:val="009A1735"/>
    <w:rsid w:val="009A297F"/>
    <w:rsid w:val="009A2D05"/>
    <w:rsid w:val="009A2D0D"/>
    <w:rsid w:val="009A43F9"/>
    <w:rsid w:val="009A53B5"/>
    <w:rsid w:val="009A5499"/>
    <w:rsid w:val="009A5880"/>
    <w:rsid w:val="009A7FA3"/>
    <w:rsid w:val="009B10F7"/>
    <w:rsid w:val="009B18B2"/>
    <w:rsid w:val="009B2D9A"/>
    <w:rsid w:val="009B3C4A"/>
    <w:rsid w:val="009B4B3E"/>
    <w:rsid w:val="009B4C7C"/>
    <w:rsid w:val="009B5476"/>
    <w:rsid w:val="009B776E"/>
    <w:rsid w:val="009B7C1C"/>
    <w:rsid w:val="009C16EE"/>
    <w:rsid w:val="009C2583"/>
    <w:rsid w:val="009C2C42"/>
    <w:rsid w:val="009C3034"/>
    <w:rsid w:val="009C36E8"/>
    <w:rsid w:val="009C3D9F"/>
    <w:rsid w:val="009C54B9"/>
    <w:rsid w:val="009C5595"/>
    <w:rsid w:val="009C6A78"/>
    <w:rsid w:val="009C6FC6"/>
    <w:rsid w:val="009C72B8"/>
    <w:rsid w:val="009C7687"/>
    <w:rsid w:val="009D20AC"/>
    <w:rsid w:val="009D2B2E"/>
    <w:rsid w:val="009D2FDC"/>
    <w:rsid w:val="009D314F"/>
    <w:rsid w:val="009D3181"/>
    <w:rsid w:val="009D41B2"/>
    <w:rsid w:val="009D4BA0"/>
    <w:rsid w:val="009D7719"/>
    <w:rsid w:val="009D7C75"/>
    <w:rsid w:val="009D7FE0"/>
    <w:rsid w:val="009E0853"/>
    <w:rsid w:val="009E17F7"/>
    <w:rsid w:val="009E28EE"/>
    <w:rsid w:val="009E49E4"/>
    <w:rsid w:val="009E4CA2"/>
    <w:rsid w:val="009E7207"/>
    <w:rsid w:val="009E7285"/>
    <w:rsid w:val="009E737D"/>
    <w:rsid w:val="009E744B"/>
    <w:rsid w:val="009E7859"/>
    <w:rsid w:val="009E7A0E"/>
    <w:rsid w:val="009F089C"/>
    <w:rsid w:val="009F0D81"/>
    <w:rsid w:val="009F15AF"/>
    <w:rsid w:val="009F2151"/>
    <w:rsid w:val="009F2518"/>
    <w:rsid w:val="009F292C"/>
    <w:rsid w:val="009F2A0B"/>
    <w:rsid w:val="009F2A5C"/>
    <w:rsid w:val="009F2A83"/>
    <w:rsid w:val="009F2B2E"/>
    <w:rsid w:val="009F3C8C"/>
    <w:rsid w:val="009F41BD"/>
    <w:rsid w:val="00A0299E"/>
    <w:rsid w:val="00A0351C"/>
    <w:rsid w:val="00A03977"/>
    <w:rsid w:val="00A05117"/>
    <w:rsid w:val="00A05121"/>
    <w:rsid w:val="00A07C7F"/>
    <w:rsid w:val="00A10447"/>
    <w:rsid w:val="00A1077A"/>
    <w:rsid w:val="00A10FAB"/>
    <w:rsid w:val="00A11057"/>
    <w:rsid w:val="00A11454"/>
    <w:rsid w:val="00A1215A"/>
    <w:rsid w:val="00A145A0"/>
    <w:rsid w:val="00A151AA"/>
    <w:rsid w:val="00A15B4C"/>
    <w:rsid w:val="00A1610D"/>
    <w:rsid w:val="00A16589"/>
    <w:rsid w:val="00A165DC"/>
    <w:rsid w:val="00A17D17"/>
    <w:rsid w:val="00A21425"/>
    <w:rsid w:val="00A220A4"/>
    <w:rsid w:val="00A23C57"/>
    <w:rsid w:val="00A247D5"/>
    <w:rsid w:val="00A24A41"/>
    <w:rsid w:val="00A261EA"/>
    <w:rsid w:val="00A26FF7"/>
    <w:rsid w:val="00A27535"/>
    <w:rsid w:val="00A310A7"/>
    <w:rsid w:val="00A315D8"/>
    <w:rsid w:val="00A32303"/>
    <w:rsid w:val="00A34063"/>
    <w:rsid w:val="00A345B6"/>
    <w:rsid w:val="00A3496C"/>
    <w:rsid w:val="00A3540A"/>
    <w:rsid w:val="00A35E07"/>
    <w:rsid w:val="00A36452"/>
    <w:rsid w:val="00A36726"/>
    <w:rsid w:val="00A37419"/>
    <w:rsid w:val="00A37BF1"/>
    <w:rsid w:val="00A423A8"/>
    <w:rsid w:val="00A43C97"/>
    <w:rsid w:val="00A445DC"/>
    <w:rsid w:val="00A44BEA"/>
    <w:rsid w:val="00A44CCB"/>
    <w:rsid w:val="00A46518"/>
    <w:rsid w:val="00A479C0"/>
    <w:rsid w:val="00A50886"/>
    <w:rsid w:val="00A51332"/>
    <w:rsid w:val="00A515C0"/>
    <w:rsid w:val="00A51732"/>
    <w:rsid w:val="00A51A32"/>
    <w:rsid w:val="00A51EB3"/>
    <w:rsid w:val="00A5272B"/>
    <w:rsid w:val="00A54006"/>
    <w:rsid w:val="00A55114"/>
    <w:rsid w:val="00A567D4"/>
    <w:rsid w:val="00A569E8"/>
    <w:rsid w:val="00A572DB"/>
    <w:rsid w:val="00A5743E"/>
    <w:rsid w:val="00A57DFB"/>
    <w:rsid w:val="00A60FEE"/>
    <w:rsid w:val="00A619DB"/>
    <w:rsid w:val="00A624A6"/>
    <w:rsid w:val="00A62BAE"/>
    <w:rsid w:val="00A637B0"/>
    <w:rsid w:val="00A63D7F"/>
    <w:rsid w:val="00A644B2"/>
    <w:rsid w:val="00A64584"/>
    <w:rsid w:val="00A65E08"/>
    <w:rsid w:val="00A65FE7"/>
    <w:rsid w:val="00A6600A"/>
    <w:rsid w:val="00A6697D"/>
    <w:rsid w:val="00A66A2D"/>
    <w:rsid w:val="00A66AC4"/>
    <w:rsid w:val="00A679AE"/>
    <w:rsid w:val="00A700F6"/>
    <w:rsid w:val="00A70C39"/>
    <w:rsid w:val="00A70C9F"/>
    <w:rsid w:val="00A70FE2"/>
    <w:rsid w:val="00A711C6"/>
    <w:rsid w:val="00A71FB5"/>
    <w:rsid w:val="00A737C3"/>
    <w:rsid w:val="00A73C28"/>
    <w:rsid w:val="00A74D3D"/>
    <w:rsid w:val="00A74D5D"/>
    <w:rsid w:val="00A7728F"/>
    <w:rsid w:val="00A7730B"/>
    <w:rsid w:val="00A81541"/>
    <w:rsid w:val="00A829AE"/>
    <w:rsid w:val="00A830E4"/>
    <w:rsid w:val="00A83131"/>
    <w:rsid w:val="00A83C9E"/>
    <w:rsid w:val="00A83DED"/>
    <w:rsid w:val="00A84863"/>
    <w:rsid w:val="00A84A62"/>
    <w:rsid w:val="00A84AE4"/>
    <w:rsid w:val="00A95D95"/>
    <w:rsid w:val="00A96028"/>
    <w:rsid w:val="00A96047"/>
    <w:rsid w:val="00A96103"/>
    <w:rsid w:val="00A96C84"/>
    <w:rsid w:val="00A977EC"/>
    <w:rsid w:val="00AA0619"/>
    <w:rsid w:val="00AA1300"/>
    <w:rsid w:val="00AA200F"/>
    <w:rsid w:val="00AA3456"/>
    <w:rsid w:val="00AA3FD1"/>
    <w:rsid w:val="00AA443F"/>
    <w:rsid w:val="00AA4DBB"/>
    <w:rsid w:val="00AA57A0"/>
    <w:rsid w:val="00AA6900"/>
    <w:rsid w:val="00AA69B8"/>
    <w:rsid w:val="00AA7759"/>
    <w:rsid w:val="00AB0FA5"/>
    <w:rsid w:val="00AB11B3"/>
    <w:rsid w:val="00AB223A"/>
    <w:rsid w:val="00AB2B9A"/>
    <w:rsid w:val="00AB4F07"/>
    <w:rsid w:val="00AB50E0"/>
    <w:rsid w:val="00AB5196"/>
    <w:rsid w:val="00AB5ED3"/>
    <w:rsid w:val="00AB65F7"/>
    <w:rsid w:val="00AB6B0C"/>
    <w:rsid w:val="00AB70CD"/>
    <w:rsid w:val="00AB7481"/>
    <w:rsid w:val="00AB77AA"/>
    <w:rsid w:val="00AB79DB"/>
    <w:rsid w:val="00AB7F65"/>
    <w:rsid w:val="00AC02C3"/>
    <w:rsid w:val="00AC0D67"/>
    <w:rsid w:val="00AC2B04"/>
    <w:rsid w:val="00AC2E09"/>
    <w:rsid w:val="00AC33AD"/>
    <w:rsid w:val="00AC37E5"/>
    <w:rsid w:val="00AC4674"/>
    <w:rsid w:val="00AC4898"/>
    <w:rsid w:val="00AC48B3"/>
    <w:rsid w:val="00AC7626"/>
    <w:rsid w:val="00AC7AC9"/>
    <w:rsid w:val="00AD0477"/>
    <w:rsid w:val="00AD0621"/>
    <w:rsid w:val="00AD08A3"/>
    <w:rsid w:val="00AD22DE"/>
    <w:rsid w:val="00AD24E3"/>
    <w:rsid w:val="00AD380C"/>
    <w:rsid w:val="00AD58EC"/>
    <w:rsid w:val="00AD748B"/>
    <w:rsid w:val="00AD7B20"/>
    <w:rsid w:val="00AE1920"/>
    <w:rsid w:val="00AE263B"/>
    <w:rsid w:val="00AE2973"/>
    <w:rsid w:val="00AE3014"/>
    <w:rsid w:val="00AE35A4"/>
    <w:rsid w:val="00AE38AB"/>
    <w:rsid w:val="00AE5971"/>
    <w:rsid w:val="00AE5D62"/>
    <w:rsid w:val="00AE64DB"/>
    <w:rsid w:val="00AE72EC"/>
    <w:rsid w:val="00AE7519"/>
    <w:rsid w:val="00AF01B3"/>
    <w:rsid w:val="00AF0B91"/>
    <w:rsid w:val="00AF0F13"/>
    <w:rsid w:val="00AF0F15"/>
    <w:rsid w:val="00AF1969"/>
    <w:rsid w:val="00AF1F22"/>
    <w:rsid w:val="00AF2180"/>
    <w:rsid w:val="00AF338F"/>
    <w:rsid w:val="00AF3718"/>
    <w:rsid w:val="00AF3812"/>
    <w:rsid w:val="00AF3947"/>
    <w:rsid w:val="00AF556F"/>
    <w:rsid w:val="00AF671D"/>
    <w:rsid w:val="00AF7992"/>
    <w:rsid w:val="00B00545"/>
    <w:rsid w:val="00B00AB3"/>
    <w:rsid w:val="00B011FE"/>
    <w:rsid w:val="00B031EF"/>
    <w:rsid w:val="00B032FE"/>
    <w:rsid w:val="00B033C3"/>
    <w:rsid w:val="00B038AE"/>
    <w:rsid w:val="00B03FE9"/>
    <w:rsid w:val="00B05D4B"/>
    <w:rsid w:val="00B0669E"/>
    <w:rsid w:val="00B06739"/>
    <w:rsid w:val="00B077BA"/>
    <w:rsid w:val="00B07EF5"/>
    <w:rsid w:val="00B07F89"/>
    <w:rsid w:val="00B10B2D"/>
    <w:rsid w:val="00B116AF"/>
    <w:rsid w:val="00B12133"/>
    <w:rsid w:val="00B14837"/>
    <w:rsid w:val="00B14C52"/>
    <w:rsid w:val="00B14C9D"/>
    <w:rsid w:val="00B14DF2"/>
    <w:rsid w:val="00B168D4"/>
    <w:rsid w:val="00B200AA"/>
    <w:rsid w:val="00B206CB"/>
    <w:rsid w:val="00B21DED"/>
    <w:rsid w:val="00B22021"/>
    <w:rsid w:val="00B230AC"/>
    <w:rsid w:val="00B23A86"/>
    <w:rsid w:val="00B2511D"/>
    <w:rsid w:val="00B251E0"/>
    <w:rsid w:val="00B25B64"/>
    <w:rsid w:val="00B269CD"/>
    <w:rsid w:val="00B26BC6"/>
    <w:rsid w:val="00B27A42"/>
    <w:rsid w:val="00B27BC4"/>
    <w:rsid w:val="00B27ED6"/>
    <w:rsid w:val="00B30883"/>
    <w:rsid w:val="00B31042"/>
    <w:rsid w:val="00B32A4C"/>
    <w:rsid w:val="00B32D4B"/>
    <w:rsid w:val="00B32E50"/>
    <w:rsid w:val="00B3300D"/>
    <w:rsid w:val="00B33304"/>
    <w:rsid w:val="00B34073"/>
    <w:rsid w:val="00B34878"/>
    <w:rsid w:val="00B349ED"/>
    <w:rsid w:val="00B34F08"/>
    <w:rsid w:val="00B34FF0"/>
    <w:rsid w:val="00B36A32"/>
    <w:rsid w:val="00B37410"/>
    <w:rsid w:val="00B400C2"/>
    <w:rsid w:val="00B402ED"/>
    <w:rsid w:val="00B407DA"/>
    <w:rsid w:val="00B40F7B"/>
    <w:rsid w:val="00B418B5"/>
    <w:rsid w:val="00B42132"/>
    <w:rsid w:val="00B4216A"/>
    <w:rsid w:val="00B42F19"/>
    <w:rsid w:val="00B43901"/>
    <w:rsid w:val="00B478C3"/>
    <w:rsid w:val="00B479FB"/>
    <w:rsid w:val="00B51093"/>
    <w:rsid w:val="00B52715"/>
    <w:rsid w:val="00B5360F"/>
    <w:rsid w:val="00B53A5A"/>
    <w:rsid w:val="00B5496C"/>
    <w:rsid w:val="00B54F73"/>
    <w:rsid w:val="00B552A3"/>
    <w:rsid w:val="00B571E6"/>
    <w:rsid w:val="00B5746F"/>
    <w:rsid w:val="00B57B50"/>
    <w:rsid w:val="00B600D8"/>
    <w:rsid w:val="00B61348"/>
    <w:rsid w:val="00B6263F"/>
    <w:rsid w:val="00B630EE"/>
    <w:rsid w:val="00B651BD"/>
    <w:rsid w:val="00B6523D"/>
    <w:rsid w:val="00B6603F"/>
    <w:rsid w:val="00B66CCC"/>
    <w:rsid w:val="00B67114"/>
    <w:rsid w:val="00B715B7"/>
    <w:rsid w:val="00B727CE"/>
    <w:rsid w:val="00B72972"/>
    <w:rsid w:val="00B72DFC"/>
    <w:rsid w:val="00B72E0A"/>
    <w:rsid w:val="00B75449"/>
    <w:rsid w:val="00B75BF7"/>
    <w:rsid w:val="00B76396"/>
    <w:rsid w:val="00B80B0E"/>
    <w:rsid w:val="00B817CF"/>
    <w:rsid w:val="00B83272"/>
    <w:rsid w:val="00B83858"/>
    <w:rsid w:val="00B83D62"/>
    <w:rsid w:val="00B83E56"/>
    <w:rsid w:val="00B84A28"/>
    <w:rsid w:val="00B852FF"/>
    <w:rsid w:val="00B85D48"/>
    <w:rsid w:val="00B86174"/>
    <w:rsid w:val="00B867EB"/>
    <w:rsid w:val="00B87B19"/>
    <w:rsid w:val="00B87E13"/>
    <w:rsid w:val="00B90CA5"/>
    <w:rsid w:val="00B917E7"/>
    <w:rsid w:val="00B91910"/>
    <w:rsid w:val="00B93104"/>
    <w:rsid w:val="00B931A4"/>
    <w:rsid w:val="00B93718"/>
    <w:rsid w:val="00B94A03"/>
    <w:rsid w:val="00B94C85"/>
    <w:rsid w:val="00B9545B"/>
    <w:rsid w:val="00B95B32"/>
    <w:rsid w:val="00BA1CD7"/>
    <w:rsid w:val="00BA1E4E"/>
    <w:rsid w:val="00BA3DBA"/>
    <w:rsid w:val="00BA3E77"/>
    <w:rsid w:val="00BA4450"/>
    <w:rsid w:val="00BA45DC"/>
    <w:rsid w:val="00BA527C"/>
    <w:rsid w:val="00BA56A7"/>
    <w:rsid w:val="00BA5E02"/>
    <w:rsid w:val="00BA5EAD"/>
    <w:rsid w:val="00BA6DB6"/>
    <w:rsid w:val="00BA6DC9"/>
    <w:rsid w:val="00BB0DCD"/>
    <w:rsid w:val="00BB2A53"/>
    <w:rsid w:val="00BB3AD9"/>
    <w:rsid w:val="00BB3CA5"/>
    <w:rsid w:val="00BB433D"/>
    <w:rsid w:val="00BB45DD"/>
    <w:rsid w:val="00BB5B76"/>
    <w:rsid w:val="00BB5D21"/>
    <w:rsid w:val="00BB6F1E"/>
    <w:rsid w:val="00BB724E"/>
    <w:rsid w:val="00BB7494"/>
    <w:rsid w:val="00BC016D"/>
    <w:rsid w:val="00BC2390"/>
    <w:rsid w:val="00BC24E1"/>
    <w:rsid w:val="00BC3B8E"/>
    <w:rsid w:val="00BC4469"/>
    <w:rsid w:val="00BC4775"/>
    <w:rsid w:val="00BC546C"/>
    <w:rsid w:val="00BC7413"/>
    <w:rsid w:val="00BC753C"/>
    <w:rsid w:val="00BD09AF"/>
    <w:rsid w:val="00BD136C"/>
    <w:rsid w:val="00BD4745"/>
    <w:rsid w:val="00BD5B3C"/>
    <w:rsid w:val="00BD75ED"/>
    <w:rsid w:val="00BE07A9"/>
    <w:rsid w:val="00BE084D"/>
    <w:rsid w:val="00BE098D"/>
    <w:rsid w:val="00BE428C"/>
    <w:rsid w:val="00BE4A6C"/>
    <w:rsid w:val="00BE5491"/>
    <w:rsid w:val="00BE57C1"/>
    <w:rsid w:val="00BF01F5"/>
    <w:rsid w:val="00BF1176"/>
    <w:rsid w:val="00BF46A7"/>
    <w:rsid w:val="00BF4ADB"/>
    <w:rsid w:val="00BF4D96"/>
    <w:rsid w:val="00BF5230"/>
    <w:rsid w:val="00BF6307"/>
    <w:rsid w:val="00BF7A28"/>
    <w:rsid w:val="00BF7CCE"/>
    <w:rsid w:val="00C02269"/>
    <w:rsid w:val="00C02E19"/>
    <w:rsid w:val="00C04072"/>
    <w:rsid w:val="00C04C2F"/>
    <w:rsid w:val="00C05690"/>
    <w:rsid w:val="00C1090C"/>
    <w:rsid w:val="00C1209D"/>
    <w:rsid w:val="00C144DB"/>
    <w:rsid w:val="00C159C7"/>
    <w:rsid w:val="00C15B26"/>
    <w:rsid w:val="00C16CCA"/>
    <w:rsid w:val="00C176A9"/>
    <w:rsid w:val="00C17705"/>
    <w:rsid w:val="00C177AD"/>
    <w:rsid w:val="00C20D8D"/>
    <w:rsid w:val="00C21574"/>
    <w:rsid w:val="00C21766"/>
    <w:rsid w:val="00C22D61"/>
    <w:rsid w:val="00C23214"/>
    <w:rsid w:val="00C2329C"/>
    <w:rsid w:val="00C23675"/>
    <w:rsid w:val="00C23C31"/>
    <w:rsid w:val="00C23FD0"/>
    <w:rsid w:val="00C240C8"/>
    <w:rsid w:val="00C26513"/>
    <w:rsid w:val="00C2653B"/>
    <w:rsid w:val="00C310C9"/>
    <w:rsid w:val="00C32088"/>
    <w:rsid w:val="00C328C9"/>
    <w:rsid w:val="00C32C04"/>
    <w:rsid w:val="00C339A4"/>
    <w:rsid w:val="00C3668D"/>
    <w:rsid w:val="00C36891"/>
    <w:rsid w:val="00C37080"/>
    <w:rsid w:val="00C37F72"/>
    <w:rsid w:val="00C37FC8"/>
    <w:rsid w:val="00C4017D"/>
    <w:rsid w:val="00C41EF6"/>
    <w:rsid w:val="00C420C1"/>
    <w:rsid w:val="00C422E6"/>
    <w:rsid w:val="00C44A21"/>
    <w:rsid w:val="00C44A38"/>
    <w:rsid w:val="00C44E91"/>
    <w:rsid w:val="00C45963"/>
    <w:rsid w:val="00C470F8"/>
    <w:rsid w:val="00C472B8"/>
    <w:rsid w:val="00C473C0"/>
    <w:rsid w:val="00C47A0B"/>
    <w:rsid w:val="00C47E19"/>
    <w:rsid w:val="00C502C7"/>
    <w:rsid w:val="00C50375"/>
    <w:rsid w:val="00C51574"/>
    <w:rsid w:val="00C5266C"/>
    <w:rsid w:val="00C52673"/>
    <w:rsid w:val="00C53124"/>
    <w:rsid w:val="00C53B2E"/>
    <w:rsid w:val="00C544AC"/>
    <w:rsid w:val="00C572B0"/>
    <w:rsid w:val="00C57831"/>
    <w:rsid w:val="00C57DD2"/>
    <w:rsid w:val="00C60B6A"/>
    <w:rsid w:val="00C61216"/>
    <w:rsid w:val="00C6160A"/>
    <w:rsid w:val="00C63D6E"/>
    <w:rsid w:val="00C63E60"/>
    <w:rsid w:val="00C648F3"/>
    <w:rsid w:val="00C64DE5"/>
    <w:rsid w:val="00C65711"/>
    <w:rsid w:val="00C66943"/>
    <w:rsid w:val="00C66AC4"/>
    <w:rsid w:val="00C67D38"/>
    <w:rsid w:val="00C721C5"/>
    <w:rsid w:val="00C72B08"/>
    <w:rsid w:val="00C73211"/>
    <w:rsid w:val="00C74BAB"/>
    <w:rsid w:val="00C74D7D"/>
    <w:rsid w:val="00C75849"/>
    <w:rsid w:val="00C76ECD"/>
    <w:rsid w:val="00C77235"/>
    <w:rsid w:val="00C77262"/>
    <w:rsid w:val="00C80D99"/>
    <w:rsid w:val="00C80F82"/>
    <w:rsid w:val="00C80FDF"/>
    <w:rsid w:val="00C827E6"/>
    <w:rsid w:val="00C83500"/>
    <w:rsid w:val="00C84D18"/>
    <w:rsid w:val="00C84E04"/>
    <w:rsid w:val="00C855FA"/>
    <w:rsid w:val="00C85C43"/>
    <w:rsid w:val="00C864CE"/>
    <w:rsid w:val="00C90463"/>
    <w:rsid w:val="00C90BD4"/>
    <w:rsid w:val="00C910BE"/>
    <w:rsid w:val="00C91B52"/>
    <w:rsid w:val="00C922BE"/>
    <w:rsid w:val="00C92E16"/>
    <w:rsid w:val="00C92FBC"/>
    <w:rsid w:val="00C942D7"/>
    <w:rsid w:val="00C949A2"/>
    <w:rsid w:val="00C94B43"/>
    <w:rsid w:val="00C96A12"/>
    <w:rsid w:val="00C96EBD"/>
    <w:rsid w:val="00CA0D31"/>
    <w:rsid w:val="00CA14BE"/>
    <w:rsid w:val="00CA1A83"/>
    <w:rsid w:val="00CA2168"/>
    <w:rsid w:val="00CA2836"/>
    <w:rsid w:val="00CA2B1D"/>
    <w:rsid w:val="00CA2F46"/>
    <w:rsid w:val="00CA3F71"/>
    <w:rsid w:val="00CA41EC"/>
    <w:rsid w:val="00CA4900"/>
    <w:rsid w:val="00CA5844"/>
    <w:rsid w:val="00CA5ECC"/>
    <w:rsid w:val="00CA65AC"/>
    <w:rsid w:val="00CA6E66"/>
    <w:rsid w:val="00CA7415"/>
    <w:rsid w:val="00CA7A8A"/>
    <w:rsid w:val="00CA7C77"/>
    <w:rsid w:val="00CB0071"/>
    <w:rsid w:val="00CB0925"/>
    <w:rsid w:val="00CB265C"/>
    <w:rsid w:val="00CB3759"/>
    <w:rsid w:val="00CB4540"/>
    <w:rsid w:val="00CB4601"/>
    <w:rsid w:val="00CB6222"/>
    <w:rsid w:val="00CB69F4"/>
    <w:rsid w:val="00CB6D6E"/>
    <w:rsid w:val="00CB7A07"/>
    <w:rsid w:val="00CB7AE3"/>
    <w:rsid w:val="00CB7DBA"/>
    <w:rsid w:val="00CC01BD"/>
    <w:rsid w:val="00CC1922"/>
    <w:rsid w:val="00CC2E5C"/>
    <w:rsid w:val="00CC3305"/>
    <w:rsid w:val="00CC4CE5"/>
    <w:rsid w:val="00CC59BB"/>
    <w:rsid w:val="00CC5AE5"/>
    <w:rsid w:val="00CC70BF"/>
    <w:rsid w:val="00CC7BDF"/>
    <w:rsid w:val="00CC7DC1"/>
    <w:rsid w:val="00CD08FF"/>
    <w:rsid w:val="00CD0FD9"/>
    <w:rsid w:val="00CD1274"/>
    <w:rsid w:val="00CD1A92"/>
    <w:rsid w:val="00CD2AA1"/>
    <w:rsid w:val="00CD535A"/>
    <w:rsid w:val="00CD635D"/>
    <w:rsid w:val="00CD7194"/>
    <w:rsid w:val="00CD72E9"/>
    <w:rsid w:val="00CD7CED"/>
    <w:rsid w:val="00CD7F23"/>
    <w:rsid w:val="00CE0367"/>
    <w:rsid w:val="00CE03E6"/>
    <w:rsid w:val="00CE04C7"/>
    <w:rsid w:val="00CE05CD"/>
    <w:rsid w:val="00CE1702"/>
    <w:rsid w:val="00CE381D"/>
    <w:rsid w:val="00CE4344"/>
    <w:rsid w:val="00CE4FE1"/>
    <w:rsid w:val="00CE543A"/>
    <w:rsid w:val="00CE5C1F"/>
    <w:rsid w:val="00CE7286"/>
    <w:rsid w:val="00CE7D98"/>
    <w:rsid w:val="00CF0A80"/>
    <w:rsid w:val="00CF0E02"/>
    <w:rsid w:val="00CF156B"/>
    <w:rsid w:val="00CF1A7D"/>
    <w:rsid w:val="00CF1E02"/>
    <w:rsid w:val="00CF1E1F"/>
    <w:rsid w:val="00CF1EF9"/>
    <w:rsid w:val="00CF30E0"/>
    <w:rsid w:val="00CF3177"/>
    <w:rsid w:val="00CF597A"/>
    <w:rsid w:val="00CF7B3E"/>
    <w:rsid w:val="00CF7BFF"/>
    <w:rsid w:val="00CF7D10"/>
    <w:rsid w:val="00D008E5"/>
    <w:rsid w:val="00D01A51"/>
    <w:rsid w:val="00D01ECF"/>
    <w:rsid w:val="00D021F0"/>
    <w:rsid w:val="00D02779"/>
    <w:rsid w:val="00D02CAD"/>
    <w:rsid w:val="00D02D75"/>
    <w:rsid w:val="00D042B0"/>
    <w:rsid w:val="00D05AFA"/>
    <w:rsid w:val="00D05BAA"/>
    <w:rsid w:val="00D05DDD"/>
    <w:rsid w:val="00D05F6E"/>
    <w:rsid w:val="00D07484"/>
    <w:rsid w:val="00D07805"/>
    <w:rsid w:val="00D07D43"/>
    <w:rsid w:val="00D10578"/>
    <w:rsid w:val="00D12FE3"/>
    <w:rsid w:val="00D13B7A"/>
    <w:rsid w:val="00D13D02"/>
    <w:rsid w:val="00D14493"/>
    <w:rsid w:val="00D15748"/>
    <w:rsid w:val="00D157A5"/>
    <w:rsid w:val="00D15DB9"/>
    <w:rsid w:val="00D1691B"/>
    <w:rsid w:val="00D16DDB"/>
    <w:rsid w:val="00D16F5C"/>
    <w:rsid w:val="00D21346"/>
    <w:rsid w:val="00D21E36"/>
    <w:rsid w:val="00D22B63"/>
    <w:rsid w:val="00D22C4B"/>
    <w:rsid w:val="00D22F7C"/>
    <w:rsid w:val="00D230C7"/>
    <w:rsid w:val="00D232B6"/>
    <w:rsid w:val="00D23E7D"/>
    <w:rsid w:val="00D2405F"/>
    <w:rsid w:val="00D245CF"/>
    <w:rsid w:val="00D25404"/>
    <w:rsid w:val="00D255B9"/>
    <w:rsid w:val="00D27566"/>
    <w:rsid w:val="00D27F2E"/>
    <w:rsid w:val="00D30C7F"/>
    <w:rsid w:val="00D317DB"/>
    <w:rsid w:val="00D33AF3"/>
    <w:rsid w:val="00D33F15"/>
    <w:rsid w:val="00D363DD"/>
    <w:rsid w:val="00D36935"/>
    <w:rsid w:val="00D36BD8"/>
    <w:rsid w:val="00D41187"/>
    <w:rsid w:val="00D412EF"/>
    <w:rsid w:val="00D41BA9"/>
    <w:rsid w:val="00D41DD9"/>
    <w:rsid w:val="00D4409C"/>
    <w:rsid w:val="00D4449D"/>
    <w:rsid w:val="00D4571F"/>
    <w:rsid w:val="00D458DA"/>
    <w:rsid w:val="00D46FE7"/>
    <w:rsid w:val="00D47217"/>
    <w:rsid w:val="00D5092F"/>
    <w:rsid w:val="00D52376"/>
    <w:rsid w:val="00D52531"/>
    <w:rsid w:val="00D534BD"/>
    <w:rsid w:val="00D54475"/>
    <w:rsid w:val="00D546AD"/>
    <w:rsid w:val="00D55A9E"/>
    <w:rsid w:val="00D55D20"/>
    <w:rsid w:val="00D57CF1"/>
    <w:rsid w:val="00D60272"/>
    <w:rsid w:val="00D612C2"/>
    <w:rsid w:val="00D61E40"/>
    <w:rsid w:val="00D64E3B"/>
    <w:rsid w:val="00D654A1"/>
    <w:rsid w:val="00D658B3"/>
    <w:rsid w:val="00D70AAC"/>
    <w:rsid w:val="00D73F21"/>
    <w:rsid w:val="00D73FC3"/>
    <w:rsid w:val="00D743BF"/>
    <w:rsid w:val="00D745E0"/>
    <w:rsid w:val="00D74DF1"/>
    <w:rsid w:val="00D75B98"/>
    <w:rsid w:val="00D76AA3"/>
    <w:rsid w:val="00D8032A"/>
    <w:rsid w:val="00D8053F"/>
    <w:rsid w:val="00D80604"/>
    <w:rsid w:val="00D80D4F"/>
    <w:rsid w:val="00D812EC"/>
    <w:rsid w:val="00D832A7"/>
    <w:rsid w:val="00D83F0F"/>
    <w:rsid w:val="00D85758"/>
    <w:rsid w:val="00D86717"/>
    <w:rsid w:val="00D923B5"/>
    <w:rsid w:val="00D929F4"/>
    <w:rsid w:val="00D9333A"/>
    <w:rsid w:val="00D934BF"/>
    <w:rsid w:val="00D94163"/>
    <w:rsid w:val="00D941CD"/>
    <w:rsid w:val="00D94B3B"/>
    <w:rsid w:val="00D94B3C"/>
    <w:rsid w:val="00D94DB1"/>
    <w:rsid w:val="00D95D4A"/>
    <w:rsid w:val="00DA06A8"/>
    <w:rsid w:val="00DA086B"/>
    <w:rsid w:val="00DA1D7A"/>
    <w:rsid w:val="00DA265E"/>
    <w:rsid w:val="00DA3163"/>
    <w:rsid w:val="00DA3D82"/>
    <w:rsid w:val="00DA3E80"/>
    <w:rsid w:val="00DA4097"/>
    <w:rsid w:val="00DA4232"/>
    <w:rsid w:val="00DA44C1"/>
    <w:rsid w:val="00DA6677"/>
    <w:rsid w:val="00DA6834"/>
    <w:rsid w:val="00DA711B"/>
    <w:rsid w:val="00DA7428"/>
    <w:rsid w:val="00DA7BE9"/>
    <w:rsid w:val="00DA7E05"/>
    <w:rsid w:val="00DA7EE9"/>
    <w:rsid w:val="00DB051B"/>
    <w:rsid w:val="00DB0A44"/>
    <w:rsid w:val="00DB17E3"/>
    <w:rsid w:val="00DB1F69"/>
    <w:rsid w:val="00DB2360"/>
    <w:rsid w:val="00DB36ED"/>
    <w:rsid w:val="00DB4190"/>
    <w:rsid w:val="00DB4794"/>
    <w:rsid w:val="00DB4D23"/>
    <w:rsid w:val="00DB4DEA"/>
    <w:rsid w:val="00DB51C9"/>
    <w:rsid w:val="00DB5B8F"/>
    <w:rsid w:val="00DB5C3E"/>
    <w:rsid w:val="00DB628E"/>
    <w:rsid w:val="00DB6762"/>
    <w:rsid w:val="00DB6DFE"/>
    <w:rsid w:val="00DB6EFB"/>
    <w:rsid w:val="00DC0895"/>
    <w:rsid w:val="00DC0F27"/>
    <w:rsid w:val="00DC1348"/>
    <w:rsid w:val="00DC1AC9"/>
    <w:rsid w:val="00DC25BD"/>
    <w:rsid w:val="00DC4714"/>
    <w:rsid w:val="00DC6214"/>
    <w:rsid w:val="00DC68FF"/>
    <w:rsid w:val="00DC69E0"/>
    <w:rsid w:val="00DC782B"/>
    <w:rsid w:val="00DD01AE"/>
    <w:rsid w:val="00DD0754"/>
    <w:rsid w:val="00DD1A2E"/>
    <w:rsid w:val="00DD1FA7"/>
    <w:rsid w:val="00DD3F9F"/>
    <w:rsid w:val="00DD4A01"/>
    <w:rsid w:val="00DD54FD"/>
    <w:rsid w:val="00DD6F04"/>
    <w:rsid w:val="00DD7A02"/>
    <w:rsid w:val="00DE5A13"/>
    <w:rsid w:val="00DE7179"/>
    <w:rsid w:val="00DF0886"/>
    <w:rsid w:val="00DF156F"/>
    <w:rsid w:val="00DF1C35"/>
    <w:rsid w:val="00DF24E3"/>
    <w:rsid w:val="00DF2873"/>
    <w:rsid w:val="00DF32EB"/>
    <w:rsid w:val="00DF3ADE"/>
    <w:rsid w:val="00DF3D63"/>
    <w:rsid w:val="00DF4960"/>
    <w:rsid w:val="00DF5425"/>
    <w:rsid w:val="00DF58B3"/>
    <w:rsid w:val="00DF7042"/>
    <w:rsid w:val="00DF782C"/>
    <w:rsid w:val="00DF79B5"/>
    <w:rsid w:val="00E02CEA"/>
    <w:rsid w:val="00E030A0"/>
    <w:rsid w:val="00E03253"/>
    <w:rsid w:val="00E04F63"/>
    <w:rsid w:val="00E0549C"/>
    <w:rsid w:val="00E05704"/>
    <w:rsid w:val="00E06106"/>
    <w:rsid w:val="00E06E27"/>
    <w:rsid w:val="00E075A1"/>
    <w:rsid w:val="00E079A9"/>
    <w:rsid w:val="00E10462"/>
    <w:rsid w:val="00E10661"/>
    <w:rsid w:val="00E11A2C"/>
    <w:rsid w:val="00E124E3"/>
    <w:rsid w:val="00E1252B"/>
    <w:rsid w:val="00E12E68"/>
    <w:rsid w:val="00E14812"/>
    <w:rsid w:val="00E14DE9"/>
    <w:rsid w:val="00E15DDE"/>
    <w:rsid w:val="00E169D7"/>
    <w:rsid w:val="00E1781D"/>
    <w:rsid w:val="00E17F19"/>
    <w:rsid w:val="00E20253"/>
    <w:rsid w:val="00E2031F"/>
    <w:rsid w:val="00E204DA"/>
    <w:rsid w:val="00E218E4"/>
    <w:rsid w:val="00E2314C"/>
    <w:rsid w:val="00E2339E"/>
    <w:rsid w:val="00E234FF"/>
    <w:rsid w:val="00E24033"/>
    <w:rsid w:val="00E24491"/>
    <w:rsid w:val="00E24884"/>
    <w:rsid w:val="00E24FEE"/>
    <w:rsid w:val="00E25773"/>
    <w:rsid w:val="00E26EA5"/>
    <w:rsid w:val="00E26F1B"/>
    <w:rsid w:val="00E276DB"/>
    <w:rsid w:val="00E276F5"/>
    <w:rsid w:val="00E27E7D"/>
    <w:rsid w:val="00E30877"/>
    <w:rsid w:val="00E3245B"/>
    <w:rsid w:val="00E3353D"/>
    <w:rsid w:val="00E3362F"/>
    <w:rsid w:val="00E3504A"/>
    <w:rsid w:val="00E3707B"/>
    <w:rsid w:val="00E376D8"/>
    <w:rsid w:val="00E37E43"/>
    <w:rsid w:val="00E41568"/>
    <w:rsid w:val="00E4199A"/>
    <w:rsid w:val="00E42144"/>
    <w:rsid w:val="00E453F7"/>
    <w:rsid w:val="00E466C6"/>
    <w:rsid w:val="00E47822"/>
    <w:rsid w:val="00E47B7A"/>
    <w:rsid w:val="00E50685"/>
    <w:rsid w:val="00E50B62"/>
    <w:rsid w:val="00E50D58"/>
    <w:rsid w:val="00E51966"/>
    <w:rsid w:val="00E5278E"/>
    <w:rsid w:val="00E52847"/>
    <w:rsid w:val="00E52A51"/>
    <w:rsid w:val="00E53933"/>
    <w:rsid w:val="00E55F2E"/>
    <w:rsid w:val="00E577A1"/>
    <w:rsid w:val="00E57F6B"/>
    <w:rsid w:val="00E632FB"/>
    <w:rsid w:val="00E640C8"/>
    <w:rsid w:val="00E641A8"/>
    <w:rsid w:val="00E658AD"/>
    <w:rsid w:val="00E65E1B"/>
    <w:rsid w:val="00E66508"/>
    <w:rsid w:val="00E66C3B"/>
    <w:rsid w:val="00E673C1"/>
    <w:rsid w:val="00E70142"/>
    <w:rsid w:val="00E70CED"/>
    <w:rsid w:val="00E71327"/>
    <w:rsid w:val="00E7342C"/>
    <w:rsid w:val="00E737AC"/>
    <w:rsid w:val="00E74861"/>
    <w:rsid w:val="00E75A4B"/>
    <w:rsid w:val="00E76363"/>
    <w:rsid w:val="00E7647E"/>
    <w:rsid w:val="00E77A80"/>
    <w:rsid w:val="00E80026"/>
    <w:rsid w:val="00E8022D"/>
    <w:rsid w:val="00E80569"/>
    <w:rsid w:val="00E807B4"/>
    <w:rsid w:val="00E82AFD"/>
    <w:rsid w:val="00E83C05"/>
    <w:rsid w:val="00E84F00"/>
    <w:rsid w:val="00E857C0"/>
    <w:rsid w:val="00E85ED9"/>
    <w:rsid w:val="00E86164"/>
    <w:rsid w:val="00E86244"/>
    <w:rsid w:val="00E8731D"/>
    <w:rsid w:val="00E87C59"/>
    <w:rsid w:val="00E91A62"/>
    <w:rsid w:val="00E91D81"/>
    <w:rsid w:val="00E92BC2"/>
    <w:rsid w:val="00E9318F"/>
    <w:rsid w:val="00E93755"/>
    <w:rsid w:val="00E93BD5"/>
    <w:rsid w:val="00E93D07"/>
    <w:rsid w:val="00E945B4"/>
    <w:rsid w:val="00E9593F"/>
    <w:rsid w:val="00E97536"/>
    <w:rsid w:val="00E97974"/>
    <w:rsid w:val="00EA010E"/>
    <w:rsid w:val="00EA08D9"/>
    <w:rsid w:val="00EA1302"/>
    <w:rsid w:val="00EA2515"/>
    <w:rsid w:val="00EA30E7"/>
    <w:rsid w:val="00EA4FA2"/>
    <w:rsid w:val="00EA53F1"/>
    <w:rsid w:val="00EA5987"/>
    <w:rsid w:val="00EA5A65"/>
    <w:rsid w:val="00EA70AE"/>
    <w:rsid w:val="00EA7468"/>
    <w:rsid w:val="00EB060B"/>
    <w:rsid w:val="00EB0681"/>
    <w:rsid w:val="00EB11AE"/>
    <w:rsid w:val="00EB1E33"/>
    <w:rsid w:val="00EB27A0"/>
    <w:rsid w:val="00EB2D6B"/>
    <w:rsid w:val="00EB2FC4"/>
    <w:rsid w:val="00EB3A1F"/>
    <w:rsid w:val="00EB47C1"/>
    <w:rsid w:val="00EB5E45"/>
    <w:rsid w:val="00EB702C"/>
    <w:rsid w:val="00EB7CB4"/>
    <w:rsid w:val="00EC0548"/>
    <w:rsid w:val="00EC0881"/>
    <w:rsid w:val="00EC1BE6"/>
    <w:rsid w:val="00EC22CB"/>
    <w:rsid w:val="00EC37A9"/>
    <w:rsid w:val="00EC3ACB"/>
    <w:rsid w:val="00EC492A"/>
    <w:rsid w:val="00EC4B4E"/>
    <w:rsid w:val="00EC52E5"/>
    <w:rsid w:val="00EC52FA"/>
    <w:rsid w:val="00ED05AA"/>
    <w:rsid w:val="00ED1497"/>
    <w:rsid w:val="00ED14C6"/>
    <w:rsid w:val="00ED212B"/>
    <w:rsid w:val="00ED26DA"/>
    <w:rsid w:val="00ED2B38"/>
    <w:rsid w:val="00ED4270"/>
    <w:rsid w:val="00ED5224"/>
    <w:rsid w:val="00ED5D4A"/>
    <w:rsid w:val="00ED6C5A"/>
    <w:rsid w:val="00ED6EBF"/>
    <w:rsid w:val="00EE03E6"/>
    <w:rsid w:val="00EE212F"/>
    <w:rsid w:val="00EE28C8"/>
    <w:rsid w:val="00EE3E02"/>
    <w:rsid w:val="00EE4940"/>
    <w:rsid w:val="00EE49B5"/>
    <w:rsid w:val="00EE58B2"/>
    <w:rsid w:val="00EE5A62"/>
    <w:rsid w:val="00EE6258"/>
    <w:rsid w:val="00EE7822"/>
    <w:rsid w:val="00EF0E72"/>
    <w:rsid w:val="00EF163B"/>
    <w:rsid w:val="00EF2517"/>
    <w:rsid w:val="00EF2D55"/>
    <w:rsid w:val="00EF591F"/>
    <w:rsid w:val="00EF6540"/>
    <w:rsid w:val="00F004A5"/>
    <w:rsid w:val="00F01DD8"/>
    <w:rsid w:val="00F020A6"/>
    <w:rsid w:val="00F02D4D"/>
    <w:rsid w:val="00F04218"/>
    <w:rsid w:val="00F04414"/>
    <w:rsid w:val="00F04717"/>
    <w:rsid w:val="00F06843"/>
    <w:rsid w:val="00F07F3D"/>
    <w:rsid w:val="00F10D32"/>
    <w:rsid w:val="00F11E97"/>
    <w:rsid w:val="00F121A4"/>
    <w:rsid w:val="00F12B88"/>
    <w:rsid w:val="00F1394D"/>
    <w:rsid w:val="00F14C80"/>
    <w:rsid w:val="00F175D0"/>
    <w:rsid w:val="00F17EEC"/>
    <w:rsid w:val="00F20FF1"/>
    <w:rsid w:val="00F22D23"/>
    <w:rsid w:val="00F23A81"/>
    <w:rsid w:val="00F2441C"/>
    <w:rsid w:val="00F24514"/>
    <w:rsid w:val="00F26957"/>
    <w:rsid w:val="00F31213"/>
    <w:rsid w:val="00F31CE1"/>
    <w:rsid w:val="00F32E27"/>
    <w:rsid w:val="00F32F33"/>
    <w:rsid w:val="00F33C26"/>
    <w:rsid w:val="00F33F2F"/>
    <w:rsid w:val="00F351FD"/>
    <w:rsid w:val="00F35457"/>
    <w:rsid w:val="00F3595B"/>
    <w:rsid w:val="00F359D9"/>
    <w:rsid w:val="00F35C54"/>
    <w:rsid w:val="00F3617B"/>
    <w:rsid w:val="00F36228"/>
    <w:rsid w:val="00F40207"/>
    <w:rsid w:val="00F40BA8"/>
    <w:rsid w:val="00F41AC8"/>
    <w:rsid w:val="00F42399"/>
    <w:rsid w:val="00F426A6"/>
    <w:rsid w:val="00F429FD"/>
    <w:rsid w:val="00F42C1A"/>
    <w:rsid w:val="00F44D6B"/>
    <w:rsid w:val="00F4623C"/>
    <w:rsid w:val="00F46897"/>
    <w:rsid w:val="00F46D79"/>
    <w:rsid w:val="00F477E2"/>
    <w:rsid w:val="00F478B0"/>
    <w:rsid w:val="00F47C6A"/>
    <w:rsid w:val="00F50EA6"/>
    <w:rsid w:val="00F513D1"/>
    <w:rsid w:val="00F51ACA"/>
    <w:rsid w:val="00F54C4A"/>
    <w:rsid w:val="00F5560C"/>
    <w:rsid w:val="00F55977"/>
    <w:rsid w:val="00F55FAA"/>
    <w:rsid w:val="00F56399"/>
    <w:rsid w:val="00F602AD"/>
    <w:rsid w:val="00F6120D"/>
    <w:rsid w:val="00F625D1"/>
    <w:rsid w:val="00F62937"/>
    <w:rsid w:val="00F631CA"/>
    <w:rsid w:val="00F63644"/>
    <w:rsid w:val="00F63DE0"/>
    <w:rsid w:val="00F6680D"/>
    <w:rsid w:val="00F7247B"/>
    <w:rsid w:val="00F73028"/>
    <w:rsid w:val="00F731C6"/>
    <w:rsid w:val="00F750CF"/>
    <w:rsid w:val="00F75648"/>
    <w:rsid w:val="00F75C9F"/>
    <w:rsid w:val="00F7679D"/>
    <w:rsid w:val="00F76911"/>
    <w:rsid w:val="00F76999"/>
    <w:rsid w:val="00F7750A"/>
    <w:rsid w:val="00F80006"/>
    <w:rsid w:val="00F80084"/>
    <w:rsid w:val="00F813D5"/>
    <w:rsid w:val="00F81C57"/>
    <w:rsid w:val="00F81DDA"/>
    <w:rsid w:val="00F839A6"/>
    <w:rsid w:val="00F83C19"/>
    <w:rsid w:val="00F845D8"/>
    <w:rsid w:val="00F86581"/>
    <w:rsid w:val="00F90757"/>
    <w:rsid w:val="00F93D0B"/>
    <w:rsid w:val="00F94152"/>
    <w:rsid w:val="00F94DBC"/>
    <w:rsid w:val="00F95676"/>
    <w:rsid w:val="00F97EFB"/>
    <w:rsid w:val="00FA0685"/>
    <w:rsid w:val="00FA2A8C"/>
    <w:rsid w:val="00FA2C6C"/>
    <w:rsid w:val="00FA2E1D"/>
    <w:rsid w:val="00FA3936"/>
    <w:rsid w:val="00FA5F62"/>
    <w:rsid w:val="00FB09AB"/>
    <w:rsid w:val="00FB113E"/>
    <w:rsid w:val="00FB1BA2"/>
    <w:rsid w:val="00FB232E"/>
    <w:rsid w:val="00FB2570"/>
    <w:rsid w:val="00FB2839"/>
    <w:rsid w:val="00FB3264"/>
    <w:rsid w:val="00FB62B5"/>
    <w:rsid w:val="00FB79AA"/>
    <w:rsid w:val="00FB7EAD"/>
    <w:rsid w:val="00FC0D15"/>
    <w:rsid w:val="00FC2DBE"/>
    <w:rsid w:val="00FC3534"/>
    <w:rsid w:val="00FC4297"/>
    <w:rsid w:val="00FC4462"/>
    <w:rsid w:val="00FC4DFC"/>
    <w:rsid w:val="00FC4E46"/>
    <w:rsid w:val="00FC559E"/>
    <w:rsid w:val="00FC68A2"/>
    <w:rsid w:val="00FC6A14"/>
    <w:rsid w:val="00FC7496"/>
    <w:rsid w:val="00FD0A57"/>
    <w:rsid w:val="00FD1267"/>
    <w:rsid w:val="00FD184C"/>
    <w:rsid w:val="00FD1A5D"/>
    <w:rsid w:val="00FD2470"/>
    <w:rsid w:val="00FD27C1"/>
    <w:rsid w:val="00FD2DC2"/>
    <w:rsid w:val="00FD2FB4"/>
    <w:rsid w:val="00FD35E4"/>
    <w:rsid w:val="00FD5823"/>
    <w:rsid w:val="00FD5F5C"/>
    <w:rsid w:val="00FD6531"/>
    <w:rsid w:val="00FD7369"/>
    <w:rsid w:val="00FD73EE"/>
    <w:rsid w:val="00FE02BF"/>
    <w:rsid w:val="00FE0A73"/>
    <w:rsid w:val="00FE0FEB"/>
    <w:rsid w:val="00FE1C27"/>
    <w:rsid w:val="00FE249F"/>
    <w:rsid w:val="00FE2AE4"/>
    <w:rsid w:val="00FE3D33"/>
    <w:rsid w:val="00FE5C31"/>
    <w:rsid w:val="00FE5CE9"/>
    <w:rsid w:val="00FE665E"/>
    <w:rsid w:val="00FE6CDB"/>
    <w:rsid w:val="00FE74FD"/>
    <w:rsid w:val="00FF0984"/>
    <w:rsid w:val="00FF0D46"/>
    <w:rsid w:val="00FF1B0E"/>
    <w:rsid w:val="00FF1DC3"/>
    <w:rsid w:val="00FF1DFF"/>
    <w:rsid w:val="00FF1E3E"/>
    <w:rsid w:val="00FF2000"/>
    <w:rsid w:val="00FF2A8F"/>
    <w:rsid w:val="00FF2F51"/>
    <w:rsid w:val="00FF40FC"/>
    <w:rsid w:val="00FF445B"/>
    <w:rsid w:val="00FF4B33"/>
    <w:rsid w:val="00FF5B7C"/>
    <w:rsid w:val="00FF6605"/>
    <w:rsid w:val="00FF748B"/>
    <w:rsid w:val="00FF7DE3"/>
    <w:rsid w:val="01DE0743"/>
    <w:rsid w:val="021D6E5E"/>
    <w:rsid w:val="03107F16"/>
    <w:rsid w:val="036F6564"/>
    <w:rsid w:val="03B44D27"/>
    <w:rsid w:val="03B56484"/>
    <w:rsid w:val="05370FE1"/>
    <w:rsid w:val="05C018BB"/>
    <w:rsid w:val="078605B2"/>
    <w:rsid w:val="07DC3699"/>
    <w:rsid w:val="08613ED7"/>
    <w:rsid w:val="08FE48C8"/>
    <w:rsid w:val="090C0806"/>
    <w:rsid w:val="098B0C04"/>
    <w:rsid w:val="09AA5678"/>
    <w:rsid w:val="0A5E4659"/>
    <w:rsid w:val="0AEB5FE9"/>
    <w:rsid w:val="0B605985"/>
    <w:rsid w:val="0CA8710F"/>
    <w:rsid w:val="0E760B47"/>
    <w:rsid w:val="0E874A06"/>
    <w:rsid w:val="0F763767"/>
    <w:rsid w:val="121F089B"/>
    <w:rsid w:val="12687E9E"/>
    <w:rsid w:val="135E55DA"/>
    <w:rsid w:val="180C51F5"/>
    <w:rsid w:val="183476CF"/>
    <w:rsid w:val="1875217F"/>
    <w:rsid w:val="18BE5C62"/>
    <w:rsid w:val="194355A9"/>
    <w:rsid w:val="194F1402"/>
    <w:rsid w:val="19625EB7"/>
    <w:rsid w:val="19A327C1"/>
    <w:rsid w:val="19D73FF0"/>
    <w:rsid w:val="1B6D2228"/>
    <w:rsid w:val="1C107927"/>
    <w:rsid w:val="1CF459BA"/>
    <w:rsid w:val="1DCB1A4C"/>
    <w:rsid w:val="1DF67FA2"/>
    <w:rsid w:val="204376E1"/>
    <w:rsid w:val="214772A1"/>
    <w:rsid w:val="21521D41"/>
    <w:rsid w:val="224B6D79"/>
    <w:rsid w:val="22935557"/>
    <w:rsid w:val="22F00A83"/>
    <w:rsid w:val="232B63B6"/>
    <w:rsid w:val="24CA1512"/>
    <w:rsid w:val="26091741"/>
    <w:rsid w:val="26BE6858"/>
    <w:rsid w:val="27CA4F73"/>
    <w:rsid w:val="282377EF"/>
    <w:rsid w:val="287E747C"/>
    <w:rsid w:val="28F134A2"/>
    <w:rsid w:val="2AAD36A8"/>
    <w:rsid w:val="2B900426"/>
    <w:rsid w:val="2C3F26E5"/>
    <w:rsid w:val="2C6017EA"/>
    <w:rsid w:val="2C661776"/>
    <w:rsid w:val="2D24388A"/>
    <w:rsid w:val="2E22281F"/>
    <w:rsid w:val="2F9A3FB4"/>
    <w:rsid w:val="301A4E70"/>
    <w:rsid w:val="30A0772C"/>
    <w:rsid w:val="316658B8"/>
    <w:rsid w:val="31865C9B"/>
    <w:rsid w:val="32CE7A7E"/>
    <w:rsid w:val="338A14B1"/>
    <w:rsid w:val="33FE255E"/>
    <w:rsid w:val="347463DD"/>
    <w:rsid w:val="35CB4C4D"/>
    <w:rsid w:val="35EE17C2"/>
    <w:rsid w:val="3650579C"/>
    <w:rsid w:val="36612E47"/>
    <w:rsid w:val="37834C70"/>
    <w:rsid w:val="37AF6778"/>
    <w:rsid w:val="37F4568F"/>
    <w:rsid w:val="38A30185"/>
    <w:rsid w:val="39CE7FA5"/>
    <w:rsid w:val="3BCF631D"/>
    <w:rsid w:val="3C677367"/>
    <w:rsid w:val="3CC656EB"/>
    <w:rsid w:val="3CCA21E8"/>
    <w:rsid w:val="3CED0588"/>
    <w:rsid w:val="3D1F334F"/>
    <w:rsid w:val="3D546277"/>
    <w:rsid w:val="3E2057E8"/>
    <w:rsid w:val="3E3D429E"/>
    <w:rsid w:val="3FC159A6"/>
    <w:rsid w:val="402C6CE6"/>
    <w:rsid w:val="416A6C53"/>
    <w:rsid w:val="428A3BA8"/>
    <w:rsid w:val="42A74EAA"/>
    <w:rsid w:val="43545656"/>
    <w:rsid w:val="43E450C9"/>
    <w:rsid w:val="43F31FE2"/>
    <w:rsid w:val="44640439"/>
    <w:rsid w:val="45572B6C"/>
    <w:rsid w:val="455B320C"/>
    <w:rsid w:val="470A2591"/>
    <w:rsid w:val="475C4800"/>
    <w:rsid w:val="478618F4"/>
    <w:rsid w:val="47B14D93"/>
    <w:rsid w:val="48A15F32"/>
    <w:rsid w:val="48C9665E"/>
    <w:rsid w:val="491E4498"/>
    <w:rsid w:val="49742C4D"/>
    <w:rsid w:val="49CA6C65"/>
    <w:rsid w:val="4A455FF0"/>
    <w:rsid w:val="4A77022A"/>
    <w:rsid w:val="4B3118C3"/>
    <w:rsid w:val="4B49460C"/>
    <w:rsid w:val="4BFD2018"/>
    <w:rsid w:val="4C0F52AD"/>
    <w:rsid w:val="4C3B0E2F"/>
    <w:rsid w:val="4CAB0D7C"/>
    <w:rsid w:val="4D0038F1"/>
    <w:rsid w:val="4F667E20"/>
    <w:rsid w:val="4FF35FAD"/>
    <w:rsid w:val="509800C2"/>
    <w:rsid w:val="515A150F"/>
    <w:rsid w:val="533C54BD"/>
    <w:rsid w:val="53D770A4"/>
    <w:rsid w:val="53FC6338"/>
    <w:rsid w:val="543D22A5"/>
    <w:rsid w:val="55791323"/>
    <w:rsid w:val="55796678"/>
    <w:rsid w:val="55A05D34"/>
    <w:rsid w:val="56E90786"/>
    <w:rsid w:val="59550094"/>
    <w:rsid w:val="59834466"/>
    <w:rsid w:val="59906AA6"/>
    <w:rsid w:val="59E95FFF"/>
    <w:rsid w:val="5BAD6AF9"/>
    <w:rsid w:val="5BBE59A3"/>
    <w:rsid w:val="5C002B30"/>
    <w:rsid w:val="5CBF0FAA"/>
    <w:rsid w:val="609A7B49"/>
    <w:rsid w:val="60B14DC5"/>
    <w:rsid w:val="61CD5C05"/>
    <w:rsid w:val="6229058D"/>
    <w:rsid w:val="64235C8D"/>
    <w:rsid w:val="64440F4B"/>
    <w:rsid w:val="65536F9A"/>
    <w:rsid w:val="65BA088F"/>
    <w:rsid w:val="68B009A8"/>
    <w:rsid w:val="69127D3A"/>
    <w:rsid w:val="694B1853"/>
    <w:rsid w:val="6A93762C"/>
    <w:rsid w:val="6A996F13"/>
    <w:rsid w:val="6A9B2760"/>
    <w:rsid w:val="6BDD6BDD"/>
    <w:rsid w:val="6C011206"/>
    <w:rsid w:val="6C4130E2"/>
    <w:rsid w:val="6C6C4759"/>
    <w:rsid w:val="6C910893"/>
    <w:rsid w:val="6D6313BE"/>
    <w:rsid w:val="6EC5514E"/>
    <w:rsid w:val="70DD60FC"/>
    <w:rsid w:val="70FF71F1"/>
    <w:rsid w:val="7255060F"/>
    <w:rsid w:val="729F162E"/>
    <w:rsid w:val="743661B5"/>
    <w:rsid w:val="743F2A8B"/>
    <w:rsid w:val="7549288D"/>
    <w:rsid w:val="77460B34"/>
    <w:rsid w:val="777423E0"/>
    <w:rsid w:val="787C2959"/>
    <w:rsid w:val="7BF94230"/>
    <w:rsid w:val="7C5D4075"/>
    <w:rsid w:val="7CCC6240"/>
    <w:rsid w:val="7D5B1D38"/>
    <w:rsid w:val="7F2F3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lang w:val="en-US" w:eastAsia="zh-CN" w:bidi="ar-SA"/>
    </w:rPr>
  </w:style>
  <w:style w:type="paragraph" w:styleId="4">
    <w:name w:val="heading 1"/>
    <w:basedOn w:val="1"/>
    <w:next w:val="1"/>
    <w:qFormat/>
    <w:uiPriority w:val="0"/>
    <w:pPr>
      <w:keepNext/>
      <w:snapToGrid w:val="0"/>
      <w:spacing w:line="360" w:lineRule="atLeast"/>
      <w:outlineLvl w:val="0"/>
    </w:pPr>
    <w:rPr>
      <w:rFonts w:ascii="宋体"/>
    </w:rPr>
  </w:style>
  <w:style w:type="paragraph" w:styleId="5">
    <w:name w:val="heading 2"/>
    <w:basedOn w:val="1"/>
    <w:next w:val="1"/>
    <w:link w:val="69"/>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70"/>
    <w:qFormat/>
    <w:uiPriority w:val="0"/>
    <w:pPr>
      <w:keepNext/>
      <w:keepLines/>
      <w:spacing w:before="260" w:after="260" w:line="413" w:lineRule="auto"/>
      <w:outlineLvl w:val="2"/>
    </w:pPr>
    <w:rPr>
      <w:b/>
      <w:sz w:val="32"/>
    </w:rPr>
  </w:style>
  <w:style w:type="paragraph" w:styleId="7">
    <w:name w:val="heading 4"/>
    <w:basedOn w:val="1"/>
    <w:next w:val="1"/>
    <w:qFormat/>
    <w:uiPriority w:val="0"/>
    <w:pPr>
      <w:keepNext/>
      <w:keepLines/>
      <w:spacing w:before="280" w:after="290" w:line="372" w:lineRule="auto"/>
      <w:outlineLvl w:val="3"/>
    </w:pPr>
    <w:rPr>
      <w:rFonts w:ascii="Arial" w:hAnsi="Arial" w:eastAsia="黑体"/>
      <w:b/>
    </w:rPr>
  </w:style>
  <w:style w:type="paragraph" w:styleId="8">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9">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10">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1">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2">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8"/>
    <w:qFormat/>
    <w:uiPriority w:val="0"/>
    <w:rPr>
      <w:rFonts w:ascii="仿宋_GB2312" w:eastAsia="仿宋_GB2312"/>
      <w:sz w:val="32"/>
    </w:rPr>
  </w:style>
  <w:style w:type="paragraph" w:styleId="3">
    <w:name w:val="index 7"/>
    <w:basedOn w:val="1"/>
    <w:next w:val="1"/>
    <w:qFormat/>
    <w:uiPriority w:val="0"/>
    <w:pPr>
      <w:ind w:left="2520"/>
    </w:pPr>
  </w:style>
  <w:style w:type="paragraph" w:styleId="13">
    <w:name w:val="List 3"/>
    <w:basedOn w:val="1"/>
    <w:qFormat/>
    <w:uiPriority w:val="0"/>
    <w:pPr>
      <w:adjustRightInd w:val="0"/>
      <w:snapToGrid w:val="0"/>
      <w:spacing w:line="360" w:lineRule="auto"/>
      <w:ind w:left="100" w:leftChars="400" w:hanging="200" w:hangingChars="200"/>
    </w:pPr>
    <w:rPr>
      <w:sz w:val="24"/>
    </w:rPr>
  </w:style>
  <w:style w:type="paragraph" w:styleId="14">
    <w:name w:val="toc 7"/>
    <w:basedOn w:val="1"/>
    <w:next w:val="1"/>
    <w:qFormat/>
    <w:uiPriority w:val="0"/>
    <w:pPr>
      <w:ind w:left="2520" w:leftChars="1200"/>
    </w:pPr>
  </w:style>
  <w:style w:type="paragraph" w:styleId="15">
    <w:name w:val="List Number 2"/>
    <w:basedOn w:val="1"/>
    <w:qFormat/>
    <w:uiPriority w:val="0"/>
    <w:pPr>
      <w:numPr>
        <w:ilvl w:val="0"/>
        <w:numId w:val="1"/>
      </w:numPr>
      <w:tabs>
        <w:tab w:val="left" w:pos="780"/>
        <w:tab w:val="clear" w:pos="425"/>
      </w:tabs>
      <w:spacing w:line="360" w:lineRule="auto"/>
    </w:pPr>
    <w:rPr>
      <w:sz w:val="24"/>
    </w:rPr>
  </w:style>
  <w:style w:type="paragraph" w:styleId="16">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7">
    <w:name w:val="Normal Indent"/>
    <w:basedOn w:val="1"/>
    <w:link w:val="71"/>
    <w:qFormat/>
    <w:uiPriority w:val="0"/>
    <w:pPr>
      <w:adjustRightInd w:val="0"/>
      <w:snapToGrid w:val="0"/>
      <w:spacing w:line="360" w:lineRule="auto"/>
      <w:ind w:firstLine="420"/>
    </w:pPr>
    <w:rPr>
      <w:sz w:val="24"/>
    </w:rPr>
  </w:style>
  <w:style w:type="paragraph" w:styleId="18">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Document Map"/>
    <w:basedOn w:val="1"/>
    <w:qFormat/>
    <w:uiPriority w:val="0"/>
    <w:pPr>
      <w:shd w:val="clear" w:color="auto" w:fill="000080"/>
    </w:pPr>
  </w:style>
  <w:style w:type="paragraph" w:styleId="20">
    <w:name w:val="toa heading"/>
    <w:basedOn w:val="1"/>
    <w:next w:val="1"/>
    <w:qFormat/>
    <w:uiPriority w:val="0"/>
    <w:pPr>
      <w:spacing w:before="120"/>
    </w:pPr>
    <w:rPr>
      <w:rFonts w:ascii="Arial" w:hAnsi="Arial"/>
      <w:sz w:val="24"/>
    </w:rPr>
  </w:style>
  <w:style w:type="paragraph" w:styleId="21">
    <w:name w:val="annotation text"/>
    <w:basedOn w:val="1"/>
    <w:link w:val="72"/>
    <w:qFormat/>
    <w:uiPriority w:val="0"/>
    <w:pPr>
      <w:adjustRightInd w:val="0"/>
      <w:spacing w:line="360" w:lineRule="atLeast"/>
      <w:jc w:val="left"/>
      <w:textAlignment w:val="baseline"/>
    </w:pPr>
    <w:rPr>
      <w:kern w:val="0"/>
      <w:sz w:val="24"/>
    </w:rPr>
  </w:style>
  <w:style w:type="paragraph" w:styleId="22">
    <w:name w:val="Body Text 3"/>
    <w:basedOn w:val="1"/>
    <w:qFormat/>
    <w:uiPriority w:val="0"/>
    <w:pPr>
      <w:adjustRightInd w:val="0"/>
      <w:snapToGrid w:val="0"/>
      <w:spacing w:after="120" w:line="360" w:lineRule="auto"/>
    </w:pPr>
    <w:rPr>
      <w:sz w:val="16"/>
    </w:rPr>
  </w:style>
  <w:style w:type="paragraph" w:styleId="23">
    <w:name w:val="List Bullet 3"/>
    <w:basedOn w:val="1"/>
    <w:qFormat/>
    <w:uiPriority w:val="0"/>
    <w:pPr>
      <w:tabs>
        <w:tab w:val="left" w:pos="1200"/>
      </w:tabs>
      <w:adjustRightInd w:val="0"/>
      <w:snapToGrid w:val="0"/>
      <w:spacing w:line="360" w:lineRule="auto"/>
      <w:ind w:left="1200" w:hanging="360"/>
    </w:pPr>
    <w:rPr>
      <w:sz w:val="24"/>
    </w:rPr>
  </w:style>
  <w:style w:type="paragraph" w:styleId="24">
    <w:name w:val="Body Text Indent"/>
    <w:basedOn w:val="1"/>
    <w:link w:val="73"/>
    <w:qFormat/>
    <w:uiPriority w:val="0"/>
    <w:pPr>
      <w:spacing w:line="700" w:lineRule="exact"/>
      <w:ind w:left="960"/>
    </w:pPr>
    <w:rPr>
      <w:sz w:val="44"/>
    </w:rPr>
  </w:style>
  <w:style w:type="paragraph" w:styleId="25">
    <w:name w:val="List Number 3"/>
    <w:basedOn w:val="1"/>
    <w:qFormat/>
    <w:uiPriority w:val="0"/>
    <w:pPr>
      <w:tabs>
        <w:tab w:val="left" w:pos="2120"/>
      </w:tabs>
      <w:adjustRightInd w:val="0"/>
      <w:snapToGrid w:val="0"/>
      <w:spacing w:line="360" w:lineRule="auto"/>
      <w:ind w:left="2120" w:hanging="720"/>
    </w:pPr>
    <w:rPr>
      <w:sz w:val="24"/>
    </w:rPr>
  </w:style>
  <w:style w:type="paragraph" w:styleId="26">
    <w:name w:val="List 2"/>
    <w:basedOn w:val="1"/>
    <w:qFormat/>
    <w:uiPriority w:val="0"/>
    <w:pPr>
      <w:adjustRightInd w:val="0"/>
      <w:snapToGrid w:val="0"/>
      <w:spacing w:line="360" w:lineRule="auto"/>
      <w:ind w:left="100" w:leftChars="200" w:hanging="200" w:hangingChars="200"/>
    </w:pPr>
    <w:rPr>
      <w:sz w:val="24"/>
    </w:rPr>
  </w:style>
  <w:style w:type="paragraph" w:styleId="27">
    <w:name w:val="List Continue"/>
    <w:basedOn w:val="1"/>
    <w:qFormat/>
    <w:uiPriority w:val="0"/>
    <w:pPr>
      <w:adjustRightInd w:val="0"/>
      <w:snapToGrid w:val="0"/>
      <w:spacing w:after="120" w:line="360" w:lineRule="auto"/>
      <w:ind w:left="420" w:leftChars="200"/>
    </w:pPr>
    <w:rPr>
      <w:sz w:val="24"/>
    </w:rPr>
  </w:style>
  <w:style w:type="paragraph" w:styleId="28">
    <w:name w:val="List Bullet 2"/>
    <w:basedOn w:val="1"/>
    <w:qFormat/>
    <w:uiPriority w:val="0"/>
    <w:pPr>
      <w:numPr>
        <w:ilvl w:val="0"/>
        <w:numId w:val="2"/>
      </w:numPr>
      <w:adjustRightInd w:val="0"/>
      <w:snapToGrid w:val="0"/>
      <w:spacing w:line="360" w:lineRule="auto"/>
    </w:pPr>
    <w:rPr>
      <w:sz w:val="24"/>
    </w:rPr>
  </w:style>
  <w:style w:type="paragraph" w:styleId="29">
    <w:name w:val="toc 5"/>
    <w:basedOn w:val="1"/>
    <w:next w:val="1"/>
    <w:qFormat/>
    <w:uiPriority w:val="0"/>
    <w:pPr>
      <w:ind w:left="1680" w:leftChars="800"/>
    </w:pPr>
  </w:style>
  <w:style w:type="paragraph" w:styleId="30">
    <w:name w:val="toc 3"/>
    <w:basedOn w:val="1"/>
    <w:next w:val="1"/>
    <w:qFormat/>
    <w:uiPriority w:val="39"/>
    <w:pPr>
      <w:ind w:left="840" w:leftChars="400"/>
    </w:pPr>
  </w:style>
  <w:style w:type="paragraph" w:styleId="31">
    <w:name w:val="Plain Text"/>
    <w:basedOn w:val="1"/>
    <w:qFormat/>
    <w:uiPriority w:val="0"/>
    <w:rPr>
      <w:rFonts w:ascii="宋体" w:hAnsi="Courier New"/>
      <w:sz w:val="21"/>
    </w:rPr>
  </w:style>
  <w:style w:type="paragraph" w:styleId="32">
    <w:name w:val="toc 8"/>
    <w:basedOn w:val="1"/>
    <w:next w:val="1"/>
    <w:qFormat/>
    <w:uiPriority w:val="0"/>
    <w:pPr>
      <w:ind w:left="2940" w:leftChars="1400"/>
    </w:pPr>
  </w:style>
  <w:style w:type="paragraph" w:styleId="33">
    <w:name w:val="Date"/>
    <w:basedOn w:val="1"/>
    <w:next w:val="1"/>
    <w:link w:val="74"/>
    <w:qFormat/>
    <w:uiPriority w:val="0"/>
  </w:style>
  <w:style w:type="paragraph" w:styleId="34">
    <w:name w:val="Body Text Indent 2"/>
    <w:basedOn w:val="1"/>
    <w:link w:val="75"/>
    <w:qFormat/>
    <w:uiPriority w:val="0"/>
    <w:pPr>
      <w:snapToGrid w:val="0"/>
      <w:spacing w:line="560" w:lineRule="atLeast"/>
      <w:ind w:firstLine="540"/>
    </w:pPr>
  </w:style>
  <w:style w:type="paragraph" w:styleId="35">
    <w:name w:val="Balloon Text"/>
    <w:basedOn w:val="1"/>
    <w:qFormat/>
    <w:uiPriority w:val="0"/>
    <w:rPr>
      <w:sz w:val="18"/>
    </w:rPr>
  </w:style>
  <w:style w:type="paragraph" w:styleId="36">
    <w:name w:val="footer"/>
    <w:basedOn w:val="1"/>
    <w:link w:val="76"/>
    <w:qFormat/>
    <w:uiPriority w:val="99"/>
    <w:pPr>
      <w:tabs>
        <w:tab w:val="center" w:pos="4153"/>
        <w:tab w:val="right" w:pos="8306"/>
      </w:tabs>
      <w:snapToGrid w:val="0"/>
      <w:jc w:val="left"/>
    </w:pPr>
    <w:rPr>
      <w:sz w:val="18"/>
    </w:rPr>
  </w:style>
  <w:style w:type="paragraph" w:styleId="37">
    <w:name w:val="header"/>
    <w:basedOn w:val="1"/>
    <w:link w:val="77"/>
    <w:qFormat/>
    <w:uiPriority w:val="99"/>
    <w:pPr>
      <w:pBdr>
        <w:bottom w:val="single" w:color="auto" w:sz="6" w:space="1"/>
      </w:pBdr>
      <w:tabs>
        <w:tab w:val="center" w:pos="4153"/>
        <w:tab w:val="right" w:pos="8306"/>
      </w:tabs>
      <w:snapToGrid w:val="0"/>
      <w:jc w:val="center"/>
    </w:pPr>
    <w:rPr>
      <w:sz w:val="18"/>
    </w:rPr>
  </w:style>
  <w:style w:type="paragraph" w:styleId="38">
    <w:name w:val="toc 1"/>
    <w:basedOn w:val="1"/>
    <w:next w:val="1"/>
    <w:qFormat/>
    <w:uiPriority w:val="0"/>
    <w:pPr>
      <w:spacing w:line="180" w:lineRule="auto"/>
      <w:jc w:val="center"/>
    </w:pPr>
    <w:rPr>
      <w:sz w:val="30"/>
    </w:rPr>
  </w:style>
  <w:style w:type="paragraph" w:styleId="39">
    <w:name w:val="List Continue 4"/>
    <w:basedOn w:val="1"/>
    <w:qFormat/>
    <w:uiPriority w:val="0"/>
    <w:pPr>
      <w:adjustRightInd w:val="0"/>
      <w:snapToGrid w:val="0"/>
      <w:spacing w:after="120" w:line="360" w:lineRule="auto"/>
      <w:ind w:left="1680" w:leftChars="800"/>
    </w:pPr>
    <w:rPr>
      <w:sz w:val="24"/>
    </w:rPr>
  </w:style>
  <w:style w:type="paragraph" w:styleId="40">
    <w:name w:val="toc 4"/>
    <w:basedOn w:val="1"/>
    <w:next w:val="1"/>
    <w:qFormat/>
    <w:uiPriority w:val="0"/>
    <w:pPr>
      <w:ind w:left="1260" w:leftChars="600"/>
    </w:pPr>
  </w:style>
  <w:style w:type="paragraph" w:styleId="41">
    <w:name w:val="footnote text"/>
    <w:basedOn w:val="1"/>
    <w:link w:val="78"/>
    <w:qFormat/>
    <w:uiPriority w:val="0"/>
    <w:pPr>
      <w:spacing w:line="360" w:lineRule="auto"/>
    </w:pPr>
    <w:rPr>
      <w:sz w:val="18"/>
    </w:rPr>
  </w:style>
  <w:style w:type="paragraph" w:styleId="42">
    <w:name w:val="toc 6"/>
    <w:basedOn w:val="1"/>
    <w:next w:val="1"/>
    <w:qFormat/>
    <w:uiPriority w:val="0"/>
    <w:pPr>
      <w:ind w:left="2100" w:leftChars="1000"/>
    </w:pPr>
  </w:style>
  <w:style w:type="paragraph" w:styleId="43">
    <w:name w:val="List 5"/>
    <w:basedOn w:val="1"/>
    <w:qFormat/>
    <w:uiPriority w:val="0"/>
    <w:pPr>
      <w:adjustRightInd w:val="0"/>
      <w:snapToGrid w:val="0"/>
      <w:spacing w:line="360" w:lineRule="auto"/>
      <w:ind w:left="100" w:leftChars="800" w:hanging="200" w:hangingChars="200"/>
    </w:pPr>
    <w:rPr>
      <w:sz w:val="24"/>
    </w:rPr>
  </w:style>
  <w:style w:type="paragraph" w:styleId="44">
    <w:name w:val="Body Text Indent 3"/>
    <w:basedOn w:val="1"/>
    <w:qFormat/>
    <w:uiPriority w:val="0"/>
    <w:pPr>
      <w:spacing w:line="360" w:lineRule="auto"/>
      <w:ind w:firstLine="632"/>
    </w:pPr>
    <w:rPr>
      <w:rFonts w:ascii="黑体" w:eastAsia="黑体"/>
    </w:rPr>
  </w:style>
  <w:style w:type="paragraph" w:styleId="45">
    <w:name w:val="table of figures"/>
    <w:basedOn w:val="1"/>
    <w:next w:val="1"/>
    <w:qFormat/>
    <w:uiPriority w:val="0"/>
    <w:pPr>
      <w:tabs>
        <w:tab w:val="right" w:leader="dot" w:pos="8640"/>
      </w:tabs>
      <w:spacing w:line="360" w:lineRule="auto"/>
      <w:ind w:left="400" w:hanging="400"/>
    </w:pPr>
    <w:rPr>
      <w:sz w:val="24"/>
    </w:rPr>
  </w:style>
  <w:style w:type="paragraph" w:styleId="46">
    <w:name w:val="toc 2"/>
    <w:basedOn w:val="1"/>
    <w:next w:val="1"/>
    <w:qFormat/>
    <w:uiPriority w:val="39"/>
    <w:pPr>
      <w:ind w:left="420" w:leftChars="200"/>
    </w:pPr>
  </w:style>
  <w:style w:type="paragraph" w:styleId="47">
    <w:name w:val="toc 9"/>
    <w:basedOn w:val="1"/>
    <w:next w:val="1"/>
    <w:qFormat/>
    <w:uiPriority w:val="0"/>
    <w:pPr>
      <w:ind w:left="3360" w:leftChars="1600"/>
    </w:pPr>
  </w:style>
  <w:style w:type="paragraph" w:styleId="48">
    <w:name w:val="Body Text 2"/>
    <w:basedOn w:val="1"/>
    <w:qFormat/>
    <w:uiPriority w:val="0"/>
    <w:pPr>
      <w:adjustRightInd w:val="0"/>
      <w:snapToGrid w:val="0"/>
      <w:spacing w:after="120" w:line="480" w:lineRule="auto"/>
    </w:pPr>
    <w:rPr>
      <w:sz w:val="24"/>
    </w:rPr>
  </w:style>
  <w:style w:type="paragraph" w:styleId="49">
    <w:name w:val="List 4"/>
    <w:basedOn w:val="1"/>
    <w:qFormat/>
    <w:uiPriority w:val="0"/>
    <w:pPr>
      <w:adjustRightInd w:val="0"/>
      <w:snapToGrid w:val="0"/>
      <w:spacing w:line="360" w:lineRule="auto"/>
      <w:ind w:left="100" w:leftChars="600" w:hanging="200" w:hangingChars="200"/>
    </w:pPr>
    <w:rPr>
      <w:sz w:val="24"/>
    </w:rPr>
  </w:style>
  <w:style w:type="paragraph" w:styleId="50">
    <w:name w:val="List Continue 2"/>
    <w:basedOn w:val="1"/>
    <w:qFormat/>
    <w:uiPriority w:val="0"/>
    <w:pPr>
      <w:adjustRightInd w:val="0"/>
      <w:snapToGrid w:val="0"/>
      <w:spacing w:after="120" w:line="360" w:lineRule="auto"/>
      <w:ind w:left="840" w:leftChars="400"/>
    </w:pPr>
    <w:rPr>
      <w:sz w:val="24"/>
    </w:rPr>
  </w:style>
  <w:style w:type="paragraph" w:styleId="51">
    <w:name w:val="Normal (Web)"/>
    <w:basedOn w:val="1"/>
    <w:qFormat/>
    <w:uiPriority w:val="0"/>
    <w:pPr>
      <w:widowControl/>
      <w:spacing w:before="100" w:beforeAutospacing="1" w:after="100" w:afterAutospacing="1"/>
      <w:jc w:val="left"/>
    </w:pPr>
    <w:rPr>
      <w:rFonts w:ascii="宋体" w:hAnsi="宋体"/>
      <w:kern w:val="0"/>
      <w:sz w:val="24"/>
    </w:rPr>
  </w:style>
  <w:style w:type="paragraph" w:styleId="52">
    <w:name w:val="List Continue 3"/>
    <w:basedOn w:val="1"/>
    <w:qFormat/>
    <w:uiPriority w:val="0"/>
    <w:pPr>
      <w:adjustRightInd w:val="0"/>
      <w:snapToGrid w:val="0"/>
      <w:spacing w:after="120" w:line="360" w:lineRule="auto"/>
      <w:ind w:left="1260" w:leftChars="600"/>
    </w:pPr>
    <w:rPr>
      <w:sz w:val="24"/>
    </w:rPr>
  </w:style>
  <w:style w:type="paragraph" w:styleId="53">
    <w:name w:val="index 1"/>
    <w:basedOn w:val="1"/>
    <w:next w:val="1"/>
    <w:qFormat/>
    <w:uiPriority w:val="0"/>
    <w:pPr>
      <w:adjustRightInd w:val="0"/>
      <w:spacing w:line="240" w:lineRule="atLeast"/>
      <w:textAlignment w:val="baseline"/>
    </w:pPr>
    <w:rPr>
      <w:rFonts w:ascii="宋体"/>
      <w:kern w:val="0"/>
      <w:sz w:val="21"/>
    </w:rPr>
  </w:style>
  <w:style w:type="paragraph" w:styleId="54">
    <w:name w:val="Title"/>
    <w:basedOn w:val="1"/>
    <w:next w:val="1"/>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21"/>
    <w:next w:val="21"/>
    <w:link w:val="79"/>
    <w:qFormat/>
    <w:uiPriority w:val="0"/>
    <w:pPr>
      <w:adjustRightInd/>
      <w:spacing w:line="240" w:lineRule="auto"/>
      <w:textAlignment w:val="auto"/>
    </w:pPr>
  </w:style>
  <w:style w:type="paragraph" w:styleId="56">
    <w:name w:val="Body Text First Indent"/>
    <w:basedOn w:val="1"/>
    <w:qFormat/>
    <w:uiPriority w:val="0"/>
    <w:pPr>
      <w:spacing w:line="360" w:lineRule="auto"/>
      <w:ind w:firstLine="420"/>
    </w:pPr>
    <w:rPr>
      <w:rFonts w:ascii="宋体" w:hAnsi="宋体"/>
      <w:sz w:val="24"/>
    </w:rPr>
  </w:style>
  <w:style w:type="paragraph" w:styleId="57">
    <w:name w:val="Body Text First Indent 2"/>
    <w:basedOn w:val="24"/>
    <w:link w:val="80"/>
    <w:qFormat/>
    <w:uiPriority w:val="0"/>
    <w:pPr>
      <w:spacing w:after="120" w:line="240" w:lineRule="auto"/>
      <w:ind w:left="420" w:leftChars="200" w:firstLine="420" w:firstLineChars="200"/>
    </w:pPr>
  </w:style>
  <w:style w:type="table" w:styleId="59">
    <w:name w:val="Table Grid"/>
    <w:basedOn w:val="58"/>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1">
    <w:name w:val="Strong"/>
    <w:qFormat/>
    <w:uiPriority w:val="22"/>
    <w:rPr>
      <w:b/>
    </w:rPr>
  </w:style>
  <w:style w:type="character" w:styleId="62">
    <w:name w:val="page number"/>
    <w:qFormat/>
    <w:uiPriority w:val="0"/>
  </w:style>
  <w:style w:type="character" w:styleId="63">
    <w:name w:val="FollowedHyperlink"/>
    <w:qFormat/>
    <w:uiPriority w:val="0"/>
    <w:rPr>
      <w:color w:val="800080"/>
      <w:u w:val="single"/>
    </w:rPr>
  </w:style>
  <w:style w:type="character" w:styleId="64">
    <w:name w:val="Emphasis"/>
    <w:qFormat/>
    <w:uiPriority w:val="0"/>
    <w:rPr>
      <w:i/>
    </w:rPr>
  </w:style>
  <w:style w:type="character" w:styleId="65">
    <w:name w:val="Hyperlink"/>
    <w:qFormat/>
    <w:uiPriority w:val="99"/>
    <w:rPr>
      <w:color w:val="0000FF"/>
      <w:u w:val="single"/>
    </w:rPr>
  </w:style>
  <w:style w:type="character" w:styleId="66">
    <w:name w:val="annotation reference"/>
    <w:qFormat/>
    <w:uiPriority w:val="0"/>
    <w:rPr>
      <w:sz w:val="21"/>
      <w:szCs w:val="21"/>
    </w:rPr>
  </w:style>
  <w:style w:type="character" w:styleId="67">
    <w:name w:val="footnote reference"/>
    <w:qFormat/>
    <w:uiPriority w:val="0"/>
    <w:rPr>
      <w:position w:val="6"/>
      <w:sz w:val="14"/>
      <w:vertAlign w:val="superscript"/>
    </w:rPr>
  </w:style>
  <w:style w:type="character" w:customStyle="1" w:styleId="68">
    <w:name w:val="正文文本 字符"/>
    <w:link w:val="2"/>
    <w:qFormat/>
    <w:uiPriority w:val="0"/>
    <w:rPr>
      <w:rFonts w:ascii="仿宋_GB2312" w:eastAsia="仿宋_GB2312"/>
      <w:kern w:val="2"/>
      <w:sz w:val="32"/>
    </w:rPr>
  </w:style>
  <w:style w:type="character" w:customStyle="1" w:styleId="69">
    <w:name w:val="标题 2 字符"/>
    <w:link w:val="5"/>
    <w:qFormat/>
    <w:uiPriority w:val="0"/>
    <w:rPr>
      <w:rFonts w:ascii="Arial" w:hAnsi="Arial" w:eastAsia="黑体"/>
      <w:b/>
      <w:kern w:val="2"/>
      <w:sz w:val="32"/>
    </w:rPr>
  </w:style>
  <w:style w:type="character" w:customStyle="1" w:styleId="70">
    <w:name w:val="标题 3 字符"/>
    <w:link w:val="6"/>
    <w:qFormat/>
    <w:uiPriority w:val="0"/>
    <w:rPr>
      <w:rFonts w:eastAsia="宋体"/>
      <w:b/>
      <w:kern w:val="2"/>
      <w:sz w:val="32"/>
      <w:lang w:val="en-US" w:eastAsia="zh-CN"/>
    </w:rPr>
  </w:style>
  <w:style w:type="character" w:customStyle="1" w:styleId="71">
    <w:name w:val="正文缩进 字符"/>
    <w:link w:val="17"/>
    <w:qFormat/>
    <w:uiPriority w:val="0"/>
    <w:rPr>
      <w:kern w:val="2"/>
      <w:sz w:val="24"/>
    </w:rPr>
  </w:style>
  <w:style w:type="character" w:customStyle="1" w:styleId="72">
    <w:name w:val="批注文字 字符"/>
    <w:link w:val="21"/>
    <w:qFormat/>
    <w:uiPriority w:val="0"/>
    <w:rPr>
      <w:sz w:val="24"/>
    </w:rPr>
  </w:style>
  <w:style w:type="character" w:customStyle="1" w:styleId="73">
    <w:name w:val="正文文本缩进 字符"/>
    <w:link w:val="24"/>
    <w:qFormat/>
    <w:uiPriority w:val="0"/>
    <w:rPr>
      <w:kern w:val="2"/>
      <w:sz w:val="44"/>
    </w:rPr>
  </w:style>
  <w:style w:type="character" w:customStyle="1" w:styleId="74">
    <w:name w:val="日期 字符"/>
    <w:link w:val="33"/>
    <w:qFormat/>
    <w:uiPriority w:val="0"/>
    <w:rPr>
      <w:kern w:val="2"/>
      <w:sz w:val="28"/>
    </w:rPr>
  </w:style>
  <w:style w:type="character" w:customStyle="1" w:styleId="75">
    <w:name w:val="正文文本缩进 2 字符"/>
    <w:link w:val="34"/>
    <w:qFormat/>
    <w:uiPriority w:val="0"/>
    <w:rPr>
      <w:kern w:val="2"/>
      <w:sz w:val="28"/>
    </w:rPr>
  </w:style>
  <w:style w:type="character" w:customStyle="1" w:styleId="76">
    <w:name w:val="页脚 字符"/>
    <w:link w:val="36"/>
    <w:qFormat/>
    <w:uiPriority w:val="99"/>
    <w:rPr>
      <w:kern w:val="2"/>
      <w:sz w:val="18"/>
    </w:rPr>
  </w:style>
  <w:style w:type="character" w:customStyle="1" w:styleId="77">
    <w:name w:val="页眉 字符"/>
    <w:link w:val="37"/>
    <w:qFormat/>
    <w:uiPriority w:val="99"/>
    <w:rPr>
      <w:kern w:val="2"/>
      <w:sz w:val="18"/>
    </w:rPr>
  </w:style>
  <w:style w:type="character" w:customStyle="1" w:styleId="78">
    <w:name w:val="脚注文本 字符"/>
    <w:link w:val="41"/>
    <w:qFormat/>
    <w:uiPriority w:val="0"/>
    <w:rPr>
      <w:kern w:val="2"/>
      <w:sz w:val="18"/>
    </w:rPr>
  </w:style>
  <w:style w:type="character" w:customStyle="1" w:styleId="79">
    <w:name w:val="批注主题 字符"/>
    <w:link w:val="55"/>
    <w:qFormat/>
    <w:uiPriority w:val="0"/>
  </w:style>
  <w:style w:type="character" w:customStyle="1" w:styleId="80">
    <w:name w:val="正文文本首行缩进 2 字符"/>
    <w:link w:val="57"/>
    <w:qFormat/>
    <w:uiPriority w:val="0"/>
  </w:style>
  <w:style w:type="character" w:customStyle="1" w:styleId="81">
    <w:name w:val="正文 + 三号 Char"/>
    <w:qFormat/>
    <w:uiPriority w:val="0"/>
    <w:rPr>
      <w:rFonts w:eastAsia="宋体"/>
      <w:kern w:val="2"/>
      <w:sz w:val="21"/>
      <w:lang w:val="en-US" w:eastAsia="zh-CN"/>
    </w:rPr>
  </w:style>
  <w:style w:type="character" w:customStyle="1" w:styleId="82">
    <w:name w:val="正文文本缩进 Char"/>
    <w:qFormat/>
    <w:uiPriority w:val="0"/>
    <w:rPr>
      <w:kern w:val="2"/>
      <w:sz w:val="44"/>
    </w:rPr>
  </w:style>
  <w:style w:type="character" w:customStyle="1" w:styleId="83">
    <w:name w:val="日期 字符1"/>
    <w:qFormat/>
    <w:uiPriority w:val="0"/>
    <w:rPr>
      <w:rFonts w:ascii="Times New Roman" w:hAnsi="Times New Roman" w:eastAsia="宋体" w:cs="Times New Roman"/>
      <w:kern w:val="2"/>
      <w:sz w:val="28"/>
    </w:rPr>
  </w:style>
  <w:style w:type="character" w:customStyle="1" w:styleId="84">
    <w:name w:val="H2 Char"/>
    <w:qFormat/>
    <w:uiPriority w:val="0"/>
    <w:rPr>
      <w:rFonts w:ascii="Arial" w:hAnsi="Arial" w:eastAsia="宋体"/>
      <w:kern w:val="2"/>
      <w:sz w:val="28"/>
      <w:lang w:val="en-US" w:eastAsia="zh-CN"/>
    </w:rPr>
  </w:style>
  <w:style w:type="character" w:customStyle="1" w:styleId="85">
    <w:name w:val="无"/>
    <w:qFormat/>
    <w:uiPriority w:val="0"/>
    <w:rPr>
      <w:rFonts w:ascii="Times New Roman" w:hAnsi="Times New Roman" w:eastAsia="宋体" w:cs="Times New Roman"/>
    </w:rPr>
  </w:style>
  <w:style w:type="character" w:customStyle="1" w:styleId="86">
    <w:name w:val="日期 Char"/>
    <w:qFormat/>
    <w:uiPriority w:val="0"/>
    <w:rPr>
      <w:kern w:val="2"/>
      <w:sz w:val="28"/>
    </w:rPr>
  </w:style>
  <w:style w:type="character" w:customStyle="1" w:styleId="87">
    <w:name w:val="(符号)五标题1.1.1 Char"/>
    <w:link w:val="88"/>
    <w:qFormat/>
    <w:uiPriority w:val="0"/>
    <w:rPr>
      <w:rFonts w:ascii="宋体" w:hAnsi="宋体"/>
      <w:color w:val="000000"/>
      <w:kern w:val="2"/>
      <w:sz w:val="24"/>
    </w:rPr>
  </w:style>
  <w:style w:type="paragraph" w:customStyle="1" w:styleId="88">
    <w:name w:val="(符号)五标题1.1.1"/>
    <w:basedOn w:val="1"/>
    <w:link w:val="87"/>
    <w:qFormat/>
    <w:uiPriority w:val="0"/>
    <w:pPr>
      <w:numPr>
        <w:ilvl w:val="2"/>
        <w:numId w:val="3"/>
      </w:numPr>
      <w:tabs>
        <w:tab w:val="left" w:pos="1000"/>
      </w:tabs>
      <w:spacing w:line="500" w:lineRule="exact"/>
    </w:pPr>
    <w:rPr>
      <w:rFonts w:ascii="宋体" w:hAnsi="宋体"/>
      <w:color w:val="000000"/>
      <w:sz w:val="24"/>
    </w:rPr>
  </w:style>
  <w:style w:type="character" w:customStyle="1" w:styleId="89">
    <w:name w:val="标题 3 Char1"/>
    <w:qFormat/>
    <w:uiPriority w:val="0"/>
    <w:rPr>
      <w:rFonts w:eastAsia="宋体"/>
      <w:b/>
      <w:kern w:val="2"/>
      <w:sz w:val="32"/>
      <w:lang w:val="en-US" w:eastAsia="zh-CN"/>
    </w:rPr>
  </w:style>
  <w:style w:type="character" w:customStyle="1" w:styleId="90">
    <w:name w:val="标题 3 字符1"/>
    <w:qFormat/>
    <w:uiPriority w:val="0"/>
    <w:rPr>
      <w:rFonts w:eastAsia="宋体"/>
      <w:b/>
      <w:kern w:val="2"/>
      <w:sz w:val="32"/>
      <w:lang w:val="en-US" w:eastAsia="zh-CN"/>
    </w:rPr>
  </w:style>
  <w:style w:type="character" w:customStyle="1" w:styleId="91">
    <w:name w:val="未命名11"/>
    <w:qFormat/>
    <w:uiPriority w:val="0"/>
    <w:rPr>
      <w:color w:val="77FFFF"/>
      <w:sz w:val="24"/>
    </w:rPr>
  </w:style>
  <w:style w:type="character" w:customStyle="1" w:styleId="92">
    <w:name w:val="小 Char"/>
    <w:qFormat/>
    <w:uiPriority w:val="0"/>
    <w:rPr>
      <w:rFonts w:ascii="宋体" w:hAnsi="Courier New" w:eastAsia="宋体"/>
      <w:kern w:val="2"/>
      <w:sz w:val="21"/>
      <w:lang w:val="en-US" w:eastAsia="zh-CN" w:bidi="ar-SA"/>
    </w:rPr>
  </w:style>
  <w:style w:type="character" w:customStyle="1" w:styleId="93">
    <w:name w:val="Table Text Char Char Char Char"/>
    <w:link w:val="94"/>
    <w:qFormat/>
    <w:uiPriority w:val="0"/>
    <w:rPr>
      <w:rFonts w:ascii="Arial" w:hAnsi="Arial"/>
      <w:kern w:val="2"/>
      <w:sz w:val="18"/>
      <w:lang w:val="en-US" w:eastAsia="zh-CN" w:bidi="ar-SA"/>
    </w:rPr>
  </w:style>
  <w:style w:type="paragraph" w:customStyle="1" w:styleId="94">
    <w:name w:val="Table Text Char Char Char"/>
    <w:link w:val="93"/>
    <w:qFormat/>
    <w:uiPriority w:val="0"/>
    <w:pPr>
      <w:snapToGrid w:val="0"/>
      <w:spacing w:before="80" w:after="80"/>
    </w:pPr>
    <w:rPr>
      <w:rFonts w:ascii="Arial" w:hAnsi="Arial" w:eastAsia="宋体" w:cs="Times New Roman"/>
      <w:kern w:val="2"/>
      <w:sz w:val="18"/>
      <w:lang w:val="en-US" w:eastAsia="zh-CN" w:bidi="ar-SA"/>
    </w:rPr>
  </w:style>
  <w:style w:type="character" w:customStyle="1" w:styleId="95">
    <w:name w:val="标书正文:  0.74 厘米 Char1"/>
    <w:qFormat/>
    <w:uiPriority w:val="0"/>
    <w:rPr>
      <w:rFonts w:eastAsia="宋体"/>
      <w:kern w:val="2"/>
      <w:sz w:val="24"/>
      <w:lang w:val="en-US" w:eastAsia="zh-CN"/>
    </w:rPr>
  </w:style>
  <w:style w:type="character" w:customStyle="1" w:styleId="96">
    <w:name w:val="Char Char4"/>
    <w:qFormat/>
    <w:uiPriority w:val="0"/>
    <w:rPr>
      <w:rFonts w:eastAsia="宋体"/>
      <w:b/>
      <w:kern w:val="2"/>
      <w:sz w:val="21"/>
      <w:lang w:val="en-US" w:eastAsia="zh-CN"/>
    </w:rPr>
  </w:style>
  <w:style w:type="character" w:customStyle="1" w:styleId="97">
    <w:name w:val="title_emph1"/>
    <w:qFormat/>
    <w:uiPriority w:val="0"/>
    <w:rPr>
      <w:rFonts w:hint="default" w:ascii="Arial" w:hAnsi="Arial"/>
      <w:b/>
      <w:sz w:val="20"/>
    </w:rPr>
  </w:style>
  <w:style w:type="character" w:customStyle="1" w:styleId="98">
    <w:name w:val="Table Heading Char Char"/>
    <w:qFormat/>
    <w:uiPriority w:val="0"/>
    <w:rPr>
      <w:rFonts w:ascii="Arial" w:hAnsi="Arial" w:eastAsia="黑体"/>
      <w:kern w:val="2"/>
      <w:sz w:val="18"/>
      <w:lang w:val="en-US" w:eastAsia="zh-CN"/>
    </w:rPr>
  </w:style>
  <w:style w:type="character" w:customStyle="1" w:styleId="99">
    <w:name w:val="正文文本缩进 字符1"/>
    <w:qFormat/>
    <w:locked/>
    <w:uiPriority w:val="0"/>
    <w:rPr>
      <w:kern w:val="2"/>
      <w:sz w:val="44"/>
    </w:rPr>
  </w:style>
  <w:style w:type="character" w:customStyle="1" w:styleId="100">
    <w:name w:val="样式 宋体"/>
    <w:qFormat/>
    <w:uiPriority w:val="0"/>
    <w:rPr>
      <w:rFonts w:ascii="宋体" w:hAnsi="宋体" w:eastAsia="宋体"/>
      <w:sz w:val="28"/>
    </w:rPr>
  </w:style>
  <w:style w:type="character" w:customStyle="1" w:styleId="101">
    <w:name w:val="标题 2 字符1"/>
    <w:qFormat/>
    <w:uiPriority w:val="0"/>
    <w:rPr>
      <w:rFonts w:ascii="宋体" w:hAnsi="宋体" w:eastAsia="宋体" w:cs="Times New Roman"/>
      <w:kern w:val="2"/>
      <w:sz w:val="28"/>
    </w:rPr>
  </w:style>
  <w:style w:type="character" w:customStyle="1" w:styleId="102">
    <w:name w:val="Char Char5"/>
    <w:qFormat/>
    <w:uiPriority w:val="0"/>
    <w:rPr>
      <w:rFonts w:ascii="Arial" w:hAnsi="Arial" w:eastAsia="宋体"/>
      <w:b/>
      <w:smallCaps/>
      <w:kern w:val="28"/>
      <w:sz w:val="36"/>
      <w:lang w:val="en-US" w:eastAsia="en-US"/>
    </w:rPr>
  </w:style>
  <w:style w:type="character" w:customStyle="1" w:styleId="103">
    <w:name w:val="列表段落 字符"/>
    <w:link w:val="104"/>
    <w:qFormat/>
    <w:uiPriority w:val="0"/>
    <w:rPr>
      <w:rFonts w:ascii="Calibri" w:hAnsi="Calibri"/>
      <w:kern w:val="2"/>
      <w:sz w:val="21"/>
      <w:szCs w:val="22"/>
    </w:rPr>
  </w:style>
  <w:style w:type="paragraph" w:styleId="104">
    <w:name w:val="List Paragraph"/>
    <w:basedOn w:val="1"/>
    <w:link w:val="103"/>
    <w:qFormat/>
    <w:uiPriority w:val="0"/>
    <w:pPr>
      <w:ind w:firstLine="420" w:firstLineChars="200"/>
    </w:pPr>
    <w:rPr>
      <w:sz w:val="21"/>
      <w:szCs w:val="22"/>
    </w:rPr>
  </w:style>
  <w:style w:type="character" w:customStyle="1" w:styleId="105">
    <w:name w:val="Char Char2"/>
    <w:qFormat/>
    <w:uiPriority w:val="0"/>
    <w:rPr>
      <w:rFonts w:eastAsia="宋体"/>
      <w:kern w:val="2"/>
      <w:sz w:val="18"/>
      <w:lang w:val="en-US" w:eastAsia="zh-CN"/>
    </w:rPr>
  </w:style>
  <w:style w:type="character" w:customStyle="1" w:styleId="106">
    <w:name w:val="标题 2 Char"/>
    <w:qFormat/>
    <w:uiPriority w:val="0"/>
    <w:rPr>
      <w:rFonts w:ascii="Arial" w:hAnsi="Arial" w:eastAsia="黑体"/>
      <w:b/>
      <w:kern w:val="2"/>
      <w:sz w:val="32"/>
    </w:rPr>
  </w:style>
  <w:style w:type="character" w:customStyle="1" w:styleId="107">
    <w:name w:val="Table Text Char1 Char"/>
    <w:qFormat/>
    <w:uiPriority w:val="0"/>
    <w:rPr>
      <w:rFonts w:ascii="Arial" w:hAnsi="Arial"/>
      <w:kern w:val="2"/>
      <w:sz w:val="18"/>
      <w:lang w:val="en-US" w:eastAsia="zh-CN" w:bidi="ar-SA"/>
    </w:rPr>
  </w:style>
  <w:style w:type="character" w:customStyle="1" w:styleId="108">
    <w:name w:val="Char Char6"/>
    <w:qFormat/>
    <w:uiPriority w:val="0"/>
    <w:rPr>
      <w:rFonts w:ascii="仿宋_GB2312" w:eastAsia="仿宋_GB2312"/>
      <w:kern w:val="2"/>
      <w:sz w:val="32"/>
    </w:rPr>
  </w:style>
  <w:style w:type="character" w:customStyle="1" w:styleId="109">
    <w:name w:val="content-white1"/>
    <w:qFormat/>
    <w:uiPriority w:val="0"/>
    <w:rPr>
      <w:rFonts w:ascii="_x000B__x000C_" w:hAnsi="_x000B__x000C_"/>
      <w:color w:val="auto"/>
      <w:sz w:val="18"/>
      <w:u w:val="none"/>
    </w:rPr>
  </w:style>
  <w:style w:type="character" w:customStyle="1" w:styleId="110">
    <w:name w:val="fontstyle01"/>
    <w:qFormat/>
    <w:uiPriority w:val="0"/>
    <w:rPr>
      <w:rFonts w:hint="eastAsia" w:ascii="宋体" w:hAnsi="宋体" w:eastAsia="宋体"/>
      <w:color w:val="000000"/>
      <w:sz w:val="24"/>
      <w:szCs w:val="24"/>
    </w:rPr>
  </w:style>
  <w:style w:type="character" w:customStyle="1" w:styleId="111">
    <w:name w:val="Char Char7"/>
    <w:qFormat/>
    <w:uiPriority w:val="0"/>
    <w:rPr>
      <w:rFonts w:ascii="宋体" w:hAnsi="宋体" w:eastAsia="宋体"/>
      <w:kern w:val="2"/>
      <w:sz w:val="28"/>
    </w:rPr>
  </w:style>
  <w:style w:type="character" w:customStyle="1" w:styleId="112">
    <w:name w:val="标题 3 Char"/>
    <w:qFormat/>
    <w:uiPriority w:val="0"/>
    <w:rPr>
      <w:rFonts w:eastAsia="宋体"/>
      <w:b/>
      <w:kern w:val="2"/>
      <w:sz w:val="32"/>
      <w:lang w:val="en-US" w:eastAsia="zh-CN"/>
    </w:rPr>
  </w:style>
  <w:style w:type="character" w:customStyle="1" w:styleId="113">
    <w:name w:val="crowed11"/>
    <w:qFormat/>
    <w:uiPriority w:val="0"/>
    <w:rPr>
      <w:rFonts w:hint="default" w:ascii="_x000B__x000C_" w:hAnsi="_x000B__x000C_"/>
      <w:sz w:val="24"/>
    </w:rPr>
  </w:style>
  <w:style w:type="character" w:customStyle="1" w:styleId="114">
    <w:name w:val="文字 Char"/>
    <w:link w:val="115"/>
    <w:qFormat/>
    <w:uiPriority w:val="0"/>
    <w:rPr>
      <w:rFonts w:ascii="宋体"/>
      <w:kern w:val="2"/>
      <w:sz w:val="28"/>
    </w:rPr>
  </w:style>
  <w:style w:type="paragraph" w:customStyle="1" w:styleId="115">
    <w:name w:val="文字"/>
    <w:basedOn w:val="1"/>
    <w:link w:val="114"/>
    <w:qFormat/>
    <w:uiPriority w:val="0"/>
    <w:pPr>
      <w:tabs>
        <w:tab w:val="left" w:pos="8520"/>
      </w:tabs>
      <w:spacing w:line="312" w:lineRule="auto"/>
      <w:ind w:right="-210" w:firstLine="556"/>
    </w:pPr>
    <w:rPr>
      <w:rFonts w:ascii="宋体"/>
    </w:rPr>
  </w:style>
  <w:style w:type="character" w:customStyle="1" w:styleId="116">
    <w:name w:val="Char Char3"/>
    <w:qFormat/>
    <w:uiPriority w:val="0"/>
    <w:rPr>
      <w:rFonts w:eastAsia="宋体"/>
      <w:kern w:val="2"/>
      <w:sz w:val="18"/>
      <w:lang w:val="en-US" w:eastAsia="zh-CN"/>
    </w:rPr>
  </w:style>
  <w:style w:type="character" w:customStyle="1" w:styleId="117">
    <w:name w:val="font1"/>
    <w:qFormat/>
    <w:uiPriority w:val="0"/>
    <w:rPr>
      <w:color w:val="000000"/>
      <w:sz w:val="18"/>
    </w:rPr>
  </w:style>
  <w:style w:type="character" w:customStyle="1" w:styleId="118">
    <w:name w:val="v151"/>
    <w:qFormat/>
    <w:uiPriority w:val="0"/>
    <w:rPr>
      <w:sz w:val="18"/>
    </w:rPr>
  </w:style>
  <w:style w:type="character" w:customStyle="1" w:styleId="119">
    <w:name w:val="Char Char11"/>
    <w:qFormat/>
    <w:uiPriority w:val="0"/>
    <w:rPr>
      <w:rFonts w:ascii="宋体"/>
      <w:kern w:val="2"/>
      <w:sz w:val="28"/>
    </w:rPr>
  </w:style>
  <w:style w:type="character" w:customStyle="1" w:styleId="120">
    <w:name w:val="Char Char"/>
    <w:qFormat/>
    <w:uiPriority w:val="0"/>
    <w:rPr>
      <w:rFonts w:ascii="宋体" w:hAnsi="宋体" w:eastAsia="宋体"/>
      <w:kern w:val="2"/>
      <w:sz w:val="24"/>
      <w:lang w:val="en-US" w:eastAsia="zh-CN" w:bidi="ar-SA"/>
    </w:rPr>
  </w:style>
  <w:style w:type="character" w:customStyle="1" w:styleId="121">
    <w:name w:val="样式 文档正文 Char + (西文) 宋体 (中文) 宋体 小四 黑色 Char"/>
    <w:link w:val="122"/>
    <w:qFormat/>
    <w:uiPriority w:val="0"/>
    <w:rPr>
      <w:rFonts w:ascii="宋体" w:hAnsi="宋体"/>
      <w:color w:val="000000"/>
      <w:kern w:val="2"/>
      <w:sz w:val="24"/>
      <w:szCs w:val="24"/>
    </w:rPr>
  </w:style>
  <w:style w:type="paragraph" w:customStyle="1" w:styleId="122">
    <w:name w:val="样式 文档正文 Char + (西文) 宋体 (中文) 宋体 小四 黑色"/>
    <w:basedOn w:val="1"/>
    <w:link w:val="121"/>
    <w:qFormat/>
    <w:uiPriority w:val="0"/>
    <w:pPr>
      <w:adjustRightInd w:val="0"/>
      <w:snapToGrid w:val="0"/>
      <w:spacing w:line="360" w:lineRule="auto"/>
      <w:ind w:firstLine="567"/>
      <w:textAlignment w:val="baseline"/>
    </w:pPr>
    <w:rPr>
      <w:rFonts w:ascii="宋体" w:hAnsi="宋体"/>
      <w:color w:val="000000"/>
      <w:sz w:val="24"/>
      <w:szCs w:val="24"/>
    </w:rPr>
  </w:style>
  <w:style w:type="character" w:customStyle="1" w:styleId="123">
    <w:name w:val="_Style 122"/>
    <w:unhideWhenUsed/>
    <w:qFormat/>
    <w:uiPriority w:val="99"/>
    <w:rPr>
      <w:color w:val="605E5C"/>
      <w:shd w:val="clear" w:color="auto" w:fill="E1DFDD"/>
    </w:rPr>
  </w:style>
  <w:style w:type="character" w:customStyle="1" w:styleId="124">
    <w:name w:val="top-det1"/>
    <w:qFormat/>
    <w:uiPriority w:val="0"/>
    <w:rPr>
      <w:b/>
      <w:color w:val="000000"/>
    </w:rPr>
  </w:style>
  <w:style w:type="character" w:customStyle="1" w:styleId="125">
    <w:name w:val="Table Text Char"/>
    <w:link w:val="126"/>
    <w:qFormat/>
    <w:uiPriority w:val="0"/>
    <w:rPr>
      <w:rFonts w:ascii="Arial" w:hAnsi="Arial"/>
      <w:kern w:val="2"/>
      <w:sz w:val="18"/>
      <w:lang w:val="en-US" w:eastAsia="zh-CN" w:bidi="ar-SA"/>
    </w:rPr>
  </w:style>
  <w:style w:type="paragraph" w:customStyle="1" w:styleId="126">
    <w:name w:val="Table Text"/>
    <w:link w:val="125"/>
    <w:qFormat/>
    <w:uiPriority w:val="0"/>
    <w:pPr>
      <w:snapToGrid w:val="0"/>
      <w:spacing w:before="80" w:after="80"/>
    </w:pPr>
    <w:rPr>
      <w:rFonts w:ascii="Arial" w:hAnsi="Arial" w:eastAsia="宋体" w:cs="Times New Roman"/>
      <w:kern w:val="2"/>
      <w:sz w:val="18"/>
      <w:lang w:val="en-US" w:eastAsia="zh-CN" w:bidi="ar-SA"/>
    </w:rPr>
  </w:style>
  <w:style w:type="paragraph" w:customStyle="1" w:styleId="127">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28">
    <w:name w:val="首行缩进 1"/>
    <w:basedOn w:val="1"/>
    <w:qFormat/>
    <w:uiPriority w:val="0"/>
    <w:pPr>
      <w:spacing w:after="120" w:line="360" w:lineRule="auto"/>
      <w:ind w:firstLine="200" w:firstLineChars="200"/>
    </w:pPr>
    <w:rPr>
      <w:sz w:val="24"/>
    </w:rPr>
  </w:style>
  <w:style w:type="paragraph" w:customStyle="1" w:styleId="129">
    <w:name w:val="IN Feature"/>
    <w:next w:val="130"/>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30">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31">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32">
    <w:name w:val="Table Contents"/>
    <w:basedOn w:val="2"/>
    <w:qFormat/>
    <w:uiPriority w:val="0"/>
    <w:pPr>
      <w:suppressAutoHyphens/>
      <w:jc w:val="left"/>
    </w:pPr>
    <w:rPr>
      <w:rFonts w:ascii="Times New Roman" w:eastAsia="Times New Roman"/>
      <w:kern w:val="0"/>
      <w:sz w:val="24"/>
    </w:rPr>
  </w:style>
  <w:style w:type="paragraph" w:customStyle="1" w:styleId="133">
    <w:name w:val="司法正文"/>
    <w:qFormat/>
    <w:uiPriority w:val="0"/>
    <w:pPr>
      <w:widowControl w:val="0"/>
      <w:ind w:firstLine="200" w:firstLineChars="200"/>
      <w:jc w:val="both"/>
    </w:pPr>
    <w:rPr>
      <w:rFonts w:ascii="Calibri" w:hAnsi="Calibri" w:eastAsia="仿宋_GB2312" w:cs="Times New Roman"/>
      <w:sz w:val="32"/>
      <w:lang w:val="en-US" w:eastAsia="zh-CN" w:bidi="ar-SA"/>
    </w:rPr>
  </w:style>
  <w:style w:type="paragraph" w:customStyle="1" w:styleId="134">
    <w:name w:val="1.正文"/>
    <w:basedOn w:val="1"/>
    <w:qFormat/>
    <w:uiPriority w:val="0"/>
    <w:pPr>
      <w:spacing w:line="360" w:lineRule="auto"/>
      <w:ind w:left="540" w:leftChars="225" w:firstLine="540" w:firstLineChars="225"/>
    </w:pPr>
    <w:rPr>
      <w:sz w:val="24"/>
    </w:rPr>
  </w:style>
  <w:style w:type="paragraph" w:customStyle="1" w:styleId="135">
    <w:name w:val="样式 标题 6第五层条 + 三号 段前: 0.5 行"/>
    <w:basedOn w:val="9"/>
    <w:qFormat/>
    <w:uiPriority w:val="0"/>
    <w:pPr>
      <w:widowControl/>
      <w:adjustRightInd/>
      <w:snapToGrid/>
      <w:spacing w:before="156" w:beforeLines="50"/>
      <w:jc w:val="left"/>
    </w:pPr>
    <w:rPr>
      <w:snapToGrid w:val="0"/>
      <w:kern w:val="24"/>
      <w:sz w:val="28"/>
    </w:rPr>
  </w:style>
  <w:style w:type="paragraph" w:customStyle="1" w:styleId="136">
    <w:name w:val="正文文本 21"/>
    <w:basedOn w:val="1"/>
    <w:qFormat/>
    <w:uiPriority w:val="0"/>
    <w:pPr>
      <w:adjustRightInd w:val="0"/>
      <w:spacing w:before="120" w:line="360" w:lineRule="auto"/>
      <w:ind w:firstLine="480"/>
      <w:textAlignment w:val="baseline"/>
    </w:pPr>
    <w:rPr>
      <w:sz w:val="24"/>
    </w:rPr>
  </w:style>
  <w:style w:type="paragraph" w:customStyle="1" w:styleId="137">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38">
    <w:name w:val="标准正文"/>
    <w:basedOn w:val="24"/>
    <w:qFormat/>
    <w:uiPriority w:val="0"/>
    <w:pPr>
      <w:spacing w:before="60" w:after="60" w:line="360" w:lineRule="auto"/>
      <w:ind w:left="0" w:firstLine="482"/>
    </w:pPr>
    <w:rPr>
      <w:rFonts w:ascii="Arial" w:hAnsi="Arial"/>
      <w:sz w:val="24"/>
    </w:rPr>
  </w:style>
  <w:style w:type="paragraph" w:customStyle="1" w:styleId="139">
    <w:name w:val="段落正文"/>
    <w:basedOn w:val="1"/>
    <w:qFormat/>
    <w:uiPriority w:val="0"/>
    <w:pPr>
      <w:spacing w:before="156" w:beforeLines="50" w:line="360" w:lineRule="auto"/>
      <w:ind w:firstLine="200" w:firstLineChars="200"/>
    </w:pPr>
    <w:rPr>
      <w:spacing w:val="2"/>
      <w:sz w:val="24"/>
    </w:rPr>
  </w:style>
  <w:style w:type="paragraph" w:customStyle="1" w:styleId="140">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41">
    <w:name w:val="二级列表"/>
    <w:basedOn w:val="139"/>
    <w:next w:val="139"/>
    <w:qFormat/>
    <w:uiPriority w:val="0"/>
    <w:pPr>
      <w:tabs>
        <w:tab w:val="left" w:pos="2120"/>
      </w:tabs>
      <w:ind w:firstLine="0" w:firstLineChars="0"/>
    </w:pPr>
    <w:rPr>
      <w:b/>
    </w:rPr>
  </w:style>
  <w:style w:type="paragraph" w:customStyle="1" w:styleId="142">
    <w:name w:val="表文字"/>
    <w:qFormat/>
    <w:uiPriority w:val="0"/>
    <w:rPr>
      <w:rFonts w:ascii="宋体" w:hAnsi="Calibri" w:eastAsia="宋体" w:cs="Times New Roman"/>
      <w:kern w:val="2"/>
      <w:lang w:val="en-US" w:eastAsia="zh-CN" w:bidi="ar-SA"/>
    </w:rPr>
  </w:style>
  <w:style w:type="paragraph" w:customStyle="1" w:styleId="143">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44">
    <w:name w:val="摘要"/>
    <w:basedOn w:val="1"/>
    <w:next w:val="5"/>
    <w:qFormat/>
    <w:uiPriority w:val="0"/>
    <w:pPr>
      <w:spacing w:line="360" w:lineRule="auto"/>
    </w:pPr>
    <w:rPr>
      <w:rFonts w:eastAsia="黑体"/>
      <w:sz w:val="20"/>
    </w:rPr>
  </w:style>
  <w:style w:type="paragraph" w:customStyle="1" w:styleId="145">
    <w:name w:val="正文文本缩进 21"/>
    <w:basedOn w:val="1"/>
    <w:qFormat/>
    <w:uiPriority w:val="0"/>
    <w:pPr>
      <w:adjustRightInd w:val="0"/>
      <w:spacing w:before="120"/>
      <w:ind w:firstLine="420"/>
      <w:textAlignment w:val="baseline"/>
    </w:pPr>
    <w:rPr>
      <w:sz w:val="24"/>
    </w:rPr>
  </w:style>
  <w:style w:type="paragraph" w:customStyle="1" w:styleId="146">
    <w:name w:val="A项目符号"/>
    <w:basedOn w:val="1"/>
    <w:qFormat/>
    <w:uiPriority w:val="0"/>
    <w:pPr>
      <w:numPr>
        <w:ilvl w:val="0"/>
        <w:numId w:val="4"/>
      </w:numPr>
      <w:tabs>
        <w:tab w:val="left" w:pos="1080"/>
      </w:tabs>
      <w:adjustRightInd w:val="0"/>
      <w:snapToGrid w:val="0"/>
      <w:spacing w:afterLines="50" w:line="360" w:lineRule="auto"/>
    </w:pPr>
    <w:rPr>
      <w:b/>
      <w:bCs/>
      <w:spacing w:val="12"/>
      <w:kern w:val="0"/>
      <w:sz w:val="24"/>
      <w:szCs w:val="24"/>
    </w:rPr>
  </w:style>
  <w:style w:type="paragraph" w:customStyle="1" w:styleId="147">
    <w:name w:val="正文4"/>
    <w:basedOn w:val="1"/>
    <w:qFormat/>
    <w:uiPriority w:val="0"/>
    <w:pPr>
      <w:tabs>
        <w:tab w:val="left" w:pos="1275"/>
      </w:tabs>
      <w:spacing w:before="60" w:after="60" w:line="360" w:lineRule="auto"/>
      <w:ind w:left="820" w:leftChars="400" w:hanging="705"/>
    </w:pPr>
    <w:rPr>
      <w:sz w:val="24"/>
    </w:rPr>
  </w:style>
  <w:style w:type="paragraph" w:customStyle="1" w:styleId="148">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49">
    <w:name w:val="Style Heading 3h3Heading 3 - oldLevel 3 HeadH3level_3PIM 3se..."/>
    <w:basedOn w:val="6"/>
    <w:qFormat/>
    <w:uiPriority w:val="0"/>
    <w:pPr>
      <w:numPr>
        <w:ilvl w:val="2"/>
        <w:numId w:val="5"/>
      </w:numPr>
      <w:tabs>
        <w:tab w:val="left" w:pos="709"/>
        <w:tab w:val="left" w:pos="1620"/>
      </w:tabs>
    </w:pPr>
  </w:style>
  <w:style w:type="paragraph" w:customStyle="1" w:styleId="150">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51">
    <w:name w:val="样式 标题 1 + 居中 段前: 6 磅 段后: 6 磅 行距: 1.5 倍行距"/>
    <w:basedOn w:val="4"/>
    <w:qFormat/>
    <w:uiPriority w:val="0"/>
    <w:pPr>
      <w:keepLines/>
      <w:adjustRightInd w:val="0"/>
      <w:spacing w:before="120" w:after="120" w:line="360" w:lineRule="auto"/>
      <w:jc w:val="center"/>
    </w:pPr>
    <w:rPr>
      <w:rFonts w:ascii="Times New Roman"/>
      <w:b/>
      <w:kern w:val="44"/>
      <w:sz w:val="32"/>
    </w:rPr>
  </w:style>
  <w:style w:type="paragraph" w:customStyle="1" w:styleId="152">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53">
    <w:name w:val="列表项目"/>
    <w:basedOn w:val="1"/>
    <w:qFormat/>
    <w:uiPriority w:val="0"/>
    <w:pPr>
      <w:numPr>
        <w:ilvl w:val="0"/>
        <w:numId w:val="6"/>
      </w:numPr>
      <w:tabs>
        <w:tab w:val="left" w:pos="420"/>
        <w:tab w:val="clear" w:pos="1200"/>
      </w:tabs>
      <w:spacing w:line="288" w:lineRule="auto"/>
      <w:ind w:left="840" w:leftChars="200" w:hanging="420" w:hangingChars="200"/>
    </w:pPr>
    <w:rPr>
      <w:sz w:val="21"/>
    </w:rPr>
  </w:style>
  <w:style w:type="paragraph" w:customStyle="1" w:styleId="154">
    <w:name w:val="00"/>
    <w:basedOn w:val="1"/>
    <w:qFormat/>
    <w:uiPriority w:val="0"/>
    <w:pPr>
      <w:autoSpaceDE w:val="0"/>
      <w:autoSpaceDN w:val="0"/>
      <w:adjustRightInd w:val="0"/>
      <w:jc w:val="left"/>
    </w:pPr>
    <w:rPr>
      <w:rFonts w:ascii="黑体" w:eastAsia="黑体"/>
      <w:b/>
      <w:kern w:val="0"/>
      <w:sz w:val="20"/>
    </w:rPr>
  </w:style>
  <w:style w:type="paragraph" w:customStyle="1" w:styleId="155">
    <w:name w:val="正文 + 三号"/>
    <w:basedOn w:val="1"/>
    <w:qFormat/>
    <w:uiPriority w:val="0"/>
    <w:rPr>
      <w:sz w:val="21"/>
    </w:rPr>
  </w:style>
  <w:style w:type="paragraph" w:customStyle="1" w:styleId="156">
    <w:name w:val="二级条标题"/>
    <w:basedOn w:val="157"/>
    <w:next w:val="140"/>
    <w:qFormat/>
    <w:uiPriority w:val="0"/>
    <w:pPr>
      <w:ind w:left="840"/>
      <w:outlineLvl w:val="3"/>
    </w:pPr>
  </w:style>
  <w:style w:type="paragraph" w:customStyle="1" w:styleId="157">
    <w:name w:val="一级条标题"/>
    <w:basedOn w:val="158"/>
    <w:next w:val="140"/>
    <w:qFormat/>
    <w:uiPriority w:val="0"/>
    <w:pPr>
      <w:numPr>
        <w:numId w:val="0"/>
      </w:numPr>
      <w:spacing w:before="0" w:beforeLines="0" w:after="0" w:afterLines="0"/>
      <w:ind w:left="525"/>
      <w:outlineLvl w:val="2"/>
    </w:pPr>
    <w:rPr>
      <w:sz w:val="21"/>
    </w:rPr>
  </w:style>
  <w:style w:type="paragraph" w:customStyle="1" w:styleId="158">
    <w:name w:val="章标题"/>
    <w:next w:val="1"/>
    <w:qFormat/>
    <w:uiPriority w:val="0"/>
    <w:pPr>
      <w:numPr>
        <w:ilvl w:val="1"/>
        <w:numId w:val="7"/>
      </w:numPr>
      <w:spacing w:before="156" w:beforeLines="50" w:after="156" w:afterLines="50"/>
      <w:ind w:left="0"/>
      <w:jc w:val="both"/>
      <w:outlineLvl w:val="1"/>
    </w:pPr>
    <w:rPr>
      <w:rFonts w:ascii="黑体" w:hAnsi="Calibri" w:eastAsia="黑体" w:cs="Times New Roman"/>
      <w:sz w:val="24"/>
      <w:lang w:val="en-US" w:eastAsia="zh-CN" w:bidi="ar-SA"/>
    </w:rPr>
  </w:style>
  <w:style w:type="paragraph" w:customStyle="1" w:styleId="159">
    <w:name w:val="文本框样式1"/>
    <w:basedOn w:val="1"/>
    <w:qFormat/>
    <w:uiPriority w:val="0"/>
    <w:pPr>
      <w:adjustRightInd w:val="0"/>
      <w:snapToGrid w:val="0"/>
      <w:spacing w:before="60" w:line="180" w:lineRule="exact"/>
      <w:jc w:val="center"/>
    </w:pPr>
    <w:rPr>
      <w:sz w:val="21"/>
    </w:rPr>
  </w:style>
  <w:style w:type="paragraph" w:customStyle="1" w:styleId="160">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61">
    <w:name w:val="af"/>
    <w:basedOn w:val="1"/>
    <w:qFormat/>
    <w:uiPriority w:val="0"/>
    <w:pPr>
      <w:widowControl/>
      <w:spacing w:line="300" w:lineRule="atLeast"/>
      <w:jc w:val="left"/>
    </w:pPr>
    <w:rPr>
      <w:rFonts w:ascii="宋体" w:hAnsi="宋体"/>
      <w:kern w:val="0"/>
      <w:sz w:val="18"/>
    </w:rPr>
  </w:style>
  <w:style w:type="paragraph" w:customStyle="1" w:styleId="162">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63">
    <w:name w:val="没有缩进（为图形使用）"/>
    <w:basedOn w:val="1"/>
    <w:qFormat/>
    <w:uiPriority w:val="0"/>
    <w:pPr>
      <w:spacing w:before="120" w:after="120" w:line="360" w:lineRule="auto"/>
    </w:pPr>
    <w:rPr>
      <w:sz w:val="24"/>
    </w:rPr>
  </w:style>
  <w:style w:type="paragraph" w:customStyle="1" w:styleId="164">
    <w:name w:val="样式1"/>
    <w:basedOn w:val="7"/>
    <w:qFormat/>
    <w:uiPriority w:val="0"/>
    <w:pPr>
      <w:tabs>
        <w:tab w:val="left" w:pos="720"/>
      </w:tabs>
      <w:spacing w:before="500" w:after="260" w:line="560" w:lineRule="atLeast"/>
      <w:ind w:left="420" w:hanging="420"/>
    </w:pPr>
  </w:style>
  <w:style w:type="paragraph" w:customStyle="1" w:styleId="165">
    <w:name w:val="文章正文"/>
    <w:basedOn w:val="1"/>
    <w:qFormat/>
    <w:uiPriority w:val="0"/>
    <w:pPr>
      <w:ind w:firstLine="560" w:firstLineChars="200"/>
    </w:pPr>
    <w:rPr>
      <w:rFonts w:ascii="仿宋_GB2312" w:hAnsi="宋体" w:eastAsia="仿宋_GB2312"/>
      <w:color w:val="000000"/>
    </w:rPr>
  </w:style>
  <w:style w:type="paragraph" w:customStyle="1" w:styleId="166">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67">
    <w:name w:val="Char Char Char Char Char"/>
    <w:basedOn w:val="1"/>
    <w:qFormat/>
    <w:uiPriority w:val="0"/>
    <w:pPr>
      <w:tabs>
        <w:tab w:val="left" w:pos="425"/>
      </w:tabs>
      <w:ind w:left="1620" w:hanging="360"/>
    </w:pPr>
    <w:rPr>
      <w:rFonts w:ascii="Tahoma" w:hAnsi="Tahoma"/>
      <w:sz w:val="24"/>
    </w:rPr>
  </w:style>
  <w:style w:type="paragraph" w:customStyle="1" w:styleId="168">
    <w:name w:val="默认段落字体 Para Char Char Char Char Char Char Char"/>
    <w:basedOn w:val="1"/>
    <w:qFormat/>
    <w:uiPriority w:val="0"/>
    <w:rPr>
      <w:rFonts w:ascii="Tahoma" w:hAnsi="Tahoma"/>
      <w:sz w:val="24"/>
    </w:rPr>
  </w:style>
  <w:style w:type="paragraph" w:customStyle="1" w:styleId="169">
    <w:name w:val="样式3"/>
    <w:basedOn w:val="4"/>
    <w:next w:val="4"/>
    <w:qFormat/>
    <w:uiPriority w:val="0"/>
    <w:pPr>
      <w:keepLines/>
      <w:adjustRightInd w:val="0"/>
      <w:spacing w:before="340" w:after="330" w:line="576" w:lineRule="auto"/>
    </w:pPr>
    <w:rPr>
      <w:rFonts w:ascii="Times New Roman" w:eastAsia="黑体"/>
      <w:b/>
      <w:kern w:val="44"/>
      <w:sz w:val="44"/>
    </w:rPr>
  </w:style>
  <w:style w:type="paragraph" w:customStyle="1" w:styleId="170">
    <w:name w:val="默认段落字体 Para Char Char Char Char Char Char Char Char Char1 Char Char Char Char"/>
    <w:basedOn w:val="1"/>
    <w:qFormat/>
    <w:uiPriority w:val="0"/>
    <w:rPr>
      <w:rFonts w:ascii="Tahoma" w:hAnsi="Tahoma"/>
      <w:sz w:val="24"/>
    </w:rPr>
  </w:style>
  <w:style w:type="paragraph" w:customStyle="1" w:styleId="171">
    <w:name w:val="Char"/>
    <w:basedOn w:val="1"/>
    <w:qFormat/>
    <w:uiPriority w:val="0"/>
    <w:pPr>
      <w:spacing w:line="240" w:lineRule="atLeast"/>
      <w:ind w:left="420" w:firstLine="420"/>
    </w:pPr>
    <w:rPr>
      <w:kern w:val="0"/>
      <w:sz w:val="21"/>
    </w:rPr>
  </w:style>
  <w:style w:type="paragraph" w:customStyle="1" w:styleId="172">
    <w:name w:val="图片文字"/>
    <w:basedOn w:val="1"/>
    <w:qFormat/>
    <w:uiPriority w:val="0"/>
    <w:pPr>
      <w:spacing w:line="240" w:lineRule="atLeast"/>
      <w:jc w:val="center"/>
    </w:pPr>
    <w:rPr>
      <w:sz w:val="21"/>
    </w:rPr>
  </w:style>
  <w:style w:type="paragraph" w:customStyle="1" w:styleId="173">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74">
    <w:name w:val="_Style 173"/>
    <w:qFormat/>
    <w:uiPriority w:val="0"/>
    <w:rPr>
      <w:rFonts w:ascii="Calibri" w:hAnsi="Calibri" w:eastAsia="宋体" w:cs="Times New Roman"/>
      <w:kern w:val="2"/>
      <w:sz w:val="21"/>
      <w:lang w:val="en-US" w:eastAsia="zh-CN" w:bidi="ar-SA"/>
    </w:rPr>
  </w:style>
  <w:style w:type="paragraph" w:customStyle="1" w:styleId="175">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76">
    <w:name w:val="Title - Date"/>
    <w:basedOn w:val="54"/>
    <w:next w:val="1"/>
    <w:qFormat/>
    <w:uiPriority w:val="0"/>
    <w:pPr>
      <w:spacing w:before="240" w:after="720"/>
    </w:pPr>
    <w:rPr>
      <w:sz w:val="28"/>
    </w:rPr>
  </w:style>
  <w:style w:type="paragraph" w:customStyle="1" w:styleId="177">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78">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79">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80">
    <w:name w:val="Note"/>
    <w:basedOn w:val="1"/>
    <w:qFormat/>
    <w:uiPriority w:val="0"/>
    <w:pPr>
      <w:pBdr>
        <w:top w:val="single" w:color="auto" w:sz="12" w:space="3"/>
        <w:bottom w:val="single" w:color="auto" w:sz="12" w:space="3"/>
      </w:pBdr>
      <w:spacing w:line="360" w:lineRule="auto"/>
    </w:pPr>
    <w:rPr>
      <w:sz w:val="24"/>
    </w:rPr>
  </w:style>
  <w:style w:type="paragraph" w:customStyle="1" w:styleId="181">
    <w:name w:val="Bullets"/>
    <w:basedOn w:val="1"/>
    <w:qFormat/>
    <w:uiPriority w:val="0"/>
    <w:pPr>
      <w:widowControl/>
      <w:adjustRightInd w:val="0"/>
      <w:snapToGrid w:val="0"/>
      <w:spacing w:before="60" w:after="60"/>
    </w:pPr>
    <w:rPr>
      <w:kern w:val="0"/>
      <w:sz w:val="24"/>
      <w:lang w:val="en-GB"/>
    </w:rPr>
  </w:style>
  <w:style w:type="paragraph" w:customStyle="1" w:styleId="182">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83">
    <w:name w:val="表格内文字"/>
    <w:basedOn w:val="31"/>
    <w:qFormat/>
    <w:uiPriority w:val="0"/>
    <w:pPr>
      <w:adjustRightInd w:val="0"/>
    </w:pPr>
    <w:rPr>
      <w:color w:val="000000"/>
      <w:lang w:val="en-GB"/>
    </w:rPr>
  </w:style>
  <w:style w:type="paragraph" w:customStyle="1" w:styleId="184">
    <w:name w:val="Char2 Char Char Char Char Char Char"/>
    <w:basedOn w:val="1"/>
    <w:qFormat/>
    <w:uiPriority w:val="0"/>
    <w:rPr>
      <w:rFonts w:ascii="仿宋_GB2312"/>
      <w:b/>
      <w:sz w:val="30"/>
    </w:rPr>
  </w:style>
  <w:style w:type="paragraph" w:customStyle="1" w:styleId="185">
    <w:name w:val="样式 正文缩进正文（首行缩进两字）表正文正文非缩进特点标题4段1 + 首行缩进:  2 字符"/>
    <w:basedOn w:val="17"/>
    <w:qFormat/>
    <w:uiPriority w:val="0"/>
    <w:pPr>
      <w:ind w:firstLine="480" w:firstLineChars="200"/>
    </w:pPr>
  </w:style>
  <w:style w:type="paragraph" w:customStyle="1" w:styleId="186">
    <w:name w:val="Item Step in Table"/>
    <w:qFormat/>
    <w:uiPriority w:val="0"/>
    <w:pPr>
      <w:numPr>
        <w:ilvl w:val="0"/>
        <w:numId w:val="7"/>
      </w:numPr>
      <w:tabs>
        <w:tab w:val="left" w:pos="397"/>
      </w:tabs>
      <w:spacing w:before="40" w:after="40"/>
      <w:jc w:val="both"/>
    </w:pPr>
    <w:rPr>
      <w:rFonts w:ascii="Arial" w:hAnsi="Arial" w:eastAsia="宋体" w:cs="Times New Roman"/>
      <w:sz w:val="18"/>
      <w:lang w:val="en-US" w:eastAsia="zh-CN" w:bidi="ar-SA"/>
    </w:rPr>
  </w:style>
  <w:style w:type="paragraph" w:customStyle="1" w:styleId="187">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88">
    <w:name w:val="Item List"/>
    <w:qFormat/>
    <w:uiPriority w:val="0"/>
    <w:pPr>
      <w:numPr>
        <w:ilvl w:val="0"/>
        <w:numId w:val="8"/>
      </w:numPr>
      <w:spacing w:line="300" w:lineRule="auto"/>
      <w:jc w:val="both"/>
    </w:pPr>
    <w:rPr>
      <w:rFonts w:ascii="Arial" w:hAnsi="Arial" w:eastAsia="宋体" w:cs="Times New Roman"/>
      <w:sz w:val="21"/>
      <w:lang w:val="en-US" w:eastAsia="zh-CN" w:bidi="ar-SA"/>
    </w:rPr>
  </w:style>
  <w:style w:type="paragraph" w:customStyle="1" w:styleId="189">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90">
    <w:name w:val="样式 标题 1章标题Heading 0Section HeadPIM 1H1h11st levell11H1..."/>
    <w:basedOn w:val="4"/>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91">
    <w:name w:val="操作步骤"/>
    <w:basedOn w:val="1"/>
    <w:qFormat/>
    <w:uiPriority w:val="0"/>
    <w:pPr>
      <w:numPr>
        <w:ilvl w:val="0"/>
        <w:numId w:val="9"/>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92">
    <w:name w:val="Char Char1 Char"/>
    <w:basedOn w:val="1"/>
    <w:qFormat/>
    <w:uiPriority w:val="0"/>
    <w:rPr>
      <w:rFonts w:ascii="Tahoma" w:hAnsi="Tahoma"/>
      <w:sz w:val="24"/>
      <w:szCs w:val="24"/>
    </w:rPr>
  </w:style>
  <w:style w:type="paragraph" w:customStyle="1" w:styleId="193">
    <w:name w:val="bt"/>
    <w:basedOn w:val="1"/>
    <w:next w:val="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94">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95">
    <w:name w:val="样式2"/>
    <w:basedOn w:val="7"/>
    <w:qFormat/>
    <w:uiPriority w:val="0"/>
    <w:pPr>
      <w:numPr>
        <w:ilvl w:val="0"/>
        <w:numId w:val="10"/>
      </w:numPr>
      <w:spacing w:before="560" w:line="400" w:lineRule="exact"/>
      <w:jc w:val="center"/>
      <w:outlineLvl w:val="0"/>
    </w:pPr>
    <w:rPr>
      <w:b w:val="0"/>
      <w:sz w:val="44"/>
    </w:rPr>
  </w:style>
  <w:style w:type="paragraph" w:customStyle="1" w:styleId="196">
    <w:name w:val="样式 首行缩进:  0.74 厘米"/>
    <w:basedOn w:val="1"/>
    <w:qFormat/>
    <w:uiPriority w:val="0"/>
    <w:pPr>
      <w:spacing w:line="360" w:lineRule="auto"/>
      <w:ind w:firstLine="420"/>
    </w:pPr>
    <w:rPr>
      <w:sz w:val="24"/>
    </w:rPr>
  </w:style>
  <w:style w:type="paragraph" w:customStyle="1" w:styleId="197">
    <w:name w:val="简单回函地址"/>
    <w:basedOn w:val="1"/>
    <w:qFormat/>
    <w:uiPriority w:val="0"/>
    <w:pPr>
      <w:adjustRightInd w:val="0"/>
      <w:snapToGrid w:val="0"/>
      <w:spacing w:line="360" w:lineRule="auto"/>
    </w:pPr>
    <w:rPr>
      <w:sz w:val="24"/>
    </w:rPr>
  </w:style>
  <w:style w:type="paragraph" w:customStyle="1" w:styleId="198">
    <w:name w:val="内容标题"/>
    <w:basedOn w:val="19"/>
    <w:qFormat/>
    <w:uiPriority w:val="0"/>
    <w:rPr>
      <w:rFonts w:ascii="Tahoma" w:hAnsi="Tahoma"/>
      <w:sz w:val="24"/>
    </w:rPr>
  </w:style>
  <w:style w:type="paragraph" w:customStyle="1" w:styleId="199">
    <w:name w:val="1"/>
    <w:basedOn w:val="1"/>
    <w:next w:val="31"/>
    <w:qFormat/>
    <w:uiPriority w:val="0"/>
    <w:rPr>
      <w:rFonts w:ascii="宋体" w:hAnsi="Courier New"/>
      <w:sz w:val="21"/>
    </w:rPr>
  </w:style>
  <w:style w:type="paragraph" w:customStyle="1" w:styleId="200">
    <w:name w:val="_Style 3"/>
    <w:basedOn w:val="1"/>
    <w:qFormat/>
    <w:uiPriority w:val="99"/>
    <w:pPr>
      <w:ind w:firstLine="420" w:firstLineChars="200"/>
    </w:pPr>
    <w:rPr>
      <w:sz w:val="21"/>
      <w:szCs w:val="24"/>
    </w:rPr>
  </w:style>
  <w:style w:type="paragraph" w:customStyle="1" w:styleId="201">
    <w:name w:val="关键词"/>
    <w:basedOn w:val="1"/>
    <w:next w:val="1"/>
    <w:qFormat/>
    <w:uiPriority w:val="0"/>
    <w:pPr>
      <w:spacing w:line="360" w:lineRule="auto"/>
    </w:pPr>
    <w:rPr>
      <w:rFonts w:eastAsia="黑体"/>
      <w:sz w:val="20"/>
    </w:rPr>
  </w:style>
  <w:style w:type="paragraph" w:customStyle="1" w:styleId="202">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203">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204">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20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06">
    <w:name w:val="Title - Revision"/>
    <w:basedOn w:val="54"/>
    <w:qFormat/>
    <w:uiPriority w:val="0"/>
    <w:pPr>
      <w:spacing w:before="720"/>
    </w:pPr>
  </w:style>
  <w:style w:type="paragraph" w:customStyle="1" w:styleId="207">
    <w:name w:val="标题3——2"/>
    <w:basedOn w:val="6"/>
    <w:next w:val="56"/>
    <w:qFormat/>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208">
    <w:name w:val="列出段落1"/>
    <w:basedOn w:val="1"/>
    <w:unhideWhenUsed/>
    <w:qFormat/>
    <w:uiPriority w:val="34"/>
    <w:pPr>
      <w:ind w:firstLine="420" w:firstLineChars="200"/>
    </w:pPr>
    <w:rPr>
      <w:sz w:val="21"/>
      <w:szCs w:val="24"/>
    </w:rPr>
  </w:style>
  <w:style w:type="paragraph" w:customStyle="1" w:styleId="209">
    <w:name w:val="Char1 Char Char Char"/>
    <w:basedOn w:val="1"/>
    <w:qFormat/>
    <w:uiPriority w:val="0"/>
    <w:rPr>
      <w:rFonts w:ascii="Tahoma" w:hAnsi="Tahoma"/>
      <w:sz w:val="30"/>
    </w:rPr>
  </w:style>
  <w:style w:type="paragraph" w:customStyle="1" w:styleId="210">
    <w:name w:val="移动五期"/>
    <w:basedOn w:val="1"/>
    <w:qFormat/>
    <w:uiPriority w:val="0"/>
    <w:pPr>
      <w:spacing w:line="360" w:lineRule="auto"/>
      <w:ind w:firstLine="454"/>
    </w:pPr>
    <w:rPr>
      <w:rFonts w:ascii="宋体" w:hAnsi="Times New Roman"/>
      <w:sz w:val="24"/>
    </w:rPr>
  </w:style>
  <w:style w:type="paragraph" w:customStyle="1" w:styleId="211">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12">
    <w:name w:val="Char Char Char Char Char Char Char"/>
    <w:basedOn w:val="19"/>
    <w:qFormat/>
    <w:uiPriority w:val="0"/>
    <w:rPr>
      <w:rFonts w:ascii="宋体" w:hAnsi="Tahoma"/>
    </w:rPr>
  </w:style>
  <w:style w:type="paragraph" w:customStyle="1" w:styleId="213">
    <w:name w:val="样式 样式 首行缩进:  2 字符 + 首行缩进:  2 字符"/>
    <w:basedOn w:val="1"/>
    <w:qFormat/>
    <w:uiPriority w:val="0"/>
    <w:pPr>
      <w:numPr>
        <w:ilvl w:val="0"/>
        <w:numId w:val="11"/>
      </w:numPr>
      <w:tabs>
        <w:tab w:val="clear" w:pos="1230"/>
      </w:tabs>
      <w:spacing w:line="360" w:lineRule="auto"/>
      <w:ind w:firstLine="480" w:firstLineChars="200"/>
    </w:pPr>
    <w:rPr>
      <w:sz w:val="24"/>
    </w:rPr>
  </w:style>
  <w:style w:type="paragraph" w:customStyle="1" w:styleId="214">
    <w:name w:val="Char Char Char Char Char Char Char Char Char Char Char Char Char Char Char Char"/>
    <w:basedOn w:val="1"/>
    <w:qFormat/>
    <w:uiPriority w:val="0"/>
    <w:pPr>
      <w:tabs>
        <w:tab w:val="left" w:pos="360"/>
      </w:tabs>
    </w:pPr>
    <w:rPr>
      <w:sz w:val="24"/>
    </w:rPr>
  </w:style>
  <w:style w:type="paragraph" w:customStyle="1" w:styleId="215">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216">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17">
    <w:name w:val="样式 正文首行缩进 2 + 首行缩进:  2 字符"/>
    <w:basedOn w:val="1"/>
    <w:qFormat/>
    <w:uiPriority w:val="0"/>
    <w:pPr>
      <w:numPr>
        <w:ilvl w:val="0"/>
        <w:numId w:val="12"/>
      </w:numPr>
      <w:adjustRightInd w:val="0"/>
      <w:snapToGrid w:val="0"/>
      <w:spacing w:line="360" w:lineRule="auto"/>
    </w:pPr>
    <w:rPr>
      <w:rFonts w:ascii="Arial" w:hAnsi="Arial"/>
      <w:b/>
      <w:sz w:val="24"/>
    </w:rPr>
  </w:style>
  <w:style w:type="paragraph" w:customStyle="1" w:styleId="218">
    <w:name w:val="标题2"/>
    <w:basedOn w:val="5"/>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19">
    <w:name w:val="正文1"/>
    <w:basedOn w:val="1"/>
    <w:qFormat/>
    <w:uiPriority w:val="0"/>
    <w:pPr>
      <w:spacing w:line="300" w:lineRule="auto"/>
      <w:ind w:firstLine="200" w:firstLineChars="200"/>
    </w:pPr>
    <w:rPr>
      <w:sz w:val="24"/>
    </w:rPr>
  </w:style>
  <w:style w:type="paragraph" w:customStyle="1" w:styleId="22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1">
    <w:name w:val="标书正文:  0.74 厘米"/>
    <w:basedOn w:val="1"/>
    <w:qFormat/>
    <w:uiPriority w:val="0"/>
    <w:pPr>
      <w:snapToGrid w:val="0"/>
      <w:spacing w:line="360" w:lineRule="auto"/>
      <w:ind w:firstLine="420"/>
    </w:pPr>
    <w:rPr>
      <w:sz w:val="24"/>
    </w:rPr>
  </w:style>
  <w:style w:type="paragraph" w:customStyle="1" w:styleId="222">
    <w:name w:val="Char1"/>
    <w:basedOn w:val="1"/>
    <w:qFormat/>
    <w:uiPriority w:val="0"/>
    <w:rPr>
      <w:sz w:val="21"/>
    </w:rPr>
  </w:style>
  <w:style w:type="paragraph" w:customStyle="1" w:styleId="223">
    <w:name w:val="正文（首行不缩进）"/>
    <w:basedOn w:val="1"/>
    <w:qFormat/>
    <w:uiPriority w:val="0"/>
    <w:pPr>
      <w:autoSpaceDE w:val="0"/>
      <w:autoSpaceDN w:val="0"/>
      <w:adjustRightInd w:val="0"/>
      <w:spacing w:line="360" w:lineRule="auto"/>
      <w:jc w:val="left"/>
    </w:pPr>
    <w:rPr>
      <w:kern w:val="0"/>
      <w:sz w:val="21"/>
    </w:rPr>
  </w:style>
  <w:style w:type="paragraph" w:customStyle="1" w:styleId="224">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25">
    <w:name w:val="标题无"/>
    <w:basedOn w:val="1"/>
    <w:qFormat/>
    <w:uiPriority w:val="0"/>
    <w:pPr>
      <w:spacing w:line="360" w:lineRule="auto"/>
    </w:pPr>
    <w:rPr>
      <w:sz w:val="24"/>
    </w:rPr>
  </w:style>
  <w:style w:type="paragraph" w:customStyle="1" w:styleId="226">
    <w:name w:val="首行缩进"/>
    <w:basedOn w:val="1"/>
    <w:qFormat/>
    <w:uiPriority w:val="0"/>
    <w:pPr>
      <w:numPr>
        <w:ilvl w:val="0"/>
        <w:numId w:val="13"/>
      </w:numPr>
      <w:spacing w:line="360" w:lineRule="auto"/>
    </w:pPr>
    <w:rPr>
      <w:rFonts w:eastAsia="仿宋_GB2312"/>
    </w:rPr>
  </w:style>
  <w:style w:type="paragraph" w:customStyle="1" w:styleId="227">
    <w:name w:val="附录3"/>
    <w:basedOn w:val="1"/>
    <w:next w:val="1"/>
    <w:qFormat/>
    <w:uiPriority w:val="0"/>
    <w:pPr>
      <w:tabs>
        <w:tab w:val="left" w:pos="851"/>
      </w:tabs>
      <w:ind w:left="425" w:hanging="425"/>
      <w:outlineLvl w:val="2"/>
    </w:pPr>
    <w:rPr>
      <w:rFonts w:eastAsia="黑体"/>
      <w:b/>
      <w:sz w:val="32"/>
    </w:rPr>
  </w:style>
  <w:style w:type="paragraph" w:customStyle="1" w:styleId="228">
    <w:name w:val="Char Char14 Char Char"/>
    <w:basedOn w:val="1"/>
    <w:qFormat/>
    <w:uiPriority w:val="0"/>
    <w:rPr>
      <w:sz w:val="21"/>
      <w:szCs w:val="24"/>
    </w:rPr>
  </w:style>
  <w:style w:type="paragraph" w:customStyle="1" w:styleId="229">
    <w:name w:val="样式1xz"/>
    <w:basedOn w:val="1"/>
    <w:uiPriority w:val="0"/>
    <w:pPr>
      <w:tabs>
        <w:tab w:val="left" w:pos="1050"/>
        <w:tab w:val="right" w:leader="dot" w:pos="8296"/>
      </w:tabs>
    </w:pPr>
    <w:rPr>
      <w:caps/>
      <w:spacing w:val="20"/>
      <w:sz w:val="24"/>
    </w:rPr>
  </w:style>
  <w:style w:type="paragraph" w:customStyle="1" w:styleId="230">
    <w:name w:val="表头文本"/>
    <w:qFormat/>
    <w:uiPriority w:val="0"/>
    <w:pPr>
      <w:jc w:val="center"/>
    </w:pPr>
    <w:rPr>
      <w:rFonts w:ascii="Arial" w:hAnsi="Arial" w:eastAsia="宋体" w:cs="Times New Roman"/>
      <w:b/>
      <w:sz w:val="21"/>
      <w:lang w:val="en-US" w:eastAsia="zh-CN" w:bidi="ar-SA"/>
    </w:rPr>
  </w:style>
  <w:style w:type="paragraph" w:customStyle="1" w:styleId="231">
    <w:name w:val="Char Char Char"/>
    <w:basedOn w:val="1"/>
    <w:uiPriority w:val="0"/>
    <w:rPr>
      <w:rFonts w:ascii="Tahoma" w:hAnsi="Tahoma"/>
      <w:sz w:val="24"/>
    </w:rPr>
  </w:style>
  <w:style w:type="paragraph" w:customStyle="1" w:styleId="232">
    <w:name w:val="Char Char 字元 字元 字元 Char Char Char Char"/>
    <w:basedOn w:val="1"/>
    <w:qFormat/>
    <w:uiPriority w:val="0"/>
    <w:pPr>
      <w:adjustRightInd w:val="0"/>
      <w:spacing w:line="360" w:lineRule="auto"/>
    </w:pPr>
    <w:rPr>
      <w:kern w:val="0"/>
      <w:sz w:val="24"/>
    </w:rPr>
  </w:style>
  <w:style w:type="paragraph" w:customStyle="1" w:styleId="233">
    <w:name w:val="正文格式 Char"/>
    <w:basedOn w:val="1"/>
    <w:uiPriority w:val="0"/>
    <w:pPr>
      <w:widowControl/>
      <w:adjustRightInd w:val="0"/>
      <w:spacing w:line="440" w:lineRule="atLeast"/>
      <w:ind w:firstLine="510"/>
      <w:textAlignment w:val="baseline"/>
    </w:pPr>
    <w:rPr>
      <w:kern w:val="0"/>
      <w:sz w:val="24"/>
    </w:rPr>
  </w:style>
  <w:style w:type="paragraph" w:customStyle="1" w:styleId="234">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35">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236">
    <w:name w:val="文档正文 Char Char Char Char"/>
    <w:basedOn w:val="1"/>
    <w:uiPriority w:val="0"/>
    <w:pPr>
      <w:adjustRightInd w:val="0"/>
      <w:spacing w:line="440" w:lineRule="exact"/>
      <w:ind w:firstLine="420"/>
      <w:textAlignment w:val="baseline"/>
    </w:pPr>
    <w:rPr>
      <w:rFonts w:ascii="Arial Narrow" w:hAnsi="Arial Narrow"/>
      <w:kern w:val="0"/>
      <w:sz w:val="24"/>
    </w:rPr>
  </w:style>
  <w:style w:type="paragraph" w:customStyle="1" w:styleId="237">
    <w:name w:val="表号"/>
    <w:basedOn w:val="1"/>
    <w:qFormat/>
    <w:uiPriority w:val="0"/>
    <w:pPr>
      <w:numPr>
        <w:ilvl w:val="0"/>
        <w:numId w:val="14"/>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238">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239">
    <w:name w:val="Char Char Char Char Char Char Char1"/>
    <w:basedOn w:val="1"/>
    <w:qFormat/>
    <w:uiPriority w:val="0"/>
    <w:rPr>
      <w:rFonts w:ascii="Tahoma" w:hAnsi="Tahoma"/>
      <w:sz w:val="24"/>
    </w:rPr>
  </w:style>
  <w:style w:type="paragraph" w:customStyle="1" w:styleId="240">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41">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42">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243">
    <w:name w:val="表头样式"/>
    <w:basedOn w:val="1"/>
    <w:qFormat/>
    <w:uiPriority w:val="0"/>
    <w:pPr>
      <w:autoSpaceDE w:val="0"/>
      <w:autoSpaceDN w:val="0"/>
      <w:adjustRightInd w:val="0"/>
      <w:spacing w:line="360" w:lineRule="auto"/>
      <w:jc w:val="left"/>
    </w:pPr>
    <w:rPr>
      <w:b/>
      <w:kern w:val="0"/>
      <w:sz w:val="21"/>
    </w:rPr>
  </w:style>
  <w:style w:type="paragraph" w:customStyle="1" w:styleId="244">
    <w:name w:val="_"/>
    <w:basedOn w:val="1"/>
    <w:qFormat/>
    <w:uiPriority w:val="0"/>
    <w:pPr>
      <w:adjustRightInd w:val="0"/>
      <w:spacing w:line="360" w:lineRule="auto"/>
      <w:ind w:left="480" w:firstLine="200" w:firstLineChars="200"/>
      <w:textAlignment w:val="baseline"/>
    </w:pPr>
    <w:rPr>
      <w:kern w:val="0"/>
      <w:sz w:val="24"/>
    </w:rPr>
  </w:style>
  <w:style w:type="paragraph" w:customStyle="1" w:styleId="245">
    <w:name w:val="CSS1级正文 Char"/>
    <w:basedOn w:val="2"/>
    <w:qFormat/>
    <w:uiPriority w:val="0"/>
    <w:pPr>
      <w:adjustRightInd w:val="0"/>
      <w:snapToGrid w:val="0"/>
      <w:spacing w:line="360" w:lineRule="auto"/>
      <w:ind w:firstLine="480"/>
    </w:pPr>
    <w:rPr>
      <w:rFonts w:ascii="Times New Roman" w:eastAsia="宋体"/>
      <w:sz w:val="24"/>
    </w:rPr>
  </w:style>
  <w:style w:type="paragraph" w:customStyle="1" w:styleId="246">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47">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48">
    <w:name w:val="文本1"/>
    <w:basedOn w:val="1"/>
    <w:qFormat/>
    <w:uiPriority w:val="0"/>
    <w:pPr>
      <w:adjustRightInd w:val="0"/>
      <w:spacing w:line="312" w:lineRule="atLeast"/>
      <w:jc w:val="center"/>
      <w:textAlignment w:val="baseline"/>
    </w:pPr>
    <w:rPr>
      <w:kern w:val="0"/>
      <w:sz w:val="18"/>
    </w:rPr>
  </w:style>
  <w:style w:type="paragraph" w:customStyle="1" w:styleId="249">
    <w:name w:val="图例"/>
    <w:basedOn w:val="1"/>
    <w:qFormat/>
    <w:uiPriority w:val="0"/>
    <w:pPr>
      <w:spacing w:before="120" w:after="120" w:line="360" w:lineRule="auto"/>
      <w:jc w:val="center"/>
    </w:pPr>
    <w:rPr>
      <w:rFonts w:eastAsia="仿宋_GB2312"/>
      <w:b/>
      <w:sz w:val="24"/>
    </w:rPr>
  </w:style>
  <w:style w:type="paragraph" w:customStyle="1" w:styleId="250">
    <w:name w:val="Char2"/>
    <w:basedOn w:val="1"/>
    <w:qFormat/>
    <w:uiPriority w:val="0"/>
    <w:pPr>
      <w:spacing w:line="240" w:lineRule="atLeast"/>
      <w:ind w:left="420" w:firstLine="420"/>
    </w:pPr>
    <w:rPr>
      <w:kern w:val="0"/>
      <w:sz w:val="21"/>
    </w:rPr>
  </w:style>
  <w:style w:type="paragraph" w:customStyle="1" w:styleId="251">
    <w:name w:val="可研正文"/>
    <w:basedOn w:val="2"/>
    <w:qFormat/>
    <w:uiPriority w:val="0"/>
    <w:pPr>
      <w:adjustRightInd w:val="0"/>
      <w:snapToGrid w:val="0"/>
      <w:spacing w:line="440" w:lineRule="exact"/>
      <w:ind w:firstLine="567"/>
    </w:pPr>
    <w:rPr>
      <w:sz w:val="28"/>
    </w:rPr>
  </w:style>
  <w:style w:type="paragraph" w:customStyle="1" w:styleId="252">
    <w:name w:val="编号正文"/>
    <w:basedOn w:val="216"/>
    <w:qFormat/>
    <w:uiPriority w:val="0"/>
    <w:pPr>
      <w:snapToGrid/>
      <w:spacing w:line="360" w:lineRule="auto"/>
      <w:ind w:left="1407" w:hanging="1047"/>
      <w:jc w:val="left"/>
    </w:pPr>
    <w:rPr>
      <w:rFonts w:eastAsia="仿宋_GB2312"/>
    </w:rPr>
  </w:style>
  <w:style w:type="paragraph" w:customStyle="1" w:styleId="253">
    <w:name w:val="Default"/>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254">
    <w:name w:val="正文表格"/>
    <w:basedOn w:val="1"/>
    <w:qFormat/>
    <w:uiPriority w:val="0"/>
    <w:pPr>
      <w:adjustRightInd w:val="0"/>
      <w:spacing w:before="40" w:after="40"/>
    </w:pPr>
    <w:rPr>
      <w:sz w:val="24"/>
    </w:rPr>
  </w:style>
  <w:style w:type="paragraph" w:customStyle="1" w:styleId="255">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56">
    <w:name w:val="正文字缩2字"/>
    <w:basedOn w:val="1"/>
    <w:qFormat/>
    <w:uiPriority w:val="0"/>
    <w:pPr>
      <w:spacing w:before="60" w:after="60" w:line="360" w:lineRule="auto"/>
      <w:ind w:left="200" w:leftChars="200" w:firstLine="200" w:firstLineChars="200"/>
    </w:pPr>
    <w:rPr>
      <w:sz w:val="24"/>
    </w:rPr>
  </w:style>
  <w:style w:type="paragraph" w:customStyle="1" w:styleId="257">
    <w:name w:val="样式4"/>
    <w:basedOn w:val="7"/>
    <w:qFormat/>
    <w:uiPriority w:val="0"/>
    <w:pPr>
      <w:adjustRightInd w:val="0"/>
      <w:snapToGrid w:val="0"/>
    </w:pPr>
  </w:style>
  <w:style w:type="paragraph" w:customStyle="1" w:styleId="258">
    <w:name w:val="正文 A"/>
    <w:qFormat/>
    <w:uiPriority w:val="0"/>
    <w:pPr>
      <w:widowControl w:val="0"/>
      <w:jc w:val="both"/>
    </w:pPr>
    <w:rPr>
      <w:rFonts w:ascii="Times New Roman" w:hAnsi="Times New Roman" w:eastAsia="Times New Roman" w:cs="Times New Roman"/>
      <w:color w:val="000000"/>
      <w:kern w:val="2"/>
      <w:sz w:val="28"/>
      <w:szCs w:val="28"/>
      <w:u w:color="000000"/>
      <w:lang w:val="en-US" w:eastAsia="zh-CN" w:bidi="ar-SA"/>
    </w:rPr>
  </w:style>
  <w:style w:type="paragraph" w:customStyle="1" w:styleId="259">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60">
    <w:name w:val="样式 宋体 五号 行距: 单倍行距"/>
    <w:basedOn w:val="1"/>
    <w:qFormat/>
    <w:uiPriority w:val="0"/>
    <w:pPr>
      <w:adjustRightInd w:val="0"/>
      <w:jc w:val="left"/>
    </w:pPr>
    <w:rPr>
      <w:rFonts w:ascii="宋体" w:hAnsi="宋体"/>
      <w:kern w:val="0"/>
      <w:sz w:val="21"/>
    </w:rPr>
  </w:style>
  <w:style w:type="paragraph" w:customStyle="1" w:styleId="261">
    <w:name w:val="表格文本"/>
    <w:qFormat/>
    <w:uiPriority w:val="0"/>
    <w:pPr>
      <w:tabs>
        <w:tab w:val="decimal" w:pos="0"/>
      </w:tabs>
    </w:pPr>
    <w:rPr>
      <w:rFonts w:ascii="Arial" w:hAnsi="Arial" w:eastAsia="宋体" w:cs="Times New Roman"/>
      <w:sz w:val="21"/>
      <w:lang w:val="en-US" w:eastAsia="zh-CN" w:bidi="ar-SA"/>
    </w:rPr>
  </w:style>
  <w:style w:type="paragraph" w:customStyle="1" w:styleId="262">
    <w:name w:val="Char1 Char Char Char1"/>
    <w:basedOn w:val="1"/>
    <w:qFormat/>
    <w:uiPriority w:val="0"/>
    <w:rPr>
      <w:rFonts w:ascii="Tahoma" w:hAnsi="Tahoma"/>
      <w:sz w:val="24"/>
    </w:rPr>
  </w:style>
  <w:style w:type="paragraph" w:customStyle="1" w:styleId="263">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64">
    <w:name w:val="样式 行距: 1.5 倍行距1"/>
    <w:basedOn w:val="1"/>
    <w:qFormat/>
    <w:uiPriority w:val="0"/>
    <w:pPr>
      <w:snapToGrid w:val="0"/>
    </w:pPr>
    <w:rPr>
      <w:sz w:val="21"/>
    </w:rPr>
  </w:style>
  <w:style w:type="paragraph" w:customStyle="1" w:styleId="265">
    <w:name w:val="正文缩进_0"/>
    <w:basedOn w:val="1"/>
    <w:qFormat/>
    <w:uiPriority w:val="0"/>
    <w:pPr>
      <w:ind w:firstLine="420"/>
    </w:pPr>
    <w:rPr>
      <w:rFonts w:ascii="Times New Roman" w:hAnsi="Times New Roman" w:eastAsia="Times New Roman"/>
      <w:kern w:val="0"/>
      <w:sz w:val="24"/>
      <w:szCs w:val="24"/>
    </w:rPr>
  </w:style>
  <w:style w:type="paragraph" w:customStyle="1" w:styleId="266">
    <w:name w:val="修订1"/>
    <w:hidden/>
    <w:semiHidden/>
    <w:qFormat/>
    <w:uiPriority w:val="99"/>
    <w:rPr>
      <w:rFonts w:ascii="Calibri" w:hAnsi="Calibri" w:eastAsia="宋体" w:cs="Times New Roman"/>
      <w:kern w:val="2"/>
      <w:sz w:val="28"/>
      <w:lang w:val="en-US" w:eastAsia="zh-CN" w:bidi="ar-SA"/>
    </w:rPr>
  </w:style>
  <w:style w:type="paragraph" w:customStyle="1" w:styleId="267">
    <w:name w:val="修订2"/>
    <w:hidden/>
    <w:semiHidden/>
    <w:qFormat/>
    <w:uiPriority w:val="99"/>
    <w:rPr>
      <w:rFonts w:ascii="Calibri" w:hAnsi="Calibri" w:eastAsia="宋体" w:cs="Times New Roman"/>
      <w:kern w:val="2"/>
      <w:sz w:val="28"/>
      <w:lang w:val="en-US" w:eastAsia="zh-CN" w:bidi="ar-SA"/>
    </w:rPr>
  </w:style>
  <w:style w:type="paragraph" w:customStyle="1" w:styleId="268">
    <w:name w:val="修订3"/>
    <w:hidden/>
    <w:semiHidden/>
    <w:uiPriority w:val="99"/>
    <w:rPr>
      <w:rFonts w:ascii="Calibri" w:hAnsi="Calibri" w:eastAsia="宋体" w:cs="Times New Roman"/>
      <w:kern w:val="2"/>
      <w:sz w:val="28"/>
      <w:lang w:val="en-US" w:eastAsia="zh-CN" w:bidi="ar-SA"/>
    </w:rPr>
  </w:style>
  <w:style w:type="paragraph" w:customStyle="1" w:styleId="269">
    <w:name w:val="Revision"/>
    <w:hidden/>
    <w:semiHidden/>
    <w:uiPriority w:val="99"/>
    <w:rPr>
      <w:rFonts w:ascii="Calibri" w:hAnsi="Calibri" w:eastAsia="宋体" w:cs="Times New Roman"/>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3593</Words>
  <Characters>20486</Characters>
  <Lines>170</Lines>
  <Paragraphs>48</Paragraphs>
  <TotalTime>66</TotalTime>
  <ScaleCrop>false</ScaleCrop>
  <LinksUpToDate>false</LinksUpToDate>
  <CharactersWithSpaces>24031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2021-12-08T02:55:00Z</dcterms:created>
  <dc:creator>罗成</dc:creator>
  <cp:lastModifiedBy>KAWLB</cp:lastModifiedBy>
  <cp:lastPrinted>2020-09-18T07:14:00Z</cp:lastPrinted>
  <dcterms:modified xsi:type="dcterms:W3CDTF">2023-11-29T02:37:41Z</dcterms:modified>
  <dc:title>竞争性谈判文件</dc:title>
  <cp:revision>465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8DC3690BCC784131B0CC156D85854AE5_13</vt:lpwstr>
  </property>
</Properties>
</file>