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pPr>
      <w:bookmarkStart w:id="137" w:name="_GoBack"/>
      <w:bookmarkEnd w:id="137"/>
      <w:r>
        <w:rPr>
          <w:rFonts w:hint="eastAsia"/>
        </w:rPr>
        <w:t>采购代理机构备</w:t>
      </w:r>
      <w:r>
        <w:rPr>
          <w:rFonts w:hint="eastAsia" w:ascii="宋体" w:hAnsi="宋体"/>
        </w:rPr>
        <w:t>案号：CQCBJQ</w:t>
      </w:r>
      <w:r>
        <w:rPr>
          <w:rFonts w:ascii="宋体" w:hAnsi="宋体"/>
        </w:rPr>
        <w:t>2404-089</w:t>
      </w:r>
    </w:p>
    <w:p>
      <w:pPr>
        <w:jc w:val="center"/>
      </w:pPr>
    </w:p>
    <w:p>
      <w:pPr>
        <w:jc w:val="center"/>
        <w:outlineLvl w:val="0"/>
        <w:rPr>
          <w:rFonts w:ascii="宋体" w:hAnsi="宋体"/>
          <w:b/>
          <w:sz w:val="52"/>
          <w:szCs w:val="52"/>
        </w:rPr>
      </w:pPr>
      <w:r>
        <w:rPr>
          <w:rFonts w:hint="eastAsia" w:ascii="宋体" w:hAnsi="宋体"/>
          <w:b/>
          <w:sz w:val="52"/>
          <w:szCs w:val="52"/>
        </w:rPr>
        <w:t>物流领域信访投诉处理服务项目</w:t>
      </w:r>
    </w:p>
    <w:p>
      <w:pPr>
        <w:outlineLvl w:val="0"/>
        <w:rPr>
          <w:rFonts w:ascii="宋体" w:hAnsi="宋体"/>
          <w:spacing w:val="80"/>
          <w:sz w:val="72"/>
          <w:szCs w:val="72"/>
        </w:rPr>
      </w:pPr>
    </w:p>
    <w:p>
      <w:pPr>
        <w:pStyle w:val="2"/>
      </w:pPr>
    </w:p>
    <w:p>
      <w:pPr>
        <w:pStyle w:val="3"/>
      </w:pPr>
    </w:p>
    <w:p>
      <w:pPr>
        <w:pStyle w:val="2"/>
      </w:pPr>
    </w:p>
    <w:p>
      <w:pPr>
        <w:pStyle w:val="3"/>
      </w:pPr>
    </w:p>
    <w:p>
      <w:pPr>
        <w:pStyle w:val="2"/>
      </w:pPr>
    </w:p>
    <w:p>
      <w:pPr>
        <w:jc w:val="center"/>
        <w:outlineLvl w:val="0"/>
        <w:rPr>
          <w:rFonts w:ascii="宋体" w:hAnsi="宋体"/>
          <w:spacing w:val="80"/>
          <w:sz w:val="72"/>
          <w:szCs w:val="72"/>
        </w:rPr>
      </w:pPr>
    </w:p>
    <w:p>
      <w:pPr>
        <w:jc w:val="center"/>
        <w:outlineLvl w:val="0"/>
        <w:rPr>
          <w:spacing w:val="80"/>
          <w:sz w:val="72"/>
          <w:szCs w:val="72"/>
        </w:rPr>
      </w:pPr>
      <w:r>
        <w:rPr>
          <w:spacing w:val="80"/>
          <w:sz w:val="72"/>
          <w:szCs w:val="72"/>
        </w:rPr>
        <w:t>竞争性比选文件</w:t>
      </w:r>
    </w:p>
    <w:p>
      <w:pPr>
        <w:spacing w:line="700" w:lineRule="exact"/>
        <w:jc w:val="center"/>
        <w:rPr>
          <w:sz w:val="36"/>
          <w:szCs w:val="30"/>
        </w:rPr>
      </w:pPr>
      <w:r>
        <w:rPr>
          <w:sz w:val="36"/>
          <w:szCs w:val="30"/>
        </w:rPr>
        <w:t>项目号：</w:t>
      </w:r>
      <w:r>
        <w:rPr>
          <w:rFonts w:ascii="宋体" w:hAnsi="宋体"/>
          <w:sz w:val="36"/>
          <w:szCs w:val="30"/>
        </w:rPr>
        <w:t>SZFKAWLCG202</w:t>
      </w:r>
      <w:r>
        <w:rPr>
          <w:rFonts w:hint="eastAsia" w:ascii="宋体" w:hAnsi="宋体"/>
          <w:sz w:val="36"/>
          <w:szCs w:val="30"/>
        </w:rPr>
        <w:t>4</w:t>
      </w:r>
      <w:r>
        <w:rPr>
          <w:rFonts w:ascii="宋体" w:hAnsi="宋体"/>
          <w:sz w:val="36"/>
          <w:szCs w:val="30"/>
        </w:rPr>
        <w:t>-0</w:t>
      </w:r>
      <w:r>
        <w:rPr>
          <w:rFonts w:hint="eastAsia" w:ascii="宋体" w:hAnsi="宋体"/>
          <w:sz w:val="36"/>
          <w:szCs w:val="30"/>
        </w:rPr>
        <w:t>03</w:t>
      </w:r>
    </w:p>
    <w:p>
      <w:pPr>
        <w:spacing w:line="700" w:lineRule="exact"/>
        <w:jc w:val="center"/>
        <w:rPr>
          <w:sz w:val="36"/>
          <w:szCs w:val="30"/>
        </w:rPr>
      </w:pPr>
    </w:p>
    <w:p>
      <w:pPr>
        <w:spacing w:line="700" w:lineRule="exact"/>
        <w:ind w:firstLine="2700" w:firstLineChars="750"/>
        <w:rPr>
          <w:rFonts w:ascii="宋体" w:hAnsi="宋体"/>
          <w:sz w:val="36"/>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ind w:left="84" w:leftChars="30"/>
        <w:jc w:val="left"/>
        <w:rPr>
          <w:sz w:val="36"/>
          <w:szCs w:val="30"/>
        </w:rPr>
      </w:pPr>
      <w:r>
        <w:rPr>
          <w:rFonts w:hint="eastAsia"/>
          <w:sz w:val="36"/>
          <w:szCs w:val="30"/>
        </w:rPr>
        <w:t xml:space="preserve">    </w:t>
      </w:r>
      <w:r>
        <w:rPr>
          <w:sz w:val="36"/>
          <w:szCs w:val="30"/>
        </w:rPr>
        <w:t>采   购   人：</w:t>
      </w:r>
      <w:r>
        <w:rPr>
          <w:rFonts w:hint="eastAsia"/>
          <w:sz w:val="36"/>
          <w:szCs w:val="30"/>
        </w:rPr>
        <w:t>重庆市人民政府口岸和物流办公室</w:t>
      </w:r>
    </w:p>
    <w:p>
      <w:pPr>
        <w:spacing w:line="700" w:lineRule="exact"/>
        <w:jc w:val="center"/>
        <w:rPr>
          <w:sz w:val="36"/>
          <w:szCs w:val="30"/>
        </w:rPr>
      </w:pPr>
      <w:r>
        <w:rPr>
          <w:sz w:val="36"/>
          <w:szCs w:val="30"/>
        </w:rPr>
        <w:t>采购代理机构：重庆市中基致信招标代理有限公司</w:t>
      </w:r>
    </w:p>
    <w:p>
      <w:pPr>
        <w:spacing w:line="700" w:lineRule="exact"/>
        <w:jc w:val="center"/>
        <w:rPr>
          <w:sz w:val="36"/>
          <w:szCs w:val="30"/>
        </w:rPr>
        <w:sectPr>
          <w:headerReference r:id="rId4" w:type="first"/>
          <w:footerReference r:id="rId6" w:type="first"/>
          <w:headerReference r:id="rId3" w:type="default"/>
          <w:footerReference r:id="rId5" w:type="even"/>
          <w:pgSz w:w="11907" w:h="16840"/>
          <w:pgMar w:top="1134" w:right="1191" w:bottom="1134" w:left="1191" w:header="851" w:footer="992" w:gutter="0"/>
          <w:pgNumType w:fmt="numberInDash" w:start="1"/>
          <w:cols w:space="720" w:num="1"/>
          <w:docGrid w:linePitch="380" w:charSpace="-5735"/>
        </w:sectPr>
      </w:pPr>
      <w:r>
        <w:rPr>
          <w:sz w:val="36"/>
          <w:szCs w:val="30"/>
        </w:rPr>
        <w:t>二</w:t>
      </w:r>
      <w:r>
        <w:rPr>
          <w:rFonts w:hint="eastAsia"/>
          <w:sz w:val="36"/>
          <w:szCs w:val="30"/>
        </w:rPr>
        <w:t>〇</w:t>
      </w:r>
      <w:r>
        <w:rPr>
          <w:sz w:val="36"/>
          <w:szCs w:val="30"/>
        </w:rPr>
        <w:t>二</w:t>
      </w:r>
      <w:r>
        <w:rPr>
          <w:rFonts w:hint="eastAsia"/>
          <w:sz w:val="36"/>
          <w:szCs w:val="30"/>
        </w:rPr>
        <w:t>四</w:t>
      </w:r>
      <w:r>
        <w:rPr>
          <w:sz w:val="36"/>
          <w:szCs w:val="30"/>
        </w:rPr>
        <w:t>年</w:t>
      </w:r>
      <w:r>
        <w:rPr>
          <w:rFonts w:hint="eastAsia"/>
          <w:sz w:val="36"/>
          <w:szCs w:val="30"/>
        </w:rPr>
        <w:t>四</w:t>
      </w:r>
      <w:r>
        <w:rPr>
          <w:sz w:val="36"/>
          <w:szCs w:val="30"/>
        </w:rPr>
        <w:t>月</w:t>
      </w:r>
    </w:p>
    <w:p>
      <w:pPr>
        <w:pageBreakBefore/>
        <w:spacing w:line="480" w:lineRule="exact"/>
        <w:jc w:val="center"/>
        <w:outlineLvl w:val="0"/>
        <w:rPr>
          <w:rFonts w:ascii="宋体" w:hAnsi="宋体"/>
          <w:sz w:val="44"/>
          <w:szCs w:val="28"/>
        </w:rPr>
      </w:pPr>
      <w:r>
        <w:rPr>
          <w:rFonts w:hint="eastAsia" w:ascii="宋体" w:hAnsi="宋体"/>
          <w:sz w:val="44"/>
          <w:szCs w:val="28"/>
        </w:rPr>
        <w:t>目   录</w:t>
      </w:r>
    </w:p>
    <w:p>
      <w:pPr>
        <w:pStyle w:val="46"/>
        <w:tabs>
          <w:tab w:val="right" w:leader="dot" w:pos="9515"/>
        </w:tabs>
        <w:ind w:left="560"/>
        <w:rPr>
          <w:rFonts w:asciiTheme="minorHAnsi" w:hAnsiTheme="minorHAnsi" w:eastAsiaTheme="minorEastAsia" w:cstheme="minorBidi"/>
          <w:sz w:val="21"/>
          <w:szCs w:val="22"/>
          <w14:ligatures w14:val="standardContextual"/>
        </w:rPr>
      </w:pPr>
      <w:r>
        <w:rPr>
          <w:rFonts w:hint="eastAsia" w:ascii="宋体" w:hAnsi="宋体"/>
          <w:sz w:val="24"/>
          <w:szCs w:val="24"/>
        </w:rPr>
        <w:fldChar w:fldCharType="begin"/>
      </w:r>
      <w:r>
        <w:rPr>
          <w:rFonts w:hint="eastAsia" w:ascii="宋体" w:hAnsi="宋体"/>
          <w:sz w:val="24"/>
          <w:szCs w:val="24"/>
        </w:rPr>
        <w:instrText xml:space="preserve"> TOC \o "1-3" \h \z </w:instrText>
      </w:r>
      <w:r>
        <w:rPr>
          <w:rFonts w:hint="eastAsia" w:ascii="宋体" w:hAnsi="宋体"/>
          <w:sz w:val="24"/>
          <w:szCs w:val="24"/>
        </w:rPr>
        <w:fldChar w:fldCharType="separate"/>
      </w:r>
      <w:r>
        <w:fldChar w:fldCharType="begin"/>
      </w:r>
      <w:r>
        <w:instrText xml:space="preserve"> HYPERLINK \l "_Toc164842599" </w:instrText>
      </w:r>
      <w:r>
        <w:fldChar w:fldCharType="separate"/>
      </w:r>
      <w:r>
        <w:rPr>
          <w:rStyle w:val="65"/>
          <w:rFonts w:ascii="宋体" w:hAnsi="宋体"/>
        </w:rPr>
        <w:t>第一篇  采购邀请书</w:t>
      </w:r>
      <w:r>
        <w:tab/>
      </w:r>
      <w:r>
        <w:fldChar w:fldCharType="begin"/>
      </w:r>
      <w:r>
        <w:instrText xml:space="preserve"> PAGEREF _Toc164842599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"_Toc164842600" </w:instrText>
      </w:r>
      <w:r>
        <w:fldChar w:fldCharType="separate"/>
      </w:r>
      <w:r>
        <w:rPr>
          <w:rStyle w:val="65"/>
          <w:rFonts w:ascii="宋体" w:hAnsi="宋体"/>
        </w:rPr>
        <w:t>一、竞争性比选内容</w:t>
      </w:r>
      <w:r>
        <w:tab/>
      </w:r>
      <w:r>
        <w:fldChar w:fldCharType="begin"/>
      </w:r>
      <w:r>
        <w:instrText xml:space="preserve"> PAGEREF _Toc164842600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"_Toc164842601" </w:instrText>
      </w:r>
      <w:r>
        <w:fldChar w:fldCharType="separate"/>
      </w:r>
      <w:r>
        <w:rPr>
          <w:rStyle w:val="65"/>
          <w:rFonts w:ascii="宋体" w:hAnsi="宋体"/>
        </w:rPr>
        <w:t>二、资金来源</w:t>
      </w:r>
      <w:r>
        <w:tab/>
      </w:r>
      <w:r>
        <w:fldChar w:fldCharType="begin"/>
      </w:r>
      <w:r>
        <w:instrText xml:space="preserve"> PAGEREF _Toc164842601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"_Toc164842602" </w:instrText>
      </w:r>
      <w:r>
        <w:fldChar w:fldCharType="separate"/>
      </w:r>
      <w:r>
        <w:rPr>
          <w:rStyle w:val="65"/>
          <w:rFonts w:ascii="宋体" w:hAnsi="宋体"/>
        </w:rPr>
        <w:t>三、供应商资格条件</w:t>
      </w:r>
      <w:r>
        <w:tab/>
      </w:r>
      <w:r>
        <w:fldChar w:fldCharType="begin"/>
      </w:r>
      <w:r>
        <w:instrText xml:space="preserve"> PAGEREF _Toc164842602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"_Toc164842603" </w:instrText>
      </w:r>
      <w:r>
        <w:fldChar w:fldCharType="separate"/>
      </w:r>
      <w:r>
        <w:rPr>
          <w:rStyle w:val="65"/>
          <w:rFonts w:ascii="宋体" w:hAnsi="宋体"/>
        </w:rPr>
        <w:t>四、比选有关说明</w:t>
      </w:r>
      <w:r>
        <w:tab/>
      </w:r>
      <w:r>
        <w:fldChar w:fldCharType="begin"/>
      </w:r>
      <w:r>
        <w:instrText xml:space="preserve"> PAGEREF _Toc164842603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"_Toc164842604" </w:instrText>
      </w:r>
      <w:r>
        <w:fldChar w:fldCharType="separate"/>
      </w:r>
      <w:r>
        <w:rPr>
          <w:rStyle w:val="65"/>
          <w:rFonts w:ascii="宋体" w:hAnsi="宋体"/>
        </w:rPr>
        <w:t>五、比选保证金</w:t>
      </w:r>
      <w:r>
        <w:tab/>
      </w:r>
      <w:r>
        <w:fldChar w:fldCharType="begin"/>
      </w:r>
      <w:r>
        <w:instrText xml:space="preserve"> PAGEREF _Toc164842604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"_Toc164842605" </w:instrText>
      </w:r>
      <w:r>
        <w:fldChar w:fldCharType="separate"/>
      </w:r>
      <w:r>
        <w:rPr>
          <w:rStyle w:val="65"/>
          <w:rFonts w:ascii="宋体" w:hAnsi="宋体"/>
        </w:rPr>
        <w:t>六、采购项目需落实的政府采购政策</w:t>
      </w:r>
      <w:r>
        <w:tab/>
      </w:r>
      <w:r>
        <w:fldChar w:fldCharType="begin"/>
      </w:r>
      <w:r>
        <w:instrText xml:space="preserve"> PAGEREF _Toc164842605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"_Toc164842606" </w:instrText>
      </w:r>
      <w:r>
        <w:fldChar w:fldCharType="separate"/>
      </w:r>
      <w:r>
        <w:rPr>
          <w:rStyle w:val="65"/>
          <w:rFonts w:ascii="宋体" w:hAnsi="宋体"/>
        </w:rPr>
        <w:t>七、其它有关规定</w:t>
      </w:r>
      <w:r>
        <w:tab/>
      </w:r>
      <w:r>
        <w:fldChar w:fldCharType="begin"/>
      </w:r>
      <w:r>
        <w:instrText xml:space="preserve"> PAGEREF _Toc164842606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"_Toc164842607" </w:instrText>
      </w:r>
      <w:r>
        <w:fldChar w:fldCharType="separate"/>
      </w:r>
      <w:r>
        <w:rPr>
          <w:rStyle w:val="65"/>
          <w:rFonts w:ascii="宋体" w:hAnsi="宋体"/>
        </w:rPr>
        <w:t>八、联系方式</w:t>
      </w:r>
      <w:r>
        <w:tab/>
      </w:r>
      <w:r>
        <w:fldChar w:fldCharType="begin"/>
      </w:r>
      <w:r>
        <w:instrText xml:space="preserve"> PAGEREF _Toc164842607 \h </w:instrText>
      </w:r>
      <w:r>
        <w:fldChar w:fldCharType="separate"/>
      </w:r>
      <w:r>
        <w:t>- 6 -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"_Toc164842608" </w:instrText>
      </w:r>
      <w:r>
        <w:fldChar w:fldCharType="separate"/>
      </w:r>
      <w:r>
        <w:rPr>
          <w:rStyle w:val="65"/>
          <w:rFonts w:ascii="宋体" w:hAnsi="宋体"/>
        </w:rPr>
        <w:t>第二篇  采购技术和服务需求</w:t>
      </w:r>
      <w:r>
        <w:tab/>
      </w:r>
      <w:r>
        <w:fldChar w:fldCharType="begin"/>
      </w:r>
      <w:r>
        <w:instrText xml:space="preserve"> PAGEREF _Toc164842608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"_Toc164842609" </w:instrText>
      </w:r>
      <w:r>
        <w:fldChar w:fldCharType="separate"/>
      </w:r>
      <w:r>
        <w:rPr>
          <w:rStyle w:val="65"/>
          <w:rFonts w:ascii="宋体" w:hAnsi="宋体"/>
        </w:rPr>
        <w:t>※一、工作内容</w:t>
      </w:r>
      <w:r>
        <w:tab/>
      </w:r>
      <w:r>
        <w:fldChar w:fldCharType="begin"/>
      </w:r>
      <w:r>
        <w:instrText xml:space="preserve"> PAGEREF _Toc164842609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"_Toc164842610" </w:instrText>
      </w:r>
      <w:r>
        <w:fldChar w:fldCharType="separate"/>
      </w:r>
      <w:r>
        <w:rPr>
          <w:rStyle w:val="65"/>
          <w:rFonts w:ascii="宋体" w:hAnsi="宋体"/>
        </w:rPr>
        <w:t>二、工作要求</w:t>
      </w:r>
      <w:r>
        <w:tab/>
      </w:r>
      <w:r>
        <w:fldChar w:fldCharType="begin"/>
      </w:r>
      <w:r>
        <w:instrText xml:space="preserve"> PAGEREF _Toc164842610 \h </w:instrText>
      </w:r>
      <w:r>
        <w:fldChar w:fldCharType="separate"/>
      </w:r>
      <w:r>
        <w:t>- 7 -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"_Toc164842611" </w:instrText>
      </w:r>
      <w:r>
        <w:fldChar w:fldCharType="separate"/>
      </w:r>
      <w:r>
        <w:rPr>
          <w:rStyle w:val="65"/>
          <w:rFonts w:ascii="宋体" w:hAnsi="宋体"/>
        </w:rPr>
        <w:t>第三篇  项目商务需求</w:t>
      </w:r>
      <w:r>
        <w:tab/>
      </w:r>
      <w:r>
        <w:fldChar w:fldCharType="begin"/>
      </w:r>
      <w:r>
        <w:instrText xml:space="preserve"> PAGEREF _Toc164842611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"_Toc164842612" </w:instrText>
      </w:r>
      <w:r>
        <w:fldChar w:fldCharType="separate"/>
      </w:r>
      <w:r>
        <w:rPr>
          <w:rStyle w:val="65"/>
          <w:rFonts w:ascii="宋体" w:hAnsi="宋体"/>
        </w:rPr>
        <w:t>一、服务期限、地点及验收方式</w:t>
      </w:r>
      <w:r>
        <w:tab/>
      </w:r>
      <w:r>
        <w:fldChar w:fldCharType="begin"/>
      </w:r>
      <w:r>
        <w:instrText xml:space="preserve"> PAGEREF _Toc164842612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"_Toc164842613" </w:instrText>
      </w:r>
      <w:r>
        <w:fldChar w:fldCharType="separate"/>
      </w:r>
      <w:r>
        <w:rPr>
          <w:rStyle w:val="65"/>
        </w:rPr>
        <w:t>二、报价要求</w:t>
      </w:r>
      <w:r>
        <w:tab/>
      </w:r>
      <w:r>
        <w:fldChar w:fldCharType="begin"/>
      </w:r>
      <w:r>
        <w:instrText xml:space="preserve"> PAGEREF _Toc164842613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"_Toc164842614" </w:instrText>
      </w:r>
      <w:r>
        <w:fldChar w:fldCharType="separate"/>
      </w:r>
      <w:r>
        <w:rPr>
          <w:rStyle w:val="65"/>
        </w:rPr>
        <w:t>三、付款方式</w:t>
      </w:r>
      <w:r>
        <w:tab/>
      </w:r>
      <w:r>
        <w:fldChar w:fldCharType="begin"/>
      </w:r>
      <w:r>
        <w:instrText xml:space="preserve"> PAGEREF _Toc164842614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"_Toc164842615" </w:instrText>
      </w:r>
      <w:r>
        <w:fldChar w:fldCharType="separate"/>
      </w:r>
      <w:r>
        <w:rPr>
          <w:rStyle w:val="65"/>
        </w:rPr>
        <w:t>四、知识产权</w:t>
      </w:r>
      <w:r>
        <w:tab/>
      </w:r>
      <w:r>
        <w:fldChar w:fldCharType="begin"/>
      </w:r>
      <w:r>
        <w:instrText xml:space="preserve"> PAGEREF _Toc164842615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"_Toc164842616" </w:instrText>
      </w:r>
      <w:r>
        <w:fldChar w:fldCharType="separate"/>
      </w:r>
      <w:r>
        <w:rPr>
          <w:rStyle w:val="65"/>
          <w:rFonts w:ascii="宋体" w:hAnsi="宋体"/>
        </w:rPr>
        <w:t>※五、保密要求</w:t>
      </w:r>
      <w:r>
        <w:tab/>
      </w:r>
      <w:r>
        <w:fldChar w:fldCharType="begin"/>
      </w:r>
      <w:r>
        <w:instrText xml:space="preserve"> PAGEREF _Toc164842616 \h </w:instrText>
      </w:r>
      <w:r>
        <w:fldChar w:fldCharType="separate"/>
      </w:r>
      <w:r>
        <w:t>- 9 -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"_Toc164842617" </w:instrText>
      </w:r>
      <w:r>
        <w:fldChar w:fldCharType="separate"/>
      </w:r>
      <w:r>
        <w:rPr>
          <w:rStyle w:val="65"/>
        </w:rPr>
        <w:t>七、其他</w:t>
      </w:r>
      <w:r>
        <w:tab/>
      </w:r>
      <w:r>
        <w:fldChar w:fldCharType="begin"/>
      </w:r>
      <w:r>
        <w:instrText xml:space="preserve"> PAGEREF _Toc164842617 \h </w:instrText>
      </w:r>
      <w:r>
        <w:fldChar w:fldCharType="separate"/>
      </w:r>
      <w:r>
        <w:t>- 9 -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"_Toc164842618" </w:instrText>
      </w:r>
      <w:r>
        <w:fldChar w:fldCharType="separate"/>
      </w:r>
      <w:r>
        <w:rPr>
          <w:rStyle w:val="65"/>
          <w:rFonts w:ascii="宋体" w:hAnsi="宋体"/>
        </w:rPr>
        <w:t>第四篇  比选程序及方法、评审标准、无效响应和采购终止</w:t>
      </w:r>
      <w:r>
        <w:tab/>
      </w:r>
      <w:r>
        <w:fldChar w:fldCharType="begin"/>
      </w:r>
      <w:r>
        <w:instrText xml:space="preserve"> PAGEREF _Toc164842618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"_Toc164842619" </w:instrText>
      </w:r>
      <w:r>
        <w:fldChar w:fldCharType="separate"/>
      </w:r>
      <w:r>
        <w:rPr>
          <w:rStyle w:val="65"/>
          <w:rFonts w:ascii="宋体" w:hAnsi="宋体"/>
        </w:rPr>
        <w:t>一、比选程序及方法</w:t>
      </w:r>
      <w:r>
        <w:tab/>
      </w:r>
      <w:r>
        <w:fldChar w:fldCharType="begin"/>
      </w:r>
      <w:r>
        <w:instrText xml:space="preserve"> PAGEREF _Toc164842619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"_Toc164842620" </w:instrText>
      </w:r>
      <w:r>
        <w:fldChar w:fldCharType="separate"/>
      </w:r>
      <w:r>
        <w:rPr>
          <w:rStyle w:val="65"/>
          <w:rFonts w:ascii="宋体" w:hAnsi="宋体"/>
        </w:rPr>
        <w:t>二、评审标准</w:t>
      </w:r>
      <w:r>
        <w:tab/>
      </w:r>
      <w:r>
        <w:fldChar w:fldCharType="begin"/>
      </w:r>
      <w:r>
        <w:instrText xml:space="preserve"> PAGEREF _Toc164842620 \h </w:instrText>
      </w:r>
      <w:r>
        <w:fldChar w:fldCharType="separate"/>
      </w:r>
      <w:r>
        <w:t>- 12 -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"_Toc164842621" </w:instrText>
      </w:r>
      <w:r>
        <w:fldChar w:fldCharType="separate"/>
      </w:r>
      <w:r>
        <w:rPr>
          <w:rStyle w:val="65"/>
          <w:rFonts w:ascii="宋体" w:hAnsi="宋体"/>
        </w:rPr>
        <w:t>三、无效响应</w:t>
      </w:r>
      <w:r>
        <w:tab/>
      </w:r>
      <w:r>
        <w:fldChar w:fldCharType="begin"/>
      </w:r>
      <w:r>
        <w:instrText xml:space="preserve"> PAGEREF _Toc164842621 \h </w:instrText>
      </w:r>
      <w:r>
        <w:fldChar w:fldCharType="separate"/>
      </w:r>
      <w:r>
        <w:t>- 13 -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"_Toc164842622" </w:instrText>
      </w:r>
      <w:r>
        <w:fldChar w:fldCharType="separate"/>
      </w:r>
      <w:r>
        <w:rPr>
          <w:rStyle w:val="65"/>
          <w:rFonts w:ascii="宋体" w:hAnsi="宋体"/>
        </w:rPr>
        <w:t>四、采购终止</w:t>
      </w:r>
      <w:r>
        <w:tab/>
      </w:r>
      <w:r>
        <w:fldChar w:fldCharType="begin"/>
      </w:r>
      <w:r>
        <w:instrText xml:space="preserve"> PAGEREF _Toc164842622 \h </w:instrText>
      </w:r>
      <w:r>
        <w:fldChar w:fldCharType="separate"/>
      </w:r>
      <w:r>
        <w:t>- 14 -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"_Toc164842623" </w:instrText>
      </w:r>
      <w:r>
        <w:fldChar w:fldCharType="separate"/>
      </w:r>
      <w:r>
        <w:rPr>
          <w:rStyle w:val="65"/>
          <w:rFonts w:ascii="宋体" w:hAnsi="宋体"/>
        </w:rPr>
        <w:t>第五篇  供应商须知</w:t>
      </w:r>
      <w:r>
        <w:tab/>
      </w:r>
      <w:r>
        <w:fldChar w:fldCharType="begin"/>
      </w:r>
      <w:r>
        <w:instrText xml:space="preserve"> PAGEREF _Toc164842623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"_Toc164842624" </w:instrText>
      </w:r>
      <w:r>
        <w:fldChar w:fldCharType="separate"/>
      </w:r>
      <w:r>
        <w:rPr>
          <w:rStyle w:val="65"/>
          <w:rFonts w:ascii="宋体" w:hAnsi="宋体"/>
        </w:rPr>
        <w:t>一、比选费用</w:t>
      </w:r>
      <w:r>
        <w:tab/>
      </w:r>
      <w:r>
        <w:fldChar w:fldCharType="begin"/>
      </w:r>
      <w:r>
        <w:instrText xml:space="preserve"> PAGEREF _Toc164842624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"_Toc164842625" </w:instrText>
      </w:r>
      <w:r>
        <w:fldChar w:fldCharType="separate"/>
      </w:r>
      <w:r>
        <w:rPr>
          <w:rStyle w:val="65"/>
          <w:rFonts w:ascii="宋体" w:hAnsi="宋体"/>
        </w:rPr>
        <w:t>二、竞争性比选文件</w:t>
      </w:r>
      <w:r>
        <w:tab/>
      </w:r>
      <w:r>
        <w:fldChar w:fldCharType="begin"/>
      </w:r>
      <w:r>
        <w:instrText xml:space="preserve"> PAGEREF _Toc164842625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"_Toc164842626" </w:instrText>
      </w:r>
      <w:r>
        <w:fldChar w:fldCharType="separate"/>
      </w:r>
      <w:r>
        <w:rPr>
          <w:rStyle w:val="65"/>
          <w:rFonts w:ascii="宋体" w:hAnsi="宋体"/>
        </w:rPr>
        <w:t>三、比选要求</w:t>
      </w:r>
      <w:r>
        <w:tab/>
      </w:r>
      <w:r>
        <w:fldChar w:fldCharType="begin"/>
      </w:r>
      <w:r>
        <w:instrText xml:space="preserve"> PAGEREF _Toc164842626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"_Toc164842627" </w:instrText>
      </w:r>
      <w:r>
        <w:fldChar w:fldCharType="separate"/>
      </w:r>
      <w:r>
        <w:rPr>
          <w:rStyle w:val="65"/>
          <w:rFonts w:ascii="宋体" w:hAnsi="宋体"/>
        </w:rPr>
        <w:t>四、成交供应商的确认和变更</w:t>
      </w:r>
      <w:r>
        <w:tab/>
      </w:r>
      <w:r>
        <w:fldChar w:fldCharType="begin"/>
      </w:r>
      <w:r>
        <w:instrText xml:space="preserve"> PAGEREF _Toc164842627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"_Toc164842628" </w:instrText>
      </w:r>
      <w:r>
        <w:fldChar w:fldCharType="separate"/>
      </w:r>
      <w:r>
        <w:rPr>
          <w:rStyle w:val="65"/>
          <w:rFonts w:ascii="宋体" w:hAnsi="宋体"/>
        </w:rPr>
        <w:t>五、成交通知</w:t>
      </w:r>
      <w:r>
        <w:tab/>
      </w:r>
      <w:r>
        <w:fldChar w:fldCharType="begin"/>
      </w:r>
      <w:r>
        <w:instrText xml:space="preserve"> PAGEREF _Toc164842628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"_Toc164842629" </w:instrText>
      </w:r>
      <w:r>
        <w:fldChar w:fldCharType="separate"/>
      </w:r>
      <w:r>
        <w:rPr>
          <w:rStyle w:val="65"/>
          <w:rFonts w:ascii="宋体" w:hAnsi="宋体"/>
        </w:rPr>
        <w:t>六、关于质疑和投诉</w:t>
      </w:r>
      <w:r>
        <w:tab/>
      </w:r>
      <w:r>
        <w:fldChar w:fldCharType="begin"/>
      </w:r>
      <w:r>
        <w:instrText xml:space="preserve"> PAGEREF _Toc164842629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"_Toc164842630" </w:instrText>
      </w:r>
      <w:r>
        <w:fldChar w:fldCharType="separate"/>
      </w:r>
      <w:r>
        <w:rPr>
          <w:rStyle w:val="65"/>
          <w:rFonts w:ascii="宋体" w:hAnsi="宋体"/>
        </w:rPr>
        <w:t>七、采购代理服务费</w:t>
      </w:r>
      <w:r>
        <w:tab/>
      </w:r>
      <w:r>
        <w:fldChar w:fldCharType="begin"/>
      </w:r>
      <w:r>
        <w:instrText xml:space="preserve"> PAGEREF _Toc164842630 \h </w:instrText>
      </w:r>
      <w:r>
        <w:fldChar w:fldCharType="separate"/>
      </w:r>
      <w:r>
        <w:t>- 19 -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"_Toc164842631" </w:instrText>
      </w:r>
      <w:r>
        <w:fldChar w:fldCharType="separate"/>
      </w:r>
      <w:r>
        <w:rPr>
          <w:rStyle w:val="65"/>
          <w:rFonts w:ascii="宋体" w:hAnsi="宋体"/>
        </w:rPr>
        <w:t>八、签订合同</w:t>
      </w:r>
      <w:r>
        <w:tab/>
      </w:r>
      <w:r>
        <w:fldChar w:fldCharType="begin"/>
      </w:r>
      <w:r>
        <w:instrText xml:space="preserve"> PAGEREF _Toc164842631 \h </w:instrText>
      </w:r>
      <w:r>
        <w:fldChar w:fldCharType="separate"/>
      </w:r>
      <w:r>
        <w:t>- 19 -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"_Toc164842632" </w:instrText>
      </w:r>
      <w:r>
        <w:fldChar w:fldCharType="separate"/>
      </w:r>
      <w:r>
        <w:rPr>
          <w:rStyle w:val="65"/>
          <w:rFonts w:ascii="宋体" w:hAnsi="宋体"/>
        </w:rPr>
        <w:t>第六篇  合同草案条款</w:t>
      </w:r>
      <w:r>
        <w:tab/>
      </w:r>
      <w:r>
        <w:fldChar w:fldCharType="begin"/>
      </w:r>
      <w:r>
        <w:instrText xml:space="preserve"> PAGEREF _Toc164842632 \h </w:instrText>
      </w:r>
      <w:r>
        <w:fldChar w:fldCharType="separate"/>
      </w:r>
      <w:r>
        <w:t>- 20 -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"_Toc164842633" </w:instrText>
      </w:r>
      <w:r>
        <w:fldChar w:fldCharType="separate"/>
      </w:r>
      <w:r>
        <w:rPr>
          <w:rStyle w:val="65"/>
          <w:rFonts w:ascii="宋体" w:hAnsi="宋体"/>
        </w:rPr>
        <w:t>第七篇  响应文件编制要求</w:t>
      </w:r>
      <w:r>
        <w:tab/>
      </w:r>
      <w:r>
        <w:fldChar w:fldCharType="begin"/>
      </w:r>
      <w:r>
        <w:instrText xml:space="preserve"> PAGEREF _Toc164842633 \h </w:instrText>
      </w:r>
      <w:r>
        <w:fldChar w:fldCharType="separate"/>
      </w:r>
      <w:r>
        <w:t>- 22 -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"_Toc164842634" </w:instrText>
      </w:r>
      <w:r>
        <w:fldChar w:fldCharType="separate"/>
      </w:r>
      <w:r>
        <w:rPr>
          <w:rStyle w:val="65"/>
          <w:rFonts w:ascii="宋体" w:hAnsi="宋体"/>
        </w:rPr>
        <w:t>一、经济部分</w:t>
      </w:r>
      <w:r>
        <w:tab/>
      </w:r>
      <w:r>
        <w:fldChar w:fldCharType="begin"/>
      </w:r>
      <w:r>
        <w:instrText xml:space="preserve"> PAGEREF _Toc164842634 \h </w:instrText>
      </w:r>
      <w:r>
        <w:fldChar w:fldCharType="separate"/>
      </w:r>
      <w:r>
        <w:t>- 22 -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"_Toc164842635" </w:instrText>
      </w:r>
      <w:r>
        <w:fldChar w:fldCharType="separate"/>
      </w:r>
      <w:r>
        <w:rPr>
          <w:rStyle w:val="65"/>
          <w:rFonts w:ascii="宋体" w:hAnsi="宋体"/>
        </w:rPr>
        <w:t>二、技术部分</w:t>
      </w:r>
      <w:r>
        <w:tab/>
      </w:r>
      <w:r>
        <w:fldChar w:fldCharType="begin"/>
      </w:r>
      <w:r>
        <w:instrText xml:space="preserve"> PAGEREF _Toc164842635 \h </w:instrText>
      </w:r>
      <w:r>
        <w:fldChar w:fldCharType="separate"/>
      </w:r>
      <w:r>
        <w:t>- 22 -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"_Toc164842636" </w:instrText>
      </w:r>
      <w:r>
        <w:fldChar w:fldCharType="separate"/>
      </w:r>
      <w:r>
        <w:rPr>
          <w:rStyle w:val="65"/>
          <w:rFonts w:ascii="宋体" w:hAnsi="宋体"/>
        </w:rPr>
        <w:t>三、商务部分</w:t>
      </w:r>
      <w:r>
        <w:tab/>
      </w:r>
      <w:r>
        <w:fldChar w:fldCharType="begin"/>
      </w:r>
      <w:r>
        <w:instrText xml:space="preserve"> PAGEREF _Toc164842636 \h </w:instrText>
      </w:r>
      <w:r>
        <w:fldChar w:fldCharType="separate"/>
      </w:r>
      <w:r>
        <w:t>- 22 -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"_Toc164842637" </w:instrText>
      </w:r>
      <w:r>
        <w:fldChar w:fldCharType="separate"/>
      </w:r>
      <w:r>
        <w:rPr>
          <w:rStyle w:val="65"/>
          <w:rFonts w:ascii="宋体" w:hAnsi="宋体"/>
        </w:rPr>
        <w:t>四、资格条件及其他</w:t>
      </w:r>
      <w:r>
        <w:tab/>
      </w:r>
      <w:r>
        <w:fldChar w:fldCharType="begin"/>
      </w:r>
      <w:r>
        <w:instrText xml:space="preserve"> PAGEREF _Toc164842637 \h </w:instrText>
      </w:r>
      <w:r>
        <w:fldChar w:fldCharType="separate"/>
      </w:r>
      <w:r>
        <w:t>- 22 -</w:t>
      </w:r>
      <w:r>
        <w:fldChar w:fldCharType="end"/>
      </w:r>
      <w:r>
        <w:fldChar w:fldCharType="end"/>
      </w:r>
    </w:p>
    <w:p>
      <w:pPr>
        <w:pStyle w:val="46"/>
        <w:tabs>
          <w:tab w:val="right" w:leader="dot" w:pos="9402"/>
        </w:tabs>
        <w:spacing w:line="480" w:lineRule="exact"/>
        <w:ind w:left="560"/>
        <w:jc w:val="center"/>
        <w:rPr>
          <w:rFonts w:ascii="宋体" w:hAnsi="宋体"/>
          <w:sz w:val="24"/>
          <w:szCs w:val="24"/>
        </w:rPr>
        <w:sectPr>
          <w:footerReference r:id="rId7" w:type="default"/>
          <w:pgSz w:w="11907" w:h="16840"/>
          <w:pgMar w:top="1134" w:right="1191" w:bottom="1134" w:left="1191" w:header="851" w:footer="992" w:gutter="0"/>
          <w:pgNumType w:fmt="numberInDash" w:start="1"/>
          <w:cols w:space="720" w:num="1"/>
          <w:docGrid w:linePitch="380" w:charSpace="-5735"/>
        </w:sectPr>
      </w:pPr>
      <w:r>
        <w:rPr>
          <w:rFonts w:hint="eastAsia" w:ascii="宋体" w:hAnsi="宋体"/>
          <w:sz w:val="24"/>
          <w:szCs w:val="24"/>
        </w:rPr>
        <w:fldChar w:fldCharType="end"/>
      </w:r>
    </w:p>
    <w:p>
      <w:pPr>
        <w:pStyle w:val="5"/>
        <w:spacing w:line="360" w:lineRule="auto"/>
        <w:jc w:val="center"/>
        <w:rPr>
          <w:rFonts w:ascii="宋体" w:hAnsi="宋体" w:eastAsia="宋体"/>
          <w:sz w:val="36"/>
          <w:szCs w:val="30"/>
        </w:rPr>
      </w:pPr>
      <w:bookmarkStart w:id="0" w:name="_Toc164842599"/>
      <w:bookmarkStart w:id="1" w:name="_Toc11641050"/>
      <w:bookmarkStart w:id="2" w:name="_Toc12789052"/>
      <w:r>
        <w:rPr>
          <w:rFonts w:hint="eastAsia" w:ascii="宋体" w:hAnsi="宋体" w:eastAsia="宋体"/>
          <w:sz w:val="36"/>
          <w:szCs w:val="30"/>
        </w:rPr>
        <w:t>第一篇  采购邀请书</w:t>
      </w:r>
      <w:bookmarkEnd w:id="0"/>
      <w:bookmarkEnd w:id="1"/>
      <w:bookmarkEnd w:id="2"/>
    </w:p>
    <w:p>
      <w:pPr>
        <w:snapToGrid w:val="0"/>
        <w:spacing w:line="360" w:lineRule="auto"/>
        <w:ind w:firstLine="480" w:firstLineChars="200"/>
        <w:rPr>
          <w:rFonts w:ascii="宋体" w:hAnsi="宋体"/>
          <w:sz w:val="24"/>
          <w:szCs w:val="24"/>
        </w:rPr>
      </w:pPr>
      <w:r>
        <w:rPr>
          <w:rFonts w:hint="eastAsia" w:ascii="宋体" w:hAnsi="宋体"/>
          <w:sz w:val="24"/>
          <w:szCs w:val="24"/>
        </w:rPr>
        <w:t>重庆市中基致信招标代理有限公司（以下简称：采购代理机构）接</w:t>
      </w:r>
      <w:r>
        <w:rPr>
          <w:rFonts w:ascii="宋体" w:hAnsi="宋体"/>
          <w:sz w:val="24"/>
          <w:szCs w:val="24"/>
        </w:rPr>
        <w:t>受</w:t>
      </w:r>
      <w:r>
        <w:rPr>
          <w:rFonts w:hint="eastAsia" w:ascii="宋体" w:hAnsi="宋体"/>
          <w:sz w:val="24"/>
          <w:szCs w:val="24"/>
        </w:rPr>
        <w:t>重庆市人民政府口岸和物流办公室的委托，对物流领域信访投诉处理服务项目（项目号：</w:t>
      </w:r>
      <w:r>
        <w:rPr>
          <w:rFonts w:ascii="宋体" w:hAnsi="宋体"/>
          <w:sz w:val="24"/>
          <w:szCs w:val="24"/>
        </w:rPr>
        <w:t>SZFKAWLCG2024-003</w:t>
      </w:r>
      <w:r>
        <w:rPr>
          <w:rFonts w:hint="eastAsia" w:ascii="宋体" w:hAnsi="宋体"/>
          <w:sz w:val="24"/>
          <w:szCs w:val="24"/>
        </w:rPr>
        <w:t>）进行竞争性比选采购。欢迎有资格的供应商前来参与比选。</w:t>
      </w:r>
    </w:p>
    <w:p>
      <w:pPr>
        <w:pStyle w:val="6"/>
        <w:spacing w:before="0" w:after="0" w:line="360" w:lineRule="auto"/>
        <w:ind w:firstLine="482" w:firstLineChars="200"/>
        <w:rPr>
          <w:rFonts w:ascii="宋体" w:hAnsi="宋体"/>
          <w:sz w:val="24"/>
          <w:szCs w:val="24"/>
        </w:rPr>
      </w:pPr>
      <w:bookmarkStart w:id="3" w:name="_Toc317775175"/>
      <w:bookmarkStart w:id="4" w:name="_Toc313893526"/>
      <w:bookmarkStart w:id="5" w:name="_Toc164842600"/>
      <w:r>
        <w:rPr>
          <w:rFonts w:hint="eastAsia" w:ascii="宋体" w:hAnsi="宋体"/>
          <w:sz w:val="24"/>
          <w:szCs w:val="24"/>
        </w:rPr>
        <w:t>一、竞争性比选内容</w:t>
      </w:r>
      <w:bookmarkEnd w:id="3"/>
      <w:bookmarkEnd w:id="4"/>
      <w:bookmarkEnd w:id="5"/>
    </w:p>
    <w:tbl>
      <w:tblPr>
        <w:tblStyle w:val="58"/>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417"/>
        <w:gridCol w:w="1701"/>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403"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bookmarkStart w:id="6" w:name="_Toc373860293"/>
            <w:bookmarkStart w:id="7" w:name="_Toc317775178"/>
            <w:r>
              <w:rPr>
                <w:rFonts w:hint="eastAsia" w:ascii="宋体" w:hAnsi="宋体" w:cs="宋体"/>
                <w:b/>
                <w:bCs/>
                <w:kern w:val="0"/>
                <w:sz w:val="21"/>
                <w:szCs w:val="21"/>
              </w:rPr>
              <w:t>项目内容</w:t>
            </w:r>
          </w:p>
        </w:tc>
        <w:tc>
          <w:tcPr>
            <w:tcW w:w="1417"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最高限价</w:t>
            </w:r>
          </w:p>
          <w:p>
            <w:pPr>
              <w:widowControl/>
              <w:jc w:val="center"/>
              <w:rPr>
                <w:rFonts w:ascii="宋体" w:hAnsi="宋体" w:cs="宋体"/>
                <w:b/>
                <w:bCs/>
                <w:kern w:val="0"/>
                <w:sz w:val="21"/>
                <w:szCs w:val="21"/>
              </w:rPr>
            </w:pPr>
            <w:r>
              <w:rPr>
                <w:rFonts w:hint="eastAsia" w:ascii="宋体" w:hAnsi="宋体" w:cs="宋体"/>
                <w:b/>
                <w:bCs/>
                <w:kern w:val="0"/>
                <w:sz w:val="21"/>
                <w:szCs w:val="21"/>
              </w:rPr>
              <w:t>（万元/年）</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比选保证金</w:t>
            </w:r>
          </w:p>
          <w:p>
            <w:pPr>
              <w:widowControl/>
              <w:jc w:val="center"/>
              <w:rPr>
                <w:rFonts w:ascii="宋体" w:hAnsi="宋体" w:cs="宋体"/>
                <w:b/>
                <w:bCs/>
                <w:kern w:val="0"/>
                <w:sz w:val="21"/>
                <w:szCs w:val="21"/>
              </w:rPr>
            </w:pPr>
            <w:r>
              <w:rPr>
                <w:rFonts w:hint="eastAsia" w:ascii="宋体" w:hAnsi="宋体" w:cs="宋体"/>
                <w:b/>
                <w:bCs/>
                <w:kern w:val="0"/>
                <w:sz w:val="21"/>
                <w:szCs w:val="21"/>
              </w:rPr>
              <w:t>（元）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成交供应商数量（名）</w:t>
            </w:r>
          </w:p>
        </w:tc>
        <w:tc>
          <w:tcPr>
            <w:tcW w:w="198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403"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bookmarkStart w:id="8" w:name="_Hlk344477914"/>
            <w:r>
              <w:rPr>
                <w:rFonts w:hint="eastAsia" w:ascii="宋体" w:hAnsi="宋体"/>
                <w:sz w:val="21"/>
                <w:szCs w:val="21"/>
              </w:rPr>
              <w:t>物流领域信访投诉处理服务项目</w:t>
            </w:r>
          </w:p>
        </w:tc>
        <w:tc>
          <w:tcPr>
            <w:tcW w:w="1417"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hint="eastAsia" w:ascii="宋体" w:hAnsi="宋体"/>
                <w:sz w:val="21"/>
                <w:szCs w:val="21"/>
              </w:rPr>
              <w:t>24</w:t>
            </w:r>
            <w:r>
              <w:rPr>
                <w:rFonts w:ascii="宋体" w:hAnsi="宋体"/>
                <w:sz w:val="21"/>
                <w:szCs w:val="21"/>
              </w:rPr>
              <w:t xml:space="preserve"> </w:t>
            </w:r>
          </w:p>
        </w:tc>
        <w:tc>
          <w:tcPr>
            <w:tcW w:w="1701"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hint="eastAsia" w:ascii="宋体" w:hAnsi="宋体"/>
                <w:sz w:val="21"/>
                <w:szCs w:val="21"/>
              </w:rPr>
              <w:t>4800</w:t>
            </w:r>
          </w:p>
        </w:tc>
        <w:tc>
          <w:tcPr>
            <w:tcW w:w="127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1</w:t>
            </w:r>
          </w:p>
        </w:tc>
        <w:tc>
          <w:tcPr>
            <w:tcW w:w="1984"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hint="eastAsia" w:ascii="宋体" w:hAnsi="宋体"/>
                <w:sz w:val="21"/>
                <w:szCs w:val="21"/>
              </w:rPr>
              <w:t>其他未列明行业</w:t>
            </w:r>
          </w:p>
        </w:tc>
      </w:tr>
      <w:bookmarkEnd w:id="8"/>
    </w:tbl>
    <w:p>
      <w:pPr>
        <w:pStyle w:val="6"/>
        <w:spacing w:before="0" w:after="0" w:line="360" w:lineRule="auto"/>
        <w:ind w:firstLine="482" w:firstLineChars="200"/>
        <w:rPr>
          <w:rFonts w:ascii="宋体" w:hAnsi="宋体"/>
          <w:sz w:val="24"/>
          <w:szCs w:val="24"/>
        </w:rPr>
      </w:pPr>
      <w:bookmarkStart w:id="9" w:name="_Toc164842601"/>
      <w:r>
        <w:rPr>
          <w:rFonts w:hint="eastAsia" w:ascii="宋体" w:hAnsi="宋体"/>
          <w:sz w:val="24"/>
          <w:szCs w:val="24"/>
        </w:rPr>
        <w:t>二、资金来源</w:t>
      </w:r>
      <w:bookmarkEnd w:id="9"/>
    </w:p>
    <w:p>
      <w:pPr>
        <w:snapToGrid w:val="0"/>
        <w:spacing w:line="360" w:lineRule="auto"/>
        <w:ind w:firstLine="480" w:firstLineChars="200"/>
        <w:rPr>
          <w:rFonts w:ascii="宋体" w:hAnsi="宋体"/>
          <w:sz w:val="24"/>
          <w:szCs w:val="24"/>
        </w:rPr>
      </w:pPr>
      <w:r>
        <w:rPr>
          <w:rFonts w:hint="eastAsia" w:ascii="宋体" w:hAnsi="宋体"/>
          <w:sz w:val="24"/>
          <w:szCs w:val="24"/>
        </w:rPr>
        <w:t>财政预算资金,预算金额为</w:t>
      </w:r>
      <w:r>
        <w:rPr>
          <w:rFonts w:ascii="宋体" w:hAnsi="宋体"/>
          <w:sz w:val="24"/>
          <w:szCs w:val="24"/>
        </w:rPr>
        <w:t>24</w:t>
      </w:r>
      <w:r>
        <w:rPr>
          <w:rFonts w:hint="eastAsia" w:ascii="宋体" w:hAnsi="宋体"/>
          <w:sz w:val="24"/>
          <w:szCs w:val="24"/>
        </w:rPr>
        <w:t>万元/年。</w:t>
      </w:r>
    </w:p>
    <w:bookmarkEnd w:id="6"/>
    <w:bookmarkEnd w:id="7"/>
    <w:p>
      <w:pPr>
        <w:pStyle w:val="6"/>
        <w:spacing w:before="0" w:after="0" w:line="360" w:lineRule="auto"/>
        <w:ind w:firstLine="482" w:firstLineChars="200"/>
        <w:rPr>
          <w:rFonts w:ascii="宋体" w:hAnsi="宋体"/>
          <w:sz w:val="24"/>
          <w:szCs w:val="24"/>
        </w:rPr>
      </w:pPr>
      <w:bookmarkStart w:id="10" w:name="_Toc75258773"/>
      <w:bookmarkStart w:id="11" w:name="_Toc164842602"/>
      <w:r>
        <w:rPr>
          <w:rFonts w:hint="eastAsia" w:ascii="宋体" w:hAnsi="宋体"/>
          <w:sz w:val="24"/>
          <w:szCs w:val="24"/>
        </w:rPr>
        <w:t>三、供应商资格条件</w:t>
      </w:r>
      <w:bookmarkEnd w:id="10"/>
      <w:bookmarkEnd w:id="11"/>
    </w:p>
    <w:p>
      <w:pPr>
        <w:snapToGrid w:val="0"/>
        <w:spacing w:line="360" w:lineRule="auto"/>
        <w:ind w:firstLine="480" w:firstLineChars="200"/>
        <w:rPr>
          <w:rFonts w:ascii="宋体" w:hAnsi="宋体"/>
          <w:sz w:val="24"/>
          <w:szCs w:val="24"/>
        </w:rPr>
      </w:pPr>
      <w:bookmarkStart w:id="12" w:name="_Toc75258774"/>
      <w:r>
        <w:rPr>
          <w:rFonts w:hint="eastAsia" w:ascii="宋体" w:hAnsi="宋体"/>
          <w:sz w:val="24"/>
          <w:szCs w:val="24"/>
        </w:rPr>
        <w:t>（一）合格供应商应满足《中华人民共和国政府采购法》第二十二条规定；</w:t>
      </w:r>
    </w:p>
    <w:p>
      <w:pPr>
        <w:snapToGrid w:val="0"/>
        <w:spacing w:line="360" w:lineRule="auto"/>
        <w:ind w:firstLine="480" w:firstLineChars="200"/>
        <w:rPr>
          <w:rFonts w:ascii="宋体" w:hAnsi="宋体"/>
          <w:sz w:val="24"/>
          <w:szCs w:val="24"/>
        </w:rPr>
      </w:pPr>
      <w:r>
        <w:rPr>
          <w:rFonts w:hint="eastAsia" w:ascii="宋体" w:hAnsi="宋体"/>
          <w:sz w:val="24"/>
          <w:szCs w:val="24"/>
        </w:rPr>
        <w:t>（二）本项目的特定资格条件：无；</w:t>
      </w:r>
    </w:p>
    <w:p>
      <w:pPr>
        <w:snapToGrid w:val="0"/>
        <w:spacing w:line="360" w:lineRule="auto"/>
        <w:ind w:firstLine="480" w:firstLineChars="200"/>
        <w:rPr>
          <w:rFonts w:ascii="宋体" w:hAnsi="宋体"/>
          <w:sz w:val="24"/>
          <w:szCs w:val="24"/>
        </w:rPr>
      </w:pPr>
      <w:r>
        <w:rPr>
          <w:rFonts w:hint="eastAsia" w:ascii="宋体" w:hAnsi="宋体"/>
          <w:sz w:val="24"/>
          <w:szCs w:val="24"/>
        </w:rPr>
        <w:t>（三）落实政府采购政策需满足的资格要求：无。</w:t>
      </w:r>
    </w:p>
    <w:p>
      <w:pPr>
        <w:pStyle w:val="6"/>
        <w:spacing w:before="0" w:after="0" w:line="360" w:lineRule="auto"/>
        <w:ind w:firstLine="482" w:firstLineChars="200"/>
        <w:rPr>
          <w:rFonts w:ascii="宋体" w:hAnsi="宋体"/>
          <w:sz w:val="24"/>
          <w:szCs w:val="24"/>
        </w:rPr>
      </w:pPr>
      <w:bookmarkStart w:id="13" w:name="_Toc164842603"/>
      <w:r>
        <w:rPr>
          <w:rFonts w:hint="eastAsia" w:ascii="宋体" w:hAnsi="宋体"/>
          <w:sz w:val="24"/>
          <w:szCs w:val="24"/>
        </w:rPr>
        <w:t>四、比选有关说明</w:t>
      </w:r>
      <w:bookmarkEnd w:id="12"/>
      <w:bookmarkEnd w:id="13"/>
    </w:p>
    <w:p>
      <w:pPr>
        <w:snapToGrid w:val="0"/>
        <w:spacing w:line="360" w:lineRule="auto"/>
        <w:ind w:firstLine="480" w:firstLineChars="200"/>
        <w:rPr>
          <w:rFonts w:ascii="宋体" w:hAnsi="宋体"/>
          <w:sz w:val="24"/>
          <w:szCs w:val="24"/>
        </w:rPr>
      </w:pPr>
      <w:r>
        <w:rPr>
          <w:rFonts w:hint="eastAsia" w:ascii="宋体" w:hAnsi="宋体"/>
          <w:sz w:val="24"/>
          <w:szCs w:val="24"/>
        </w:rPr>
        <w:t>（一）凡有意参加比选的供应商，请在规定时间内进行报名。报名方式为：</w:t>
      </w:r>
    </w:p>
    <w:p>
      <w:pPr>
        <w:snapToGrid w:val="0"/>
        <w:spacing w:line="360" w:lineRule="auto"/>
        <w:ind w:firstLine="480" w:firstLineChars="200"/>
        <w:rPr>
          <w:rFonts w:ascii="宋体" w:hAnsi="宋体"/>
          <w:sz w:val="24"/>
          <w:szCs w:val="24"/>
        </w:rPr>
      </w:pPr>
      <w:r>
        <w:rPr>
          <w:rFonts w:hint="eastAsia" w:ascii="宋体" w:hAnsi="宋体"/>
          <w:sz w:val="24"/>
          <w:szCs w:val="24"/>
        </w:rPr>
        <w:t>1.潜在供应商将《采购文件发售登记表》（加盖供应商公章）及标书费转账凭证扫描后发送至hulin@cqchinabase.com。</w:t>
      </w:r>
    </w:p>
    <w:p>
      <w:pPr>
        <w:snapToGrid w:val="0"/>
        <w:spacing w:line="360" w:lineRule="auto"/>
        <w:ind w:firstLine="480" w:firstLineChars="200"/>
        <w:rPr>
          <w:rFonts w:ascii="宋体" w:hAnsi="宋体"/>
          <w:sz w:val="24"/>
          <w:szCs w:val="24"/>
        </w:rPr>
      </w:pPr>
      <w:r>
        <w:rPr>
          <w:rFonts w:hint="eastAsia" w:ascii="宋体" w:hAnsi="宋体"/>
          <w:sz w:val="24"/>
          <w:szCs w:val="24"/>
        </w:rPr>
        <w:t>2. 收款账户：</w:t>
      </w:r>
    </w:p>
    <w:p>
      <w:pPr>
        <w:snapToGrid w:val="0"/>
        <w:spacing w:line="360" w:lineRule="auto"/>
        <w:ind w:firstLine="480" w:firstLineChars="200"/>
        <w:rPr>
          <w:rFonts w:ascii="宋体" w:hAnsi="宋体"/>
          <w:sz w:val="24"/>
          <w:szCs w:val="24"/>
        </w:rPr>
      </w:pPr>
      <w:r>
        <w:rPr>
          <w:rFonts w:hint="eastAsia" w:ascii="宋体" w:hAnsi="宋体"/>
          <w:sz w:val="24"/>
          <w:szCs w:val="24"/>
        </w:rPr>
        <w:t>户  名：重庆市中基致信招标代理有限公司</w:t>
      </w:r>
    </w:p>
    <w:p>
      <w:pPr>
        <w:snapToGrid w:val="0"/>
        <w:spacing w:line="360" w:lineRule="auto"/>
        <w:ind w:firstLine="480" w:firstLineChars="200"/>
        <w:rPr>
          <w:rFonts w:ascii="宋体" w:hAnsi="宋体"/>
          <w:sz w:val="24"/>
          <w:szCs w:val="24"/>
        </w:rPr>
      </w:pPr>
      <w:r>
        <w:rPr>
          <w:rFonts w:hint="eastAsia" w:ascii="宋体" w:hAnsi="宋体"/>
          <w:sz w:val="24"/>
          <w:szCs w:val="24"/>
        </w:rPr>
        <w:t>开户行：中国银行重庆江北支行</w:t>
      </w:r>
    </w:p>
    <w:p>
      <w:pPr>
        <w:snapToGrid w:val="0"/>
        <w:spacing w:line="360" w:lineRule="auto"/>
        <w:ind w:firstLine="480" w:firstLineChars="200"/>
        <w:rPr>
          <w:rFonts w:ascii="宋体" w:hAnsi="宋体"/>
          <w:sz w:val="24"/>
          <w:szCs w:val="24"/>
        </w:rPr>
      </w:pPr>
      <w:r>
        <w:rPr>
          <w:rFonts w:hint="eastAsia" w:ascii="宋体" w:hAnsi="宋体"/>
          <w:sz w:val="24"/>
          <w:szCs w:val="24"/>
        </w:rPr>
        <w:t>账  号：1144 6718 4234</w:t>
      </w:r>
    </w:p>
    <w:p>
      <w:pPr>
        <w:jc w:val="center"/>
        <w:rPr>
          <w:sz w:val="44"/>
          <w:szCs w:val="44"/>
        </w:rPr>
      </w:pPr>
      <w:r>
        <w:rPr>
          <w:rFonts w:hint="eastAsia"/>
          <w:sz w:val="44"/>
          <w:szCs w:val="44"/>
        </w:rPr>
        <w:t>采购文件发售登记表</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top w:val="double" w:color="auto" w:sz="4" w:space="0"/>
              <w:left w:val="double" w:color="auto" w:sz="4" w:space="0"/>
            </w:tcBorders>
            <w:vAlign w:val="center"/>
          </w:tcPr>
          <w:p>
            <w:pPr>
              <w:jc w:val="center"/>
              <w:rPr>
                <w:sz w:val="30"/>
                <w:szCs w:val="30"/>
              </w:rPr>
            </w:pPr>
            <w:r>
              <w:rPr>
                <w:rFonts w:hint="eastAsia"/>
                <w:sz w:val="30"/>
                <w:szCs w:val="30"/>
              </w:rPr>
              <w:t>项目号</w:t>
            </w:r>
          </w:p>
        </w:tc>
        <w:tc>
          <w:tcPr>
            <w:tcW w:w="6476" w:type="dxa"/>
            <w:tcBorders>
              <w:top w:val="double" w:color="auto" w:sz="4" w:space="0"/>
              <w:right w:val="double" w:color="auto" w:sz="4" w:space="0"/>
            </w:tcBorders>
            <w:vAlign w:val="center"/>
          </w:tcPr>
          <w:p>
            <w:pPr>
              <w:jc w:val="center"/>
              <w:rPr>
                <w:sz w:val="30"/>
                <w:szCs w:val="30"/>
              </w:rPr>
            </w:pPr>
            <w:r>
              <w:rPr>
                <w:sz w:val="30"/>
                <w:szCs w:val="30"/>
              </w:rPr>
              <w:t>SZFKAWLCG2024-003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项目名称</w:t>
            </w:r>
          </w:p>
        </w:tc>
        <w:tc>
          <w:tcPr>
            <w:tcW w:w="6476"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sz w:val="30"/>
                <w:szCs w:val="30"/>
              </w:rPr>
            </w:pPr>
            <w:r>
              <w:rPr>
                <w:rFonts w:hint="eastAsia"/>
                <w:sz w:val="30"/>
                <w:szCs w:val="30"/>
              </w:rPr>
              <w:t>物流领域信访投诉处理服务项目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供应商名称</w:t>
            </w:r>
          </w:p>
        </w:tc>
        <w:tc>
          <w:tcPr>
            <w:tcW w:w="6476"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联系人</w:t>
            </w:r>
          </w:p>
        </w:tc>
        <w:tc>
          <w:tcPr>
            <w:tcW w:w="6476"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手机</w:t>
            </w:r>
          </w:p>
        </w:tc>
        <w:tc>
          <w:tcPr>
            <w:tcW w:w="6476"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办公电话</w:t>
            </w:r>
          </w:p>
        </w:tc>
        <w:tc>
          <w:tcPr>
            <w:tcW w:w="6476"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传真</w:t>
            </w:r>
          </w:p>
        </w:tc>
        <w:tc>
          <w:tcPr>
            <w:tcW w:w="6476"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tcBorders>
            <w:vAlign w:val="center"/>
          </w:tcPr>
          <w:p>
            <w:pPr>
              <w:jc w:val="center"/>
              <w:rPr>
                <w:sz w:val="30"/>
                <w:szCs w:val="30"/>
              </w:rPr>
            </w:pPr>
            <w:r>
              <w:rPr>
                <w:rFonts w:hint="eastAsia"/>
                <w:sz w:val="30"/>
                <w:szCs w:val="30"/>
              </w:rPr>
              <w:t>E-mail</w:t>
            </w:r>
          </w:p>
        </w:tc>
        <w:tc>
          <w:tcPr>
            <w:tcW w:w="6476"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905" w:type="dxa"/>
            <w:tcBorders>
              <w:left w:val="double" w:color="auto" w:sz="4" w:space="0"/>
              <w:bottom w:val="double" w:color="auto" w:sz="4" w:space="0"/>
            </w:tcBorders>
            <w:vAlign w:val="center"/>
          </w:tcPr>
          <w:p>
            <w:pPr>
              <w:jc w:val="center"/>
              <w:rPr>
                <w:sz w:val="30"/>
                <w:szCs w:val="30"/>
              </w:rPr>
            </w:pPr>
            <w:r>
              <w:rPr>
                <w:rFonts w:hint="eastAsia"/>
                <w:sz w:val="30"/>
                <w:szCs w:val="30"/>
              </w:rPr>
              <w:t>单位地址</w:t>
            </w:r>
          </w:p>
        </w:tc>
        <w:tc>
          <w:tcPr>
            <w:tcW w:w="6476" w:type="dxa"/>
            <w:tcBorders>
              <w:bottom w:val="double" w:color="auto" w:sz="4" w:space="0"/>
              <w:right w:val="double" w:color="auto" w:sz="4" w:space="0"/>
            </w:tcBorders>
            <w:vAlign w:val="center"/>
          </w:tcPr>
          <w:p>
            <w:pPr>
              <w:jc w:val="left"/>
              <w:rPr>
                <w:sz w:val="30"/>
                <w:szCs w:val="30"/>
              </w:rPr>
            </w:pPr>
          </w:p>
        </w:tc>
      </w:tr>
    </w:tbl>
    <w:p>
      <w:pPr>
        <w:snapToGrid w:val="0"/>
        <w:spacing w:line="360" w:lineRule="auto"/>
        <w:ind w:firstLine="482" w:firstLineChars="200"/>
        <w:rPr>
          <w:rFonts w:ascii="宋体" w:hAnsi="宋体"/>
          <w:color w:val="000000"/>
          <w:sz w:val="24"/>
          <w:szCs w:val="24"/>
        </w:rPr>
      </w:pPr>
      <w:r>
        <w:rPr>
          <w:rFonts w:hint="eastAsia" w:ascii="宋体" w:hAnsi="宋体"/>
          <w:b/>
          <w:bCs/>
          <w:sz w:val="24"/>
        </w:rPr>
        <w:t>注：发票为数电发票，于标书费支付后5个工作日内开具，请于国家税务总局电子税务局——我要办税——税务数字账户——全量发票查询处，查询下载。</w:t>
      </w:r>
    </w:p>
    <w:p>
      <w:pPr>
        <w:snapToGrid w:val="0"/>
        <w:spacing w:line="360" w:lineRule="auto"/>
        <w:ind w:firstLine="480" w:firstLineChars="200"/>
        <w:rPr>
          <w:rFonts w:ascii="宋体" w:hAnsi="宋体"/>
          <w:sz w:val="24"/>
          <w:szCs w:val="24"/>
        </w:rPr>
      </w:pPr>
      <w:r>
        <w:rPr>
          <w:rFonts w:hint="eastAsia" w:ascii="宋体" w:hAnsi="宋体"/>
          <w:sz w:val="24"/>
          <w:szCs w:val="24"/>
        </w:rPr>
        <w:t>（三）竞争性比选文件报名期限：2024年4月25日-2024年4月30日（9:00-17:00）。</w:t>
      </w:r>
    </w:p>
    <w:p>
      <w:pPr>
        <w:snapToGrid w:val="0"/>
        <w:spacing w:line="360" w:lineRule="auto"/>
        <w:ind w:firstLine="480" w:firstLineChars="200"/>
        <w:rPr>
          <w:rFonts w:ascii="宋体" w:hAnsi="宋体"/>
          <w:sz w:val="24"/>
          <w:szCs w:val="24"/>
        </w:rPr>
      </w:pPr>
      <w:r>
        <w:rPr>
          <w:rFonts w:hint="eastAsia" w:ascii="宋体" w:hAnsi="宋体"/>
          <w:sz w:val="24"/>
          <w:szCs w:val="24"/>
        </w:rPr>
        <w:t>（四）竞争性比选文件发售</w:t>
      </w:r>
    </w:p>
    <w:p>
      <w:pPr>
        <w:snapToGrid w:val="0"/>
        <w:spacing w:line="360" w:lineRule="auto"/>
        <w:ind w:firstLine="480" w:firstLineChars="200"/>
        <w:rPr>
          <w:rFonts w:ascii="宋体" w:hAnsi="宋体"/>
          <w:sz w:val="24"/>
          <w:szCs w:val="24"/>
        </w:rPr>
      </w:pPr>
      <w:r>
        <w:rPr>
          <w:rFonts w:hint="eastAsia" w:ascii="宋体" w:hAnsi="宋体"/>
          <w:sz w:val="24"/>
          <w:szCs w:val="24"/>
        </w:rPr>
        <w:t>1.售价：人民币 300 元/分包（售后不退）</w:t>
      </w:r>
    </w:p>
    <w:p>
      <w:pPr>
        <w:snapToGrid w:val="0"/>
        <w:spacing w:line="360" w:lineRule="auto"/>
        <w:ind w:firstLine="480" w:firstLineChars="200"/>
        <w:rPr>
          <w:rFonts w:ascii="宋体" w:hAnsi="宋体"/>
          <w:sz w:val="24"/>
          <w:szCs w:val="24"/>
        </w:rPr>
      </w:pPr>
      <w:r>
        <w:rPr>
          <w:rFonts w:hint="eastAsia" w:ascii="宋体" w:hAnsi="宋体"/>
          <w:sz w:val="24"/>
          <w:szCs w:val="24"/>
        </w:rPr>
        <w:t>2.竞争性比选文件获取方式：由潜在供应商在重庆市人民政府口岸和物流办公室官网（http://zfkawlb.cq.gov.cn/）上自行下载。</w:t>
      </w:r>
    </w:p>
    <w:p>
      <w:pPr>
        <w:snapToGrid w:val="0"/>
        <w:spacing w:line="360" w:lineRule="auto"/>
        <w:ind w:firstLine="480" w:firstLineChars="200"/>
        <w:rPr>
          <w:rFonts w:ascii="宋体" w:hAnsi="宋体"/>
          <w:sz w:val="24"/>
          <w:szCs w:val="24"/>
        </w:rPr>
      </w:pPr>
      <w:r>
        <w:rPr>
          <w:rFonts w:hint="eastAsia" w:ascii="宋体" w:hAnsi="宋体"/>
          <w:sz w:val="24"/>
          <w:szCs w:val="24"/>
        </w:rPr>
        <w:t>（五）供应商须满足以下三种要件，其响应文件才被接受：</w:t>
      </w:r>
    </w:p>
    <w:p>
      <w:pPr>
        <w:snapToGrid w:val="0"/>
        <w:spacing w:line="360" w:lineRule="auto"/>
        <w:ind w:firstLine="480" w:firstLineChars="200"/>
        <w:rPr>
          <w:rFonts w:ascii="宋体" w:hAnsi="宋体"/>
          <w:sz w:val="24"/>
          <w:szCs w:val="24"/>
        </w:rPr>
      </w:pPr>
      <w:r>
        <w:rPr>
          <w:rFonts w:hint="eastAsia" w:ascii="宋体" w:hAnsi="宋体"/>
          <w:sz w:val="24"/>
          <w:szCs w:val="24"/>
        </w:rPr>
        <w:t>1.完成报名；</w:t>
      </w:r>
    </w:p>
    <w:p>
      <w:pPr>
        <w:snapToGrid w:val="0"/>
        <w:spacing w:line="360" w:lineRule="auto"/>
        <w:ind w:firstLine="480" w:firstLineChars="200"/>
        <w:rPr>
          <w:rFonts w:ascii="宋体" w:hAnsi="宋体"/>
          <w:sz w:val="24"/>
          <w:szCs w:val="24"/>
        </w:rPr>
      </w:pPr>
      <w:r>
        <w:rPr>
          <w:rFonts w:hint="eastAsia" w:ascii="宋体" w:hAnsi="宋体"/>
          <w:sz w:val="24"/>
          <w:szCs w:val="24"/>
        </w:rPr>
        <w:t>2.按时递交了响应文件；</w:t>
      </w:r>
    </w:p>
    <w:p>
      <w:pPr>
        <w:snapToGrid w:val="0"/>
        <w:spacing w:line="360" w:lineRule="auto"/>
        <w:ind w:firstLine="480" w:firstLineChars="200"/>
        <w:rPr>
          <w:rFonts w:ascii="宋体" w:hAnsi="宋体"/>
          <w:sz w:val="24"/>
          <w:szCs w:val="24"/>
        </w:rPr>
      </w:pPr>
      <w:r>
        <w:rPr>
          <w:rFonts w:hint="eastAsia" w:ascii="宋体" w:hAnsi="宋体"/>
          <w:sz w:val="24"/>
          <w:szCs w:val="24"/>
        </w:rPr>
        <w:t>3.按时签到。</w:t>
      </w:r>
    </w:p>
    <w:p>
      <w:pPr>
        <w:spacing w:line="360" w:lineRule="auto"/>
        <w:ind w:firstLine="480" w:firstLineChars="200"/>
        <w:rPr>
          <w:rFonts w:ascii="宋体" w:hAnsi="宋体"/>
          <w:sz w:val="24"/>
          <w:szCs w:val="24"/>
        </w:rPr>
      </w:pPr>
      <w:r>
        <w:rPr>
          <w:rFonts w:hint="eastAsia" w:ascii="宋体" w:hAnsi="宋体"/>
          <w:sz w:val="24"/>
          <w:szCs w:val="24"/>
        </w:rPr>
        <w:t>（六）递交响应文件地点：重庆市人民政府口岸和物流办公室18楼会议室</w:t>
      </w:r>
    </w:p>
    <w:p>
      <w:pPr>
        <w:spacing w:line="360" w:lineRule="auto"/>
        <w:ind w:firstLine="480" w:firstLineChars="200"/>
        <w:rPr>
          <w:rFonts w:ascii="宋体" w:hAnsi="宋体"/>
          <w:sz w:val="24"/>
          <w:szCs w:val="24"/>
        </w:rPr>
      </w:pPr>
      <w:r>
        <w:rPr>
          <w:rFonts w:hint="eastAsia" w:ascii="宋体" w:hAnsi="宋体"/>
          <w:sz w:val="24"/>
          <w:szCs w:val="24"/>
        </w:rPr>
        <w:t>（七）响应文件递交开始和截止时间：</w:t>
      </w:r>
      <w:r>
        <w:rPr>
          <w:rFonts w:ascii="宋体" w:hAnsi="宋体"/>
          <w:sz w:val="24"/>
          <w:szCs w:val="24"/>
        </w:rPr>
        <w:t>2024年</w:t>
      </w:r>
      <w:r>
        <w:rPr>
          <w:rFonts w:hint="eastAsia" w:ascii="宋体" w:hAnsi="宋体"/>
          <w:sz w:val="24"/>
          <w:szCs w:val="24"/>
        </w:rPr>
        <w:t>5月6日北京时间</w:t>
      </w:r>
      <w:r>
        <w:rPr>
          <w:rFonts w:ascii="宋体" w:hAnsi="宋体"/>
          <w:sz w:val="24"/>
          <w:szCs w:val="24"/>
        </w:rPr>
        <w:t>14</w:t>
      </w:r>
      <w:r>
        <w:rPr>
          <w:rFonts w:hint="eastAsia" w:ascii="宋体" w:hAnsi="宋体"/>
          <w:sz w:val="24"/>
          <w:szCs w:val="24"/>
        </w:rPr>
        <w:t>:</w:t>
      </w:r>
      <w:r>
        <w:rPr>
          <w:rFonts w:ascii="宋体" w:hAnsi="宋体"/>
          <w:sz w:val="24"/>
          <w:szCs w:val="24"/>
        </w:rPr>
        <w:t>00</w:t>
      </w:r>
      <w:r>
        <w:rPr>
          <w:rFonts w:hint="eastAsia" w:ascii="宋体" w:hAnsi="宋体"/>
          <w:sz w:val="24"/>
          <w:szCs w:val="24"/>
        </w:rPr>
        <w:t>-</w:t>
      </w:r>
      <w:r>
        <w:rPr>
          <w:rFonts w:ascii="宋体" w:hAnsi="宋体"/>
          <w:sz w:val="24"/>
          <w:szCs w:val="24"/>
        </w:rPr>
        <w:t>14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（八）响应文件开启时间：</w:t>
      </w:r>
      <w:r>
        <w:rPr>
          <w:rFonts w:ascii="宋体" w:hAnsi="宋体"/>
          <w:sz w:val="24"/>
          <w:szCs w:val="24"/>
        </w:rPr>
        <w:t>2024年</w:t>
      </w:r>
      <w:r>
        <w:rPr>
          <w:rFonts w:hint="eastAsia" w:ascii="宋体" w:hAnsi="宋体"/>
          <w:sz w:val="24"/>
          <w:szCs w:val="24"/>
        </w:rPr>
        <w:t>5月6日北京时间</w:t>
      </w:r>
      <w:r>
        <w:rPr>
          <w:rFonts w:ascii="宋体" w:hAnsi="宋体"/>
          <w:sz w:val="24"/>
          <w:szCs w:val="24"/>
        </w:rPr>
        <w:t>14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pStyle w:val="6"/>
        <w:spacing w:before="0" w:after="0" w:line="360" w:lineRule="auto"/>
        <w:ind w:firstLine="482" w:firstLineChars="200"/>
        <w:rPr>
          <w:rFonts w:ascii="宋体" w:hAnsi="宋体"/>
          <w:sz w:val="24"/>
          <w:szCs w:val="24"/>
        </w:rPr>
      </w:pPr>
      <w:bookmarkStart w:id="14" w:name="_Toc373860294"/>
      <w:bookmarkStart w:id="15" w:name="_Toc164842604"/>
      <w:bookmarkStart w:id="16" w:name="_Toc75258775"/>
      <w:r>
        <w:rPr>
          <w:rFonts w:hint="eastAsia" w:ascii="宋体" w:hAnsi="宋体"/>
          <w:sz w:val="24"/>
          <w:szCs w:val="24"/>
        </w:rPr>
        <w:t>五、比选保证金</w:t>
      </w:r>
      <w:bookmarkEnd w:id="14"/>
      <w:bookmarkEnd w:id="15"/>
      <w:bookmarkEnd w:id="16"/>
    </w:p>
    <w:p>
      <w:pPr>
        <w:snapToGrid w:val="0"/>
        <w:spacing w:line="360" w:lineRule="auto"/>
        <w:ind w:firstLine="480" w:firstLineChars="200"/>
        <w:rPr>
          <w:rFonts w:ascii="宋体" w:hAnsi="宋体"/>
          <w:sz w:val="24"/>
          <w:szCs w:val="24"/>
        </w:rPr>
      </w:pPr>
      <w:bookmarkStart w:id="17" w:name="_Toc530038692"/>
      <w:r>
        <w:rPr>
          <w:rFonts w:hint="eastAsia" w:ascii="宋体" w:hAnsi="宋体"/>
          <w:sz w:val="24"/>
          <w:szCs w:val="24"/>
        </w:rPr>
        <w:t>（一）比选保证金递交</w:t>
      </w:r>
    </w:p>
    <w:p>
      <w:pPr>
        <w:snapToGrid w:val="0"/>
        <w:spacing w:line="360" w:lineRule="auto"/>
        <w:ind w:firstLine="480" w:firstLineChars="200"/>
        <w:rPr>
          <w:rFonts w:ascii="宋体" w:hAnsi="宋体"/>
          <w:sz w:val="24"/>
          <w:szCs w:val="24"/>
        </w:rPr>
      </w:pPr>
      <w:r>
        <w:rPr>
          <w:rFonts w:hint="eastAsia" w:ascii="宋体" w:hAnsi="宋体"/>
          <w:sz w:val="24"/>
          <w:szCs w:val="24"/>
        </w:rPr>
        <w:t>供应商须按本项目规定的比选保证金金额进行缴纳（</w:t>
      </w:r>
      <w:r>
        <w:rPr>
          <w:rFonts w:hint="eastAsia" w:ascii="宋体" w:hAnsi="宋体"/>
          <w:b/>
          <w:bCs/>
          <w:sz w:val="24"/>
          <w:szCs w:val="24"/>
        </w:rPr>
        <w:t>保证金金额详见本篇，一、竞争性比选内容</w:t>
      </w:r>
      <w:r>
        <w:rPr>
          <w:rFonts w:hint="eastAsia" w:ascii="宋体" w:hAnsi="宋体"/>
          <w:sz w:val="24"/>
          <w:szCs w:val="24"/>
        </w:rPr>
        <w:t>），由供应商从其单位账户将比选保证金汇至以下任一账户，比选保证金的到账截止时间为2024年5月5日17:00。缴纳保证金时必须备注</w:t>
      </w:r>
      <w:r>
        <w:rPr>
          <w:rFonts w:hint="eastAsia" w:ascii="宋体" w:hAnsi="宋体"/>
          <w:b/>
          <w:bCs/>
          <w:sz w:val="24"/>
          <w:szCs w:val="24"/>
        </w:rPr>
        <w:t>采购代理机构备案号</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投标保证金账户：</w:t>
      </w:r>
    </w:p>
    <w:p>
      <w:pPr>
        <w:snapToGrid w:val="0"/>
        <w:spacing w:line="360" w:lineRule="auto"/>
        <w:ind w:firstLine="480" w:firstLineChars="200"/>
        <w:rPr>
          <w:rFonts w:ascii="宋体" w:hAnsi="宋体"/>
          <w:sz w:val="24"/>
          <w:szCs w:val="24"/>
        </w:rPr>
      </w:pPr>
      <w:r>
        <w:rPr>
          <w:rFonts w:hint="eastAsia" w:ascii="宋体" w:hAnsi="宋体"/>
          <w:sz w:val="24"/>
          <w:szCs w:val="24"/>
        </w:rPr>
        <w:t>户  名：重庆市中基致信招标代理有限公司</w:t>
      </w:r>
    </w:p>
    <w:p>
      <w:pPr>
        <w:snapToGrid w:val="0"/>
        <w:spacing w:line="360" w:lineRule="auto"/>
        <w:ind w:firstLine="480" w:firstLineChars="200"/>
        <w:rPr>
          <w:rFonts w:ascii="宋体" w:hAnsi="宋体"/>
          <w:sz w:val="24"/>
          <w:szCs w:val="24"/>
        </w:rPr>
      </w:pPr>
      <w:r>
        <w:rPr>
          <w:rFonts w:hint="eastAsia" w:ascii="宋体" w:hAnsi="宋体"/>
          <w:sz w:val="24"/>
          <w:szCs w:val="24"/>
        </w:rPr>
        <w:t>开户行：中国银行重庆江北支行</w:t>
      </w:r>
    </w:p>
    <w:p>
      <w:pPr>
        <w:snapToGrid w:val="0"/>
        <w:spacing w:line="360" w:lineRule="auto"/>
        <w:ind w:firstLine="480" w:firstLineChars="200"/>
        <w:rPr>
          <w:rFonts w:ascii="宋体" w:hAnsi="宋体"/>
          <w:sz w:val="24"/>
          <w:szCs w:val="24"/>
        </w:rPr>
      </w:pPr>
      <w:r>
        <w:rPr>
          <w:rFonts w:hint="eastAsia" w:ascii="宋体" w:hAnsi="宋体"/>
          <w:sz w:val="24"/>
          <w:szCs w:val="24"/>
        </w:rPr>
        <w:t>账  号：1144 6718 4234</w:t>
      </w:r>
    </w:p>
    <w:p>
      <w:pPr>
        <w:snapToGrid w:val="0"/>
        <w:spacing w:line="360" w:lineRule="auto"/>
        <w:ind w:firstLine="480" w:firstLineChars="200"/>
        <w:rPr>
          <w:rFonts w:ascii="宋体" w:hAnsi="宋体"/>
          <w:sz w:val="24"/>
          <w:szCs w:val="24"/>
        </w:rPr>
      </w:pPr>
      <w:r>
        <w:rPr>
          <w:rFonts w:hint="eastAsia" w:ascii="宋体" w:hAnsi="宋体"/>
          <w:sz w:val="24"/>
          <w:szCs w:val="24"/>
        </w:rPr>
        <w:t>（二）保证金退还方式</w:t>
      </w:r>
    </w:p>
    <w:p>
      <w:pPr>
        <w:snapToGrid w:val="0"/>
        <w:spacing w:line="360" w:lineRule="auto"/>
        <w:ind w:firstLine="480" w:firstLineChars="200"/>
        <w:rPr>
          <w:rFonts w:ascii="宋体" w:hAnsi="宋体"/>
          <w:sz w:val="24"/>
          <w:szCs w:val="24"/>
        </w:rPr>
      </w:pPr>
      <w:r>
        <w:rPr>
          <w:rFonts w:hint="eastAsia" w:ascii="宋体" w:hAnsi="宋体"/>
          <w:sz w:val="24"/>
          <w:szCs w:val="24"/>
        </w:rPr>
        <w:t>1.非成交供应商的保证金，在成交通知书发放后，由采购代理机构在五个工作日内按来款渠道直接退还。</w:t>
      </w:r>
    </w:p>
    <w:p>
      <w:pPr>
        <w:snapToGrid w:val="0"/>
        <w:spacing w:line="360" w:lineRule="auto"/>
        <w:ind w:firstLine="480" w:firstLineChars="200"/>
        <w:rPr>
          <w:rFonts w:ascii="宋体" w:hAnsi="宋体"/>
          <w:sz w:val="24"/>
          <w:szCs w:val="24"/>
        </w:rPr>
      </w:pPr>
      <w:r>
        <w:rPr>
          <w:rFonts w:hint="eastAsia" w:ascii="宋体" w:hAnsi="宋体"/>
          <w:sz w:val="24"/>
          <w:szCs w:val="24"/>
        </w:rPr>
        <w:t>2.成交供应商的投标保证金，在成交供应商与采购人签订合同后，由采购代理机构扣除中标服务费后在五个工作日内按资金来款渠道直接退还。</w:t>
      </w:r>
    </w:p>
    <w:p>
      <w:pPr>
        <w:snapToGrid w:val="0"/>
        <w:spacing w:line="360" w:lineRule="auto"/>
        <w:ind w:firstLine="480" w:firstLineChars="200"/>
        <w:rPr>
          <w:rFonts w:ascii="宋体" w:hAnsi="宋体"/>
          <w:sz w:val="24"/>
          <w:szCs w:val="24"/>
        </w:rPr>
      </w:pPr>
      <w:r>
        <w:rPr>
          <w:rFonts w:hint="eastAsia" w:ascii="宋体" w:hAnsi="宋体"/>
          <w:sz w:val="24"/>
          <w:szCs w:val="24"/>
        </w:rPr>
        <w:t>咨询电话：（023）88758852。</w:t>
      </w:r>
    </w:p>
    <w:p>
      <w:pPr>
        <w:pStyle w:val="6"/>
        <w:spacing w:before="0" w:after="0" w:line="360" w:lineRule="auto"/>
        <w:ind w:firstLine="482" w:firstLineChars="200"/>
        <w:rPr>
          <w:rFonts w:ascii="宋体" w:hAnsi="宋体"/>
          <w:sz w:val="24"/>
          <w:szCs w:val="24"/>
        </w:rPr>
      </w:pPr>
      <w:bookmarkStart w:id="18" w:name="_Toc75258776"/>
      <w:bookmarkStart w:id="19" w:name="_Toc164842605"/>
      <w:r>
        <w:rPr>
          <w:rFonts w:hint="eastAsia" w:ascii="宋体" w:hAnsi="宋体"/>
          <w:sz w:val="24"/>
          <w:szCs w:val="24"/>
        </w:rPr>
        <w:t>六、采购项目需落实的政府采购政策</w:t>
      </w:r>
      <w:bookmarkEnd w:id="17"/>
      <w:bookmarkEnd w:id="18"/>
      <w:bookmarkEnd w:id="19"/>
    </w:p>
    <w:p>
      <w:pPr>
        <w:snapToGrid w:val="0"/>
        <w:spacing w:line="360" w:lineRule="auto"/>
        <w:ind w:firstLine="480" w:firstLineChars="200"/>
        <w:rPr>
          <w:rFonts w:ascii="宋体" w:hAnsi="宋体"/>
          <w:sz w:val="24"/>
          <w:szCs w:val="24"/>
        </w:rPr>
      </w:pPr>
      <w:r>
        <w:rPr>
          <w:rFonts w:hint="eastAsia" w:ascii="宋体" w:hAnsi="宋体"/>
          <w:sz w:val="24"/>
          <w:szCs w:val="24"/>
        </w:rPr>
        <w:t>（一）按照《财政部生态环境部关于印发环境标志产品政府采购品目清单的通知》（财库〔</w:t>
      </w:r>
      <w:r>
        <w:rPr>
          <w:rFonts w:ascii="宋体" w:hAnsi="宋体"/>
          <w:sz w:val="24"/>
          <w:szCs w:val="24"/>
        </w:rPr>
        <w:t>2019</w:t>
      </w:r>
      <w:r>
        <w:rPr>
          <w:rFonts w:hint="eastAsia" w:ascii="宋体" w:hAnsi="宋体"/>
          <w:sz w:val="24"/>
          <w:szCs w:val="24"/>
        </w:rPr>
        <w:t>〕</w:t>
      </w:r>
      <w:r>
        <w:rPr>
          <w:rFonts w:ascii="宋体" w:hAnsi="宋体"/>
          <w:sz w:val="24"/>
          <w:szCs w:val="24"/>
        </w:rPr>
        <w:t>18</w:t>
      </w:r>
      <w:r>
        <w:rPr>
          <w:rFonts w:hint="eastAsia" w:ascii="宋体" w:hAnsi="宋体"/>
          <w:sz w:val="24"/>
          <w:szCs w:val="24"/>
        </w:rPr>
        <w:t>号）和《财政部发展改革委关于印发节能产品政府采购品目清单的通知》（财库〔</w:t>
      </w:r>
      <w:r>
        <w:rPr>
          <w:rFonts w:ascii="宋体" w:hAnsi="宋体"/>
          <w:sz w:val="24"/>
          <w:szCs w:val="24"/>
        </w:rPr>
        <w:t>2019</w:t>
      </w:r>
      <w:r>
        <w:rPr>
          <w:rFonts w:hint="eastAsia" w:ascii="宋体" w:hAnsi="宋体"/>
          <w:sz w:val="24"/>
          <w:szCs w:val="24"/>
        </w:rPr>
        <w:t>〕</w:t>
      </w:r>
      <w:r>
        <w:rPr>
          <w:rFonts w:ascii="宋体" w:hAnsi="宋体"/>
          <w:sz w:val="24"/>
          <w:szCs w:val="24"/>
        </w:rPr>
        <w:t>19</w:t>
      </w:r>
      <w:r>
        <w:rPr>
          <w:rFonts w:hint="eastAsia" w:ascii="宋体" w:hAnsi="宋体"/>
          <w:sz w:val="24"/>
          <w:szCs w:val="24"/>
        </w:rPr>
        <w:t>号）的规定，落实国家节能环保政策。</w:t>
      </w:r>
    </w:p>
    <w:p>
      <w:pPr>
        <w:snapToGrid w:val="0"/>
        <w:spacing w:line="360" w:lineRule="auto"/>
        <w:ind w:firstLine="480" w:firstLineChars="200"/>
        <w:rPr>
          <w:rFonts w:ascii="宋体" w:hAnsi="宋体"/>
          <w:sz w:val="24"/>
          <w:szCs w:val="24"/>
        </w:rPr>
      </w:pPr>
      <w:r>
        <w:rPr>
          <w:rFonts w:hint="eastAsia" w:ascii="宋体" w:hAnsi="宋体"/>
          <w:sz w:val="24"/>
          <w:szCs w:val="24"/>
        </w:rPr>
        <w:t>（二）按照《关于印发&lt;政府采购促进中小企业发展管理办法&gt;的通知》（财库〔2020〕46号）的规定，落实促进中小企业发展政策。</w:t>
      </w:r>
    </w:p>
    <w:p>
      <w:pPr>
        <w:snapToGrid w:val="0"/>
        <w:spacing w:line="360" w:lineRule="auto"/>
        <w:ind w:firstLine="480" w:firstLineChars="200"/>
        <w:rPr>
          <w:rFonts w:ascii="宋体" w:hAnsi="宋体"/>
          <w:sz w:val="24"/>
          <w:szCs w:val="24"/>
        </w:rPr>
      </w:pPr>
      <w:r>
        <w:rPr>
          <w:rFonts w:hint="eastAsia" w:ascii="宋体" w:hAnsi="宋体"/>
          <w:sz w:val="24"/>
          <w:szCs w:val="24"/>
        </w:rPr>
        <w:t>（三）按照《财政部、司法部关于政府采购支持监狱企业发展有关问题的通知》（财库〔</w:t>
      </w:r>
      <w:r>
        <w:rPr>
          <w:rFonts w:ascii="宋体" w:hAnsi="宋体"/>
          <w:sz w:val="24"/>
          <w:szCs w:val="24"/>
        </w:rPr>
        <w:t>2014</w:t>
      </w:r>
      <w:r>
        <w:rPr>
          <w:rFonts w:hint="eastAsia" w:ascii="宋体" w:hAnsi="宋体"/>
          <w:sz w:val="24"/>
          <w:szCs w:val="24"/>
        </w:rPr>
        <w:t>〕</w:t>
      </w:r>
      <w:r>
        <w:rPr>
          <w:rFonts w:ascii="宋体" w:hAnsi="宋体"/>
          <w:sz w:val="24"/>
          <w:szCs w:val="24"/>
        </w:rPr>
        <w:t>68</w:t>
      </w:r>
      <w:r>
        <w:rPr>
          <w:rFonts w:hint="eastAsia" w:ascii="宋体" w:hAnsi="宋体"/>
          <w:sz w:val="24"/>
          <w:szCs w:val="24"/>
        </w:rPr>
        <w:t>号）的规定，落实支持监狱企业发展政策。</w:t>
      </w:r>
    </w:p>
    <w:p>
      <w:pPr>
        <w:snapToGrid w:val="0"/>
        <w:spacing w:line="360" w:lineRule="auto"/>
        <w:ind w:firstLine="480" w:firstLineChars="200"/>
        <w:rPr>
          <w:rFonts w:ascii="宋体" w:hAnsi="宋体"/>
          <w:sz w:val="24"/>
          <w:szCs w:val="24"/>
        </w:rPr>
      </w:pPr>
      <w:r>
        <w:rPr>
          <w:rFonts w:hint="eastAsia" w:ascii="宋体" w:hAnsi="宋体"/>
          <w:sz w:val="24"/>
          <w:szCs w:val="24"/>
        </w:rPr>
        <w:t>（四）按照《三部门联合发布关于促进残疾人就业政府采购政策的通知》（财库〔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 xml:space="preserve"> 141</w:t>
      </w:r>
      <w:r>
        <w:rPr>
          <w:rFonts w:hint="eastAsia" w:ascii="宋体" w:hAnsi="宋体"/>
          <w:sz w:val="24"/>
          <w:szCs w:val="24"/>
        </w:rPr>
        <w:t>号）的规定，落实支持残疾人福利性单位发展政策。</w:t>
      </w:r>
    </w:p>
    <w:p>
      <w:pPr>
        <w:pStyle w:val="6"/>
        <w:spacing w:before="0" w:after="0" w:line="360" w:lineRule="auto"/>
        <w:ind w:firstLine="482" w:firstLineChars="200"/>
        <w:rPr>
          <w:rFonts w:ascii="宋体" w:hAnsi="宋体"/>
          <w:sz w:val="24"/>
          <w:szCs w:val="24"/>
        </w:rPr>
      </w:pPr>
      <w:bookmarkStart w:id="20" w:name="_Toc75258777"/>
      <w:bookmarkStart w:id="21" w:name="_Toc164842606"/>
      <w:r>
        <w:rPr>
          <w:rFonts w:hint="eastAsia" w:ascii="宋体" w:hAnsi="宋体"/>
          <w:sz w:val="24"/>
          <w:szCs w:val="24"/>
        </w:rPr>
        <w:t>七、其它有关规定</w:t>
      </w:r>
      <w:bookmarkEnd w:id="20"/>
      <w:bookmarkEnd w:id="21"/>
    </w:p>
    <w:p>
      <w:pPr>
        <w:snapToGrid w:val="0"/>
        <w:spacing w:line="360" w:lineRule="auto"/>
        <w:ind w:firstLine="480" w:firstLineChars="200"/>
        <w:rPr>
          <w:rFonts w:ascii="宋体" w:hAnsi="宋体"/>
          <w:sz w:val="24"/>
          <w:szCs w:val="24"/>
        </w:rPr>
      </w:pPr>
      <w:r>
        <w:rPr>
          <w:rFonts w:hint="eastAsia" w:ascii="宋体" w:hAnsi="宋体"/>
          <w:sz w:val="24"/>
          <w:szCs w:val="24"/>
        </w:rPr>
        <w:t xml:space="preserve">（一）单位负责人为同一人或者存在直接控股、管理关系的不同供应商，不得参加同一合同项下的采购活动，否则均为无效响应。 </w:t>
      </w:r>
    </w:p>
    <w:p>
      <w:pPr>
        <w:snapToGrid w:val="0"/>
        <w:spacing w:line="360" w:lineRule="auto"/>
        <w:ind w:firstLine="480" w:firstLineChars="200"/>
        <w:rPr>
          <w:rFonts w:ascii="宋体" w:hAnsi="宋体"/>
          <w:sz w:val="24"/>
          <w:szCs w:val="24"/>
        </w:rPr>
      </w:pPr>
      <w:r>
        <w:rPr>
          <w:rFonts w:hint="eastAsia" w:ascii="宋体" w:hAnsi="宋体"/>
          <w:sz w:val="24"/>
          <w:szCs w:val="24"/>
        </w:rPr>
        <w:t>（二）为采购项目提供整体设计、规范编制或者项目管理、监理、检测等服务的供应商，不得再参加该采购项目的其他采购活动，否则均为无效响应。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宋体" w:hAnsi="宋体"/>
          <w:sz w:val="24"/>
          <w:szCs w:val="24"/>
        </w:rPr>
      </w:pPr>
      <w:r>
        <w:rPr>
          <w:rFonts w:hint="eastAsia" w:ascii="宋体" w:hAnsi="宋体"/>
          <w:sz w:val="24"/>
          <w:szCs w:val="24"/>
        </w:rPr>
        <w:t>（三）本项目在响应文件提交截止时间前发布的竞争性比选文件及补遗文件（如果有）一律在重庆市人民政府口岸和物流办公室官网（http://zfkawlb.cq.gov.cn/）发布，请各供应商注意下载；无论供应商下载与否，均视同供应商已知晓本项目竞争性比选文件、补遗文件（如果有）的内容。</w:t>
      </w:r>
    </w:p>
    <w:p>
      <w:pPr>
        <w:snapToGrid w:val="0"/>
        <w:spacing w:line="360" w:lineRule="auto"/>
        <w:ind w:firstLine="480" w:firstLineChars="200"/>
        <w:rPr>
          <w:rFonts w:ascii="宋体" w:hAnsi="宋体"/>
          <w:sz w:val="24"/>
          <w:szCs w:val="24"/>
        </w:rPr>
      </w:pPr>
      <w:r>
        <w:rPr>
          <w:rFonts w:hint="eastAsia" w:ascii="宋体" w:hAnsi="宋体"/>
          <w:sz w:val="24"/>
          <w:szCs w:val="24"/>
        </w:rPr>
        <w:t>（四）超过响应文件截止时间递交的响应文件为无效文件，恕不接收。</w:t>
      </w:r>
    </w:p>
    <w:p>
      <w:pPr>
        <w:snapToGrid w:val="0"/>
        <w:spacing w:line="360" w:lineRule="auto"/>
        <w:ind w:firstLine="480" w:firstLineChars="200"/>
        <w:rPr>
          <w:rFonts w:ascii="宋体" w:hAnsi="宋体"/>
          <w:sz w:val="24"/>
          <w:szCs w:val="24"/>
        </w:rPr>
      </w:pPr>
      <w:r>
        <w:rPr>
          <w:rFonts w:hint="eastAsia" w:ascii="宋体" w:hAnsi="宋体"/>
          <w:sz w:val="24"/>
          <w:szCs w:val="24"/>
        </w:rPr>
        <w:t>（五）比选费用：无论比选结果如何，供应商参与本项目比选的所有费用均应由供应商自行承担。</w:t>
      </w:r>
    </w:p>
    <w:p>
      <w:pPr>
        <w:snapToGrid w:val="0"/>
        <w:spacing w:line="360" w:lineRule="auto"/>
        <w:ind w:firstLine="480" w:firstLineChars="200"/>
        <w:rPr>
          <w:rFonts w:ascii="宋体" w:hAnsi="宋体"/>
          <w:sz w:val="24"/>
          <w:szCs w:val="24"/>
        </w:rPr>
      </w:pPr>
      <w:r>
        <w:rPr>
          <w:rFonts w:hint="eastAsia" w:ascii="宋体" w:hAnsi="宋体"/>
          <w:sz w:val="24"/>
          <w:szCs w:val="24"/>
        </w:rPr>
        <w:t>（六）本项目不接受联合体形式比选。</w:t>
      </w:r>
    </w:p>
    <w:p>
      <w:pPr>
        <w:snapToGrid w:val="0"/>
        <w:spacing w:line="360" w:lineRule="auto"/>
        <w:ind w:firstLine="480" w:firstLineChars="200"/>
        <w:rPr>
          <w:rFonts w:ascii="宋体" w:hAnsi="宋体"/>
          <w:sz w:val="24"/>
          <w:szCs w:val="24"/>
        </w:rPr>
      </w:pPr>
      <w:r>
        <w:rPr>
          <w:rFonts w:hint="eastAsia" w:ascii="宋体" w:hAnsi="宋体"/>
          <w:sz w:val="24"/>
          <w:szCs w:val="24"/>
        </w:rPr>
        <w:t>（七）本项目不接受合同分包。</w:t>
      </w:r>
    </w:p>
    <w:p>
      <w:pPr>
        <w:snapToGrid w:val="0"/>
        <w:spacing w:line="360" w:lineRule="auto"/>
        <w:ind w:firstLine="480" w:firstLineChars="200"/>
        <w:rPr>
          <w:rFonts w:ascii="宋体" w:hAnsi="宋体"/>
          <w:sz w:val="24"/>
          <w:szCs w:val="24"/>
        </w:rPr>
      </w:pPr>
      <w:r>
        <w:rPr>
          <w:rFonts w:hint="eastAsia" w:ascii="宋体" w:hAnsi="宋体"/>
          <w:sz w:val="24"/>
          <w:szCs w:val="24"/>
        </w:rPr>
        <w:t>（八）按照《财政部关于在政府采购活动中查询及使用信用记录有关问题的通知》财库〔</w:t>
      </w:r>
      <w:r>
        <w:rPr>
          <w:rFonts w:ascii="宋体" w:hAnsi="宋体"/>
          <w:sz w:val="24"/>
          <w:szCs w:val="24"/>
        </w:rPr>
        <w:t>2016</w:t>
      </w:r>
      <w:r>
        <w:rPr>
          <w:rFonts w:hint="eastAsia" w:ascii="宋体" w:hAnsi="宋体"/>
          <w:sz w:val="24"/>
          <w:szCs w:val="24"/>
        </w:rPr>
        <w:t>〕</w:t>
      </w:r>
      <w:r>
        <w:rPr>
          <w:rFonts w:ascii="宋体" w:hAnsi="宋体"/>
          <w:sz w:val="24"/>
          <w:szCs w:val="24"/>
        </w:rPr>
        <w:t>125</w:t>
      </w:r>
      <w:r>
        <w:rPr>
          <w:rFonts w:hint="eastAsia" w:ascii="宋体" w:hAnsi="宋体"/>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before="0" w:after="0" w:line="360" w:lineRule="auto"/>
        <w:ind w:firstLine="482" w:firstLineChars="200"/>
        <w:rPr>
          <w:rFonts w:ascii="宋体" w:hAnsi="宋体"/>
          <w:sz w:val="24"/>
          <w:szCs w:val="24"/>
        </w:rPr>
      </w:pPr>
      <w:bookmarkStart w:id="22" w:name="_Toc164842607"/>
      <w:r>
        <w:rPr>
          <w:rFonts w:hint="eastAsia" w:ascii="宋体" w:hAnsi="宋体"/>
          <w:sz w:val="24"/>
          <w:szCs w:val="24"/>
        </w:rPr>
        <w:t>八、联系方式</w:t>
      </w:r>
      <w:bookmarkEnd w:id="22"/>
    </w:p>
    <w:p>
      <w:pPr>
        <w:snapToGrid w:val="0"/>
        <w:spacing w:line="360" w:lineRule="auto"/>
        <w:ind w:firstLine="480" w:firstLineChars="200"/>
        <w:rPr>
          <w:rFonts w:ascii="宋体" w:hAnsi="宋体"/>
          <w:sz w:val="24"/>
          <w:szCs w:val="24"/>
        </w:rPr>
      </w:pPr>
      <w:r>
        <w:rPr>
          <w:rFonts w:hint="eastAsia" w:ascii="宋体" w:hAnsi="宋体"/>
          <w:sz w:val="24"/>
          <w:szCs w:val="24"/>
        </w:rPr>
        <w:t>（一）采购人：</w:t>
      </w:r>
      <w:r>
        <w:rPr>
          <w:rFonts w:ascii="宋体" w:hAnsi="宋体"/>
          <w:sz w:val="24"/>
          <w:szCs w:val="24"/>
        </w:rPr>
        <w:t>重庆市人民政府口岸和物流办公室</w:t>
      </w:r>
    </w:p>
    <w:p>
      <w:pPr>
        <w:snapToGrid w:val="0"/>
        <w:spacing w:line="360" w:lineRule="auto"/>
        <w:ind w:firstLine="480" w:firstLineChars="200"/>
        <w:rPr>
          <w:rFonts w:ascii="宋体" w:hAnsi="宋体"/>
          <w:sz w:val="24"/>
          <w:szCs w:val="24"/>
        </w:rPr>
      </w:pPr>
      <w:r>
        <w:rPr>
          <w:rFonts w:hint="eastAsia" w:ascii="宋体" w:hAnsi="宋体"/>
          <w:sz w:val="24"/>
          <w:szCs w:val="24"/>
        </w:rPr>
        <w:t>联系人：李老师</w:t>
      </w:r>
    </w:p>
    <w:p>
      <w:pPr>
        <w:snapToGrid w:val="0"/>
        <w:spacing w:line="360" w:lineRule="auto"/>
        <w:ind w:firstLine="480" w:firstLineChars="200"/>
        <w:rPr>
          <w:rFonts w:ascii="宋体" w:hAnsi="宋体"/>
          <w:sz w:val="24"/>
          <w:szCs w:val="24"/>
        </w:rPr>
      </w:pPr>
      <w:r>
        <w:rPr>
          <w:rFonts w:hint="eastAsia" w:ascii="宋体" w:hAnsi="宋体"/>
          <w:sz w:val="24"/>
          <w:szCs w:val="24"/>
        </w:rPr>
        <w:t>电  话：（023）63151943</w:t>
      </w:r>
    </w:p>
    <w:p>
      <w:pPr>
        <w:snapToGrid w:val="0"/>
        <w:spacing w:line="360" w:lineRule="auto"/>
        <w:ind w:firstLine="480" w:firstLineChars="200"/>
        <w:rPr>
          <w:rFonts w:ascii="宋体" w:hAnsi="宋体"/>
          <w:sz w:val="24"/>
          <w:szCs w:val="24"/>
        </w:rPr>
      </w:pPr>
      <w:r>
        <w:rPr>
          <w:rFonts w:hint="eastAsia" w:ascii="宋体" w:hAnsi="宋体"/>
          <w:sz w:val="24"/>
          <w:szCs w:val="24"/>
        </w:rPr>
        <w:t>地址： 重庆市渝北区青竹东路16号微易中心</w:t>
      </w:r>
    </w:p>
    <w:p>
      <w:pPr>
        <w:snapToGrid w:val="0"/>
        <w:spacing w:line="360" w:lineRule="auto"/>
        <w:ind w:firstLine="480" w:firstLineChars="200"/>
        <w:rPr>
          <w:rFonts w:ascii="宋体" w:hAnsi="宋体"/>
          <w:sz w:val="24"/>
          <w:szCs w:val="24"/>
        </w:rPr>
      </w:pPr>
      <w:r>
        <w:rPr>
          <w:rFonts w:hint="eastAsia" w:ascii="宋体" w:hAnsi="宋体"/>
          <w:sz w:val="24"/>
          <w:szCs w:val="24"/>
        </w:rPr>
        <w:t>（二）采购代理机构：重庆市中基致信招标代理有限公司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联系人：游建伟、胡琳</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电  话：（023）8</w:t>
      </w:r>
      <w:r>
        <w:rPr>
          <w:rFonts w:ascii="宋体" w:hAnsi="宋体"/>
          <w:color w:val="000000"/>
          <w:sz w:val="24"/>
          <w:szCs w:val="24"/>
        </w:rPr>
        <w:t>8758847</w:t>
      </w:r>
      <w:r>
        <w:rPr>
          <w:rFonts w:hint="eastAsia" w:ascii="宋体" w:hAnsi="宋体"/>
          <w:color w:val="000000"/>
          <w:sz w:val="24"/>
          <w:szCs w:val="24"/>
        </w:rPr>
        <w:t>、88758852</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传  真：（023）88505947</w:t>
      </w:r>
    </w:p>
    <w:p>
      <w:pPr>
        <w:snapToGrid w:val="0"/>
        <w:spacing w:line="360" w:lineRule="auto"/>
        <w:ind w:firstLine="480" w:firstLineChars="200"/>
        <w:rPr>
          <w:rFonts w:ascii="宋体" w:hAnsi="宋体"/>
          <w:color w:val="000000"/>
          <w:sz w:val="24"/>
          <w:szCs w:val="24"/>
        </w:rPr>
      </w:pPr>
      <w:bookmarkStart w:id="23" w:name="_Toc180051219"/>
      <w:bookmarkStart w:id="24" w:name="_Toc216163282"/>
      <w:bookmarkStart w:id="25" w:name="_Toc178828108"/>
      <w:r>
        <w:rPr>
          <w:rFonts w:hint="eastAsia" w:ascii="宋体" w:hAnsi="宋体"/>
          <w:color w:val="000000"/>
          <w:sz w:val="24"/>
          <w:szCs w:val="24"/>
        </w:rPr>
        <w:t>地  址：重庆市渝北区财富大道2号财富大厦A座9楼</w:t>
      </w:r>
    </w:p>
    <w:bookmarkEnd w:id="23"/>
    <w:bookmarkEnd w:id="24"/>
    <w:bookmarkEnd w:id="25"/>
    <w:p>
      <w:pPr>
        <w:pStyle w:val="5"/>
        <w:pageBreakBefore/>
        <w:spacing w:line="360" w:lineRule="auto"/>
        <w:jc w:val="center"/>
        <w:rPr>
          <w:rFonts w:ascii="宋体" w:hAnsi="宋体" w:eastAsia="宋体"/>
          <w:sz w:val="36"/>
          <w:szCs w:val="30"/>
        </w:rPr>
      </w:pPr>
      <w:bookmarkStart w:id="26" w:name="_Toc164842608"/>
      <w:r>
        <w:rPr>
          <w:rFonts w:hint="eastAsia" w:ascii="宋体" w:hAnsi="宋体" w:eastAsia="宋体"/>
          <w:sz w:val="36"/>
          <w:szCs w:val="30"/>
        </w:rPr>
        <w:t>第二篇  采购技术和服务需求</w:t>
      </w:r>
      <w:bookmarkEnd w:id="26"/>
    </w:p>
    <w:p>
      <w:pPr>
        <w:snapToGrid w:val="0"/>
        <w:spacing w:line="360" w:lineRule="auto"/>
        <w:rPr>
          <w:rFonts w:ascii="宋体" w:hAnsi="宋体"/>
          <w:b/>
          <w:sz w:val="21"/>
          <w:szCs w:val="21"/>
        </w:rPr>
      </w:pPr>
      <w:bookmarkStart w:id="27" w:name="_Toc6232092"/>
      <w:bookmarkStart w:id="28" w:name="_Toc5006885"/>
      <w:bookmarkStart w:id="29" w:name="_Toc12789058"/>
      <w:r>
        <w:rPr>
          <w:rFonts w:hint="eastAsia" w:ascii="宋体" w:hAnsi="宋体"/>
          <w:b/>
          <w:sz w:val="21"/>
          <w:szCs w:val="21"/>
        </w:rPr>
        <w:t>“※”标注的服务需求为符合性审查中的实质性要求，投标文件若不满足按无效投标处理。</w:t>
      </w:r>
    </w:p>
    <w:bookmarkEnd w:id="27"/>
    <w:bookmarkEnd w:id="28"/>
    <w:p>
      <w:pPr>
        <w:pStyle w:val="6"/>
        <w:spacing w:before="0" w:after="0" w:line="360" w:lineRule="auto"/>
        <w:ind w:firstLine="422" w:firstLineChars="200"/>
        <w:rPr>
          <w:rFonts w:ascii="宋体" w:hAnsi="宋体"/>
          <w:sz w:val="24"/>
          <w:szCs w:val="24"/>
        </w:rPr>
      </w:pPr>
      <w:bookmarkStart w:id="30" w:name="_Toc164842609"/>
      <w:bookmarkStart w:id="31" w:name="_Toc42624888"/>
      <w:r>
        <w:rPr>
          <w:rFonts w:hint="eastAsia" w:ascii="宋体" w:hAnsi="宋体"/>
          <w:sz w:val="21"/>
          <w:szCs w:val="21"/>
        </w:rPr>
        <w:t>※</w:t>
      </w:r>
      <w:r>
        <w:rPr>
          <w:rFonts w:hint="eastAsia" w:ascii="宋体" w:hAnsi="宋体"/>
          <w:sz w:val="24"/>
          <w:szCs w:val="24"/>
        </w:rPr>
        <w:t>一、工作内容</w:t>
      </w:r>
      <w:bookmarkEnd w:id="30"/>
    </w:p>
    <w:p>
      <w:pPr>
        <w:snapToGrid w:val="0"/>
        <w:spacing w:line="360" w:lineRule="auto"/>
        <w:ind w:firstLine="480" w:firstLineChars="200"/>
        <w:rPr>
          <w:rFonts w:ascii="宋体" w:hAnsi="宋体"/>
          <w:sz w:val="24"/>
          <w:szCs w:val="24"/>
        </w:rPr>
      </w:pPr>
      <w:r>
        <w:rPr>
          <w:rFonts w:hint="eastAsia" w:ascii="宋体" w:hAnsi="宋体"/>
          <w:sz w:val="24"/>
          <w:szCs w:val="24"/>
        </w:rPr>
        <w:t>供应商需完成投诉受理过程中的梳理投诉类型、接打电话、收集事实证据、收集用户诉求、对接记录及档案整理等工作，向市口岸物流办提出按行规行业惯例协调建议意见，提炼分类型协调处理模板，按季度总结上报工作情况。</w:t>
      </w:r>
    </w:p>
    <w:p>
      <w:pPr>
        <w:pStyle w:val="6"/>
        <w:spacing w:before="0" w:after="0" w:line="360" w:lineRule="auto"/>
        <w:ind w:firstLine="482" w:firstLineChars="200"/>
        <w:rPr>
          <w:rFonts w:ascii="宋体" w:hAnsi="宋体"/>
          <w:sz w:val="24"/>
          <w:szCs w:val="24"/>
        </w:rPr>
      </w:pPr>
      <w:bookmarkStart w:id="32" w:name="_Toc164842610"/>
      <w:r>
        <w:rPr>
          <w:rFonts w:hint="eastAsia" w:ascii="宋体" w:hAnsi="宋体"/>
          <w:sz w:val="24"/>
          <w:szCs w:val="24"/>
        </w:rPr>
        <w:t>二、工作要求</w:t>
      </w:r>
      <w:bookmarkEnd w:id="32"/>
    </w:p>
    <w:p>
      <w:pPr>
        <w:snapToGrid w:val="0"/>
        <w:spacing w:line="360" w:lineRule="auto"/>
        <w:ind w:firstLine="480" w:firstLineChars="200"/>
        <w:rPr>
          <w:rFonts w:ascii="宋体" w:hAnsi="宋体"/>
          <w:sz w:val="24"/>
          <w:szCs w:val="24"/>
        </w:rPr>
      </w:pPr>
      <w:r>
        <w:rPr>
          <w:rFonts w:hint="eastAsia" w:ascii="宋体" w:hAnsi="宋体"/>
          <w:sz w:val="24"/>
          <w:szCs w:val="24"/>
        </w:rPr>
        <w:t>（一）准确理解市政府口岸物流办委托事项的背景、工作内容及方式；</w:t>
      </w:r>
    </w:p>
    <w:p>
      <w:pPr>
        <w:snapToGrid w:val="0"/>
        <w:spacing w:line="360" w:lineRule="auto"/>
        <w:ind w:firstLine="480" w:firstLineChars="200"/>
        <w:rPr>
          <w:rFonts w:ascii="宋体" w:hAnsi="宋体"/>
          <w:sz w:val="24"/>
          <w:szCs w:val="24"/>
        </w:rPr>
      </w:pPr>
      <w:r>
        <w:rPr>
          <w:rFonts w:hint="eastAsia" w:ascii="宋体" w:hAnsi="宋体"/>
          <w:sz w:val="24"/>
          <w:szCs w:val="24"/>
        </w:rPr>
        <w:t>（二）掌握行业惯例、标准、以及相关法规，能够有效沟通，提出当事双方处理的建议意见；</w:t>
      </w:r>
    </w:p>
    <w:p>
      <w:pPr>
        <w:snapToGrid w:val="0"/>
        <w:spacing w:line="360" w:lineRule="auto"/>
        <w:ind w:firstLine="480" w:firstLineChars="200"/>
        <w:rPr>
          <w:rFonts w:ascii="宋体" w:hAnsi="宋体"/>
          <w:sz w:val="24"/>
          <w:szCs w:val="24"/>
        </w:rPr>
      </w:pPr>
      <w:r>
        <w:rPr>
          <w:rFonts w:hint="eastAsia" w:ascii="宋体" w:hAnsi="宋体"/>
          <w:sz w:val="24"/>
          <w:szCs w:val="24"/>
        </w:rPr>
        <w:t>（三）安排足够常职人员包括应急人手，明确工作分工、安排科学合理；</w:t>
      </w:r>
    </w:p>
    <w:p>
      <w:pPr>
        <w:snapToGrid w:val="0"/>
        <w:spacing w:line="360" w:lineRule="auto"/>
        <w:ind w:firstLine="480" w:firstLineChars="200"/>
        <w:rPr>
          <w:rFonts w:ascii="宋体" w:hAnsi="宋体"/>
          <w:sz w:val="24"/>
          <w:szCs w:val="24"/>
        </w:rPr>
      </w:pPr>
      <w:r>
        <w:rPr>
          <w:rFonts w:hint="eastAsia" w:ascii="宋体" w:hAnsi="宋体"/>
          <w:sz w:val="24"/>
          <w:szCs w:val="24"/>
        </w:rPr>
        <w:t>（四）满足平台要求的时效，按时完成上述工作；</w:t>
      </w:r>
    </w:p>
    <w:p>
      <w:pPr>
        <w:snapToGrid w:val="0"/>
        <w:spacing w:line="360" w:lineRule="auto"/>
        <w:ind w:firstLine="480" w:firstLineChars="200"/>
        <w:rPr>
          <w:rFonts w:ascii="宋体" w:hAnsi="宋体"/>
          <w:sz w:val="24"/>
          <w:szCs w:val="24"/>
        </w:rPr>
      </w:pPr>
      <w:r>
        <w:rPr>
          <w:rFonts w:hint="eastAsia" w:ascii="宋体" w:hAnsi="宋体"/>
          <w:sz w:val="24"/>
          <w:szCs w:val="24"/>
        </w:rPr>
        <w:t>（五）工作态度好，尽量取得当事双方对沟通、调查、协调等工作认可和满意；</w:t>
      </w:r>
    </w:p>
    <w:p>
      <w:pPr>
        <w:snapToGrid w:val="0"/>
        <w:spacing w:line="360" w:lineRule="auto"/>
        <w:ind w:firstLine="480" w:firstLineChars="200"/>
        <w:rPr>
          <w:rFonts w:ascii="宋体" w:hAnsi="宋体"/>
          <w:sz w:val="24"/>
          <w:szCs w:val="24"/>
        </w:rPr>
      </w:pPr>
      <w:r>
        <w:rPr>
          <w:rFonts w:hint="eastAsia" w:ascii="宋体" w:hAnsi="宋体"/>
          <w:sz w:val="24"/>
          <w:szCs w:val="24"/>
        </w:rPr>
        <w:t>（六）每季度形成工作总结并上报，提升工作效率和质量；</w:t>
      </w:r>
    </w:p>
    <w:p>
      <w:pPr>
        <w:snapToGrid w:val="0"/>
        <w:spacing w:line="360" w:lineRule="auto"/>
        <w:ind w:firstLine="480" w:firstLineChars="200"/>
        <w:rPr>
          <w:rFonts w:ascii="宋体" w:hAnsi="宋体"/>
          <w:sz w:val="24"/>
          <w:szCs w:val="24"/>
        </w:rPr>
      </w:pPr>
      <w:r>
        <w:rPr>
          <w:rFonts w:hint="eastAsia" w:ascii="宋体" w:hAnsi="宋体"/>
          <w:sz w:val="24"/>
          <w:szCs w:val="24"/>
        </w:rPr>
        <w:t>（七）完成市政府口岸物流办交办的相关事宜。</w:t>
      </w:r>
    </w:p>
    <w:bookmarkEnd w:id="31"/>
    <w:p>
      <w:pPr>
        <w:pStyle w:val="5"/>
        <w:pageBreakBefore/>
        <w:spacing w:line="360" w:lineRule="auto"/>
        <w:jc w:val="center"/>
        <w:rPr>
          <w:rFonts w:ascii="宋体" w:hAnsi="宋体" w:eastAsia="宋体"/>
          <w:sz w:val="36"/>
          <w:szCs w:val="30"/>
        </w:rPr>
      </w:pPr>
      <w:bookmarkStart w:id="33" w:name="_Toc164842611"/>
      <w:r>
        <w:rPr>
          <w:rFonts w:hint="eastAsia" w:ascii="宋体" w:hAnsi="宋体" w:eastAsia="宋体"/>
          <w:sz w:val="36"/>
          <w:szCs w:val="30"/>
        </w:rPr>
        <w:t>第三篇  项目商务需求</w:t>
      </w:r>
      <w:bookmarkEnd w:id="29"/>
      <w:bookmarkEnd w:id="33"/>
    </w:p>
    <w:p>
      <w:pPr>
        <w:snapToGrid w:val="0"/>
        <w:spacing w:line="360" w:lineRule="auto"/>
        <w:ind w:firstLine="422" w:firstLineChars="200"/>
        <w:rPr>
          <w:rFonts w:ascii="宋体" w:hAnsi="宋体"/>
          <w:b/>
          <w:sz w:val="24"/>
          <w:szCs w:val="24"/>
        </w:rPr>
      </w:pPr>
      <w:bookmarkStart w:id="34" w:name="_Toc267320049"/>
      <w:r>
        <w:rPr>
          <w:rFonts w:hint="eastAsia" w:ascii="宋体" w:hAnsi="宋体"/>
          <w:b/>
          <w:sz w:val="21"/>
          <w:szCs w:val="21"/>
        </w:rPr>
        <w:t>“※”标注的要求为符合性审查中的实质性要求，投标文件若不满足按无效投标处理。</w:t>
      </w:r>
    </w:p>
    <w:bookmarkEnd w:id="34"/>
    <w:p>
      <w:pPr>
        <w:pStyle w:val="6"/>
        <w:spacing w:before="0" w:after="0" w:line="360" w:lineRule="auto"/>
        <w:ind w:firstLine="482" w:firstLineChars="200"/>
        <w:rPr>
          <w:rFonts w:ascii="宋体" w:hAnsi="宋体"/>
          <w:sz w:val="24"/>
          <w:szCs w:val="24"/>
        </w:rPr>
      </w:pPr>
      <w:bookmarkStart w:id="35" w:name="_Toc51854596"/>
      <w:bookmarkStart w:id="36" w:name="_Toc164842612"/>
      <w:bookmarkStart w:id="37" w:name="_Toc14860569"/>
      <w:bookmarkStart w:id="38" w:name="_Toc83905718"/>
      <w:bookmarkStart w:id="39" w:name="_Toc484611845"/>
      <w:r>
        <w:rPr>
          <w:rFonts w:hint="eastAsia" w:ascii="宋体" w:hAnsi="宋体"/>
          <w:sz w:val="24"/>
          <w:szCs w:val="24"/>
        </w:rPr>
        <w:t>一、服务期限、地点及验收方式</w:t>
      </w:r>
      <w:bookmarkEnd w:id="35"/>
      <w:bookmarkEnd w:id="36"/>
      <w:bookmarkEnd w:id="37"/>
      <w:bookmarkEnd w:id="38"/>
      <w:bookmarkEnd w:id="39"/>
    </w:p>
    <w:p>
      <w:pPr>
        <w:snapToGrid w:val="0"/>
        <w:spacing w:line="360" w:lineRule="auto"/>
        <w:ind w:firstLine="482" w:firstLineChars="200"/>
        <w:rPr>
          <w:b/>
          <w:bCs/>
          <w:sz w:val="24"/>
          <w:szCs w:val="24"/>
        </w:rPr>
      </w:pPr>
      <w:bookmarkStart w:id="40" w:name="_Toc344475121"/>
      <w:r>
        <w:rPr>
          <w:rFonts w:hint="eastAsia" w:ascii="宋体" w:hAnsi="宋体" w:cs="宋体"/>
          <w:b/>
          <w:bCs/>
          <w:sz w:val="24"/>
          <w:szCs w:val="24"/>
        </w:rPr>
        <w:t>※</w:t>
      </w:r>
      <w:r>
        <w:rPr>
          <w:rFonts w:hint="eastAsia"/>
          <w:b/>
          <w:bCs/>
          <w:sz w:val="24"/>
          <w:szCs w:val="24"/>
        </w:rPr>
        <w:t>（一）服务期限：</w:t>
      </w:r>
    </w:p>
    <w:p>
      <w:pPr>
        <w:snapToGrid w:val="0"/>
        <w:spacing w:line="360" w:lineRule="auto"/>
        <w:ind w:firstLine="480" w:firstLineChars="200"/>
        <w:rPr>
          <w:rFonts w:ascii="宋体" w:hAnsi="宋体"/>
          <w:sz w:val="24"/>
          <w:szCs w:val="24"/>
        </w:rPr>
      </w:pPr>
      <w:r>
        <w:rPr>
          <w:rFonts w:hint="eastAsia" w:ascii="宋体" w:hAnsi="宋体"/>
          <w:sz w:val="24"/>
          <w:szCs w:val="24"/>
        </w:rPr>
        <w:t>合同签订之日起1年。</w:t>
      </w:r>
    </w:p>
    <w:p>
      <w:pPr>
        <w:snapToGrid w:val="0"/>
        <w:spacing w:line="360" w:lineRule="auto"/>
        <w:ind w:firstLine="482" w:firstLineChars="200"/>
        <w:rPr>
          <w:b/>
          <w:bCs/>
          <w:sz w:val="24"/>
          <w:szCs w:val="24"/>
        </w:rPr>
      </w:pPr>
      <w:r>
        <w:rPr>
          <w:rFonts w:hint="eastAsia"/>
          <w:b/>
          <w:bCs/>
          <w:sz w:val="24"/>
          <w:szCs w:val="24"/>
        </w:rPr>
        <w:t>（二）地点：</w:t>
      </w:r>
    </w:p>
    <w:p>
      <w:pPr>
        <w:snapToGrid w:val="0"/>
        <w:spacing w:line="360" w:lineRule="auto"/>
        <w:ind w:firstLine="480" w:firstLineChars="200"/>
        <w:rPr>
          <w:rFonts w:ascii="宋体" w:hAnsi="宋体"/>
          <w:sz w:val="24"/>
          <w:szCs w:val="24"/>
        </w:rPr>
      </w:pPr>
      <w:r>
        <w:rPr>
          <w:rFonts w:hint="eastAsia" w:ascii="宋体" w:hAnsi="宋体"/>
          <w:sz w:val="24"/>
          <w:szCs w:val="24"/>
        </w:rPr>
        <w:t>重庆市人民政府口岸和物流办公室同意或指定地点。</w:t>
      </w:r>
    </w:p>
    <w:p>
      <w:pPr>
        <w:snapToGrid w:val="0"/>
        <w:spacing w:line="360" w:lineRule="auto"/>
        <w:ind w:firstLine="482" w:firstLineChars="200"/>
        <w:rPr>
          <w:b/>
          <w:bCs/>
          <w:sz w:val="24"/>
          <w:szCs w:val="24"/>
        </w:rPr>
      </w:pPr>
      <w:r>
        <w:rPr>
          <w:rFonts w:hint="eastAsia"/>
          <w:b/>
          <w:bCs/>
          <w:sz w:val="24"/>
          <w:szCs w:val="24"/>
        </w:rPr>
        <w:t>（三）验收方式：</w:t>
      </w:r>
    </w:p>
    <w:p>
      <w:pPr>
        <w:snapToGrid w:val="0"/>
        <w:spacing w:line="360" w:lineRule="auto"/>
        <w:ind w:firstLine="480" w:firstLineChars="200"/>
        <w:rPr>
          <w:rFonts w:ascii="宋体" w:hAnsi="宋体"/>
          <w:sz w:val="24"/>
          <w:szCs w:val="24"/>
        </w:rPr>
      </w:pPr>
      <w:bookmarkStart w:id="41" w:name="_Toc83905719"/>
      <w:bookmarkStart w:id="42" w:name="_Toc484611846"/>
      <w:bookmarkStart w:id="43" w:name="_Toc51854597"/>
      <w:bookmarkStart w:id="44" w:name="_Toc14860570"/>
      <w:r>
        <w:rPr>
          <w:rFonts w:hint="eastAsia" w:ascii="宋体" w:hAnsi="宋体"/>
          <w:sz w:val="24"/>
          <w:szCs w:val="24"/>
        </w:rPr>
        <w:t>1.验收单位：重庆市人民政府口岸和物流办公室。</w:t>
      </w:r>
    </w:p>
    <w:p>
      <w:pPr>
        <w:snapToGrid w:val="0"/>
        <w:spacing w:line="360" w:lineRule="auto"/>
        <w:ind w:firstLine="480" w:firstLineChars="200"/>
        <w:rPr>
          <w:rFonts w:ascii="宋体" w:hAnsi="宋体"/>
          <w:sz w:val="24"/>
          <w:szCs w:val="24"/>
        </w:rPr>
      </w:pPr>
      <w:r>
        <w:rPr>
          <w:rFonts w:hint="eastAsia" w:ascii="宋体" w:hAnsi="宋体"/>
          <w:sz w:val="24"/>
          <w:szCs w:val="24"/>
        </w:rPr>
        <w:t>2.验收标准：合同执行完毕后，采购人在7个工作日内对成交供应商的完成情况按照国家及行业相关标准、竞争性比选文件规定对合同标的物进行验收，如验收达不到相关规定要求，视为该项目验收不合格，采购人有权立即终止合同。由此对采购人造成一定的损失，成交供应商应承担一切责任，并赔偿所造成的损失。</w:t>
      </w:r>
    </w:p>
    <w:p>
      <w:pPr>
        <w:pStyle w:val="6"/>
        <w:spacing w:before="0" w:after="0" w:line="360" w:lineRule="auto"/>
        <w:ind w:firstLine="482" w:firstLineChars="200"/>
        <w:rPr>
          <w:sz w:val="24"/>
          <w:szCs w:val="24"/>
        </w:rPr>
      </w:pPr>
      <w:bookmarkStart w:id="45" w:name="_Toc164842613"/>
      <w:r>
        <w:rPr>
          <w:rFonts w:hint="eastAsia"/>
          <w:sz w:val="24"/>
          <w:szCs w:val="24"/>
        </w:rPr>
        <w:t>二、</w:t>
      </w:r>
      <w:bookmarkEnd w:id="40"/>
      <w:r>
        <w:rPr>
          <w:rFonts w:hint="eastAsia"/>
          <w:sz w:val="24"/>
          <w:szCs w:val="24"/>
        </w:rPr>
        <w:t>报价要求</w:t>
      </w:r>
      <w:bookmarkEnd w:id="41"/>
      <w:bookmarkEnd w:id="42"/>
      <w:bookmarkEnd w:id="43"/>
      <w:bookmarkEnd w:id="44"/>
      <w:bookmarkEnd w:id="45"/>
    </w:p>
    <w:p>
      <w:pPr>
        <w:snapToGrid w:val="0"/>
        <w:spacing w:line="360" w:lineRule="auto"/>
        <w:ind w:firstLine="480" w:firstLineChars="200"/>
        <w:rPr>
          <w:sz w:val="24"/>
          <w:szCs w:val="24"/>
        </w:rPr>
      </w:pPr>
      <w:r>
        <w:rPr>
          <w:rFonts w:hint="eastAsia"/>
          <w:sz w:val="24"/>
          <w:szCs w:val="24"/>
        </w:rPr>
        <w:t>投标报价包括完成本项目所需的包括（但不限于）劳务费、服务费、咨询费、利润、税金及其它与本项目相关的一切费用。因成交供应商自身原因造成漏报、少报皆由其自行承担责任，采购人不再补偿。</w:t>
      </w:r>
    </w:p>
    <w:p>
      <w:pPr>
        <w:pStyle w:val="6"/>
        <w:spacing w:before="0" w:after="0" w:line="360" w:lineRule="auto"/>
        <w:ind w:firstLine="482" w:firstLineChars="200"/>
        <w:rPr>
          <w:sz w:val="24"/>
          <w:szCs w:val="24"/>
        </w:rPr>
      </w:pPr>
      <w:bookmarkStart w:id="46" w:name="_Toc83905720"/>
      <w:bookmarkStart w:id="47" w:name="_Toc344475122"/>
      <w:bookmarkStart w:id="48" w:name="_Toc484611849"/>
      <w:bookmarkStart w:id="49" w:name="_Toc51854598"/>
      <w:bookmarkStart w:id="50" w:name="_Toc164842614"/>
      <w:bookmarkStart w:id="51" w:name="_Toc14860571"/>
      <w:r>
        <w:rPr>
          <w:rFonts w:hint="eastAsia"/>
          <w:sz w:val="24"/>
          <w:szCs w:val="24"/>
        </w:rPr>
        <w:t>三、付款方式</w:t>
      </w:r>
      <w:bookmarkEnd w:id="46"/>
      <w:bookmarkEnd w:id="47"/>
      <w:bookmarkEnd w:id="48"/>
      <w:bookmarkEnd w:id="49"/>
      <w:bookmarkEnd w:id="50"/>
      <w:bookmarkEnd w:id="51"/>
    </w:p>
    <w:p>
      <w:pPr>
        <w:snapToGrid w:val="0"/>
        <w:spacing w:line="360" w:lineRule="auto"/>
        <w:ind w:firstLine="480" w:firstLineChars="200"/>
        <w:rPr>
          <w:sz w:val="24"/>
          <w:szCs w:val="24"/>
        </w:rPr>
      </w:pPr>
      <w:bookmarkStart w:id="52" w:name="_Toc344475123"/>
      <w:r>
        <w:rPr>
          <w:rFonts w:hint="eastAsia"/>
          <w:sz w:val="24"/>
          <w:szCs w:val="24"/>
        </w:rPr>
        <w:t>（一）成交供应商与采购人签订合同后，成交供应商向采购人开具合同金额80%的发票，采购人以转账方式向成交供应商支付合同金额的80%；</w:t>
      </w:r>
    </w:p>
    <w:p>
      <w:pPr>
        <w:snapToGrid w:val="0"/>
        <w:spacing w:line="360" w:lineRule="auto"/>
        <w:ind w:firstLine="480" w:firstLineChars="200"/>
        <w:rPr>
          <w:sz w:val="24"/>
          <w:szCs w:val="24"/>
        </w:rPr>
      </w:pPr>
      <w:r>
        <w:rPr>
          <w:rFonts w:hint="eastAsia"/>
          <w:sz w:val="24"/>
          <w:szCs w:val="24"/>
        </w:rPr>
        <w:t>（二）成交供应商完成所有工作内容，经验收合格后采购人出具项目验收报告，成交供应商开具合同金额20%的发票，提交采购合同、验收报告、资金支付申请表等材料，向采购人申请支付尾款；</w:t>
      </w:r>
    </w:p>
    <w:p>
      <w:pPr>
        <w:snapToGrid w:val="0"/>
        <w:spacing w:line="360" w:lineRule="auto"/>
        <w:ind w:firstLine="480" w:firstLineChars="200"/>
        <w:rPr>
          <w:sz w:val="24"/>
          <w:szCs w:val="24"/>
        </w:rPr>
      </w:pPr>
      <w:r>
        <w:rPr>
          <w:rFonts w:hint="eastAsia"/>
          <w:sz w:val="24"/>
          <w:szCs w:val="24"/>
        </w:rPr>
        <w:t>（三）采购人对成交供应商提交的付款资料审核通过后，以转账方式向成交供应商支付合同金额的20%。</w:t>
      </w:r>
    </w:p>
    <w:p>
      <w:pPr>
        <w:pStyle w:val="6"/>
        <w:spacing w:before="0" w:after="0" w:line="360" w:lineRule="auto"/>
        <w:ind w:firstLine="482" w:firstLineChars="200"/>
        <w:rPr>
          <w:sz w:val="24"/>
          <w:szCs w:val="24"/>
        </w:rPr>
      </w:pPr>
      <w:bookmarkStart w:id="53" w:name="_Toc14860572"/>
      <w:bookmarkStart w:id="54" w:name="_Toc83905721"/>
      <w:bookmarkStart w:id="55" w:name="_Toc51854600"/>
      <w:bookmarkStart w:id="56" w:name="_Toc164842615"/>
      <w:bookmarkStart w:id="57" w:name="_Toc484611850"/>
      <w:r>
        <w:rPr>
          <w:rFonts w:hint="eastAsia"/>
          <w:sz w:val="24"/>
          <w:szCs w:val="24"/>
        </w:rPr>
        <w:t>四、知识产权</w:t>
      </w:r>
      <w:bookmarkEnd w:id="52"/>
      <w:bookmarkEnd w:id="53"/>
      <w:bookmarkEnd w:id="54"/>
      <w:bookmarkEnd w:id="55"/>
      <w:bookmarkEnd w:id="56"/>
      <w:bookmarkEnd w:id="57"/>
    </w:p>
    <w:p>
      <w:pPr>
        <w:snapToGrid w:val="0"/>
        <w:spacing w:line="360" w:lineRule="auto"/>
        <w:ind w:firstLine="480" w:firstLineChars="200"/>
        <w:rPr>
          <w:sz w:val="24"/>
          <w:szCs w:val="24"/>
        </w:rPr>
      </w:pPr>
      <w:r>
        <w:rPr>
          <w:rFonts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6"/>
        <w:spacing w:before="0" w:after="0" w:line="360" w:lineRule="auto"/>
        <w:ind w:firstLine="482" w:firstLineChars="200"/>
        <w:rPr>
          <w:rFonts w:ascii="宋体" w:hAnsi="宋体"/>
          <w:sz w:val="24"/>
          <w:szCs w:val="24"/>
        </w:rPr>
      </w:pPr>
      <w:bookmarkStart w:id="58" w:name="_Toc164842616"/>
      <w:r>
        <w:rPr>
          <w:rFonts w:hint="eastAsia" w:ascii="宋体" w:hAnsi="宋体"/>
          <w:sz w:val="24"/>
          <w:szCs w:val="24"/>
        </w:rPr>
        <w:t>※五、保密要求</w:t>
      </w:r>
      <w:bookmarkEnd w:id="58"/>
    </w:p>
    <w:p>
      <w:pPr>
        <w:snapToGrid w:val="0"/>
        <w:spacing w:line="360" w:lineRule="auto"/>
        <w:ind w:firstLine="480" w:firstLineChars="200"/>
        <w:rPr>
          <w:rFonts w:ascii="宋体" w:hAnsi="宋体"/>
          <w:sz w:val="24"/>
          <w:szCs w:val="24"/>
        </w:rPr>
      </w:pPr>
      <w:r>
        <w:rPr>
          <w:rFonts w:hint="eastAsia" w:ascii="宋体" w:hAnsi="宋体"/>
          <w:sz w:val="24"/>
          <w:szCs w:val="24"/>
        </w:rPr>
        <w:t>成交供应商在本项目执行过程中应对所获悉的所资料进行保密，未经采购人允许不得随意公布、不得转交给第三方。成交供应商若有违反按保密规定的，采购人有权终止合同；情节严重的，采购人还将权追究其相关法律责任。</w:t>
      </w:r>
    </w:p>
    <w:p>
      <w:pPr>
        <w:pStyle w:val="6"/>
        <w:spacing w:before="0" w:after="0" w:line="360" w:lineRule="auto"/>
        <w:ind w:firstLine="482" w:firstLineChars="200"/>
        <w:rPr>
          <w:sz w:val="24"/>
          <w:szCs w:val="24"/>
        </w:rPr>
      </w:pPr>
      <w:bookmarkStart w:id="59" w:name="_Toc51854601"/>
      <w:bookmarkStart w:id="60" w:name="_Toc164842617"/>
      <w:bookmarkStart w:id="61" w:name="_Toc14860573"/>
      <w:bookmarkStart w:id="62" w:name="_Toc83905722"/>
      <w:bookmarkStart w:id="63" w:name="_Toc484611852"/>
      <w:bookmarkStart w:id="64" w:name="_Toc344475125"/>
      <w:r>
        <w:rPr>
          <w:rFonts w:hint="eastAsia"/>
          <w:sz w:val="24"/>
          <w:szCs w:val="24"/>
        </w:rPr>
        <w:t>七、其他</w:t>
      </w:r>
      <w:bookmarkEnd w:id="59"/>
      <w:bookmarkEnd w:id="60"/>
      <w:bookmarkEnd w:id="61"/>
      <w:bookmarkEnd w:id="62"/>
      <w:bookmarkEnd w:id="63"/>
    </w:p>
    <w:bookmarkEnd w:id="64"/>
    <w:p>
      <w:pPr>
        <w:snapToGrid w:val="0"/>
        <w:spacing w:line="360" w:lineRule="auto"/>
        <w:ind w:firstLine="480" w:firstLineChars="200"/>
        <w:rPr>
          <w:sz w:val="24"/>
          <w:szCs w:val="24"/>
        </w:rPr>
      </w:pPr>
      <w:r>
        <w:rPr>
          <w:rFonts w:hint="eastAsia"/>
          <w:sz w:val="24"/>
          <w:szCs w:val="24"/>
        </w:rPr>
        <w:t>（一）供应商必须在响应文件中对以上条款和服务承诺明确列出，承诺内容必须达到本篇及竞争性比选文件其他条款的要求。</w:t>
      </w:r>
    </w:p>
    <w:p>
      <w:pPr>
        <w:snapToGrid w:val="0"/>
        <w:spacing w:line="360" w:lineRule="auto"/>
        <w:ind w:firstLine="480" w:firstLineChars="200"/>
        <w:rPr>
          <w:sz w:val="24"/>
          <w:szCs w:val="24"/>
        </w:rPr>
      </w:pPr>
      <w:r>
        <w:rPr>
          <w:rFonts w:hint="eastAsia"/>
          <w:sz w:val="24"/>
          <w:szCs w:val="24"/>
        </w:rPr>
        <w:t>（二）其他未尽事宜由供需双方在采购合同中详细约定。</w:t>
      </w:r>
    </w:p>
    <w:p>
      <w:pPr>
        <w:pStyle w:val="5"/>
        <w:pageBreakBefore/>
        <w:spacing w:line="360" w:lineRule="auto"/>
        <w:jc w:val="center"/>
        <w:rPr>
          <w:rFonts w:ascii="宋体" w:hAnsi="宋体" w:eastAsia="宋体"/>
          <w:sz w:val="36"/>
          <w:szCs w:val="30"/>
        </w:rPr>
      </w:pPr>
      <w:bookmarkStart w:id="65" w:name="_Toc164842618"/>
      <w:r>
        <w:rPr>
          <w:rFonts w:hint="eastAsia" w:ascii="宋体" w:hAnsi="宋体" w:eastAsia="宋体"/>
          <w:sz w:val="36"/>
          <w:szCs w:val="30"/>
        </w:rPr>
        <w:t>第四篇  比选程序及方法、评审标准、无效响应和采购终止</w:t>
      </w:r>
      <w:bookmarkEnd w:id="65"/>
    </w:p>
    <w:p>
      <w:pPr>
        <w:pStyle w:val="6"/>
        <w:snapToGrid w:val="0"/>
        <w:spacing w:before="0" w:after="0" w:line="360" w:lineRule="auto"/>
        <w:ind w:firstLine="482" w:firstLineChars="200"/>
        <w:rPr>
          <w:rFonts w:ascii="宋体" w:hAnsi="宋体"/>
          <w:color w:val="000000"/>
          <w:sz w:val="24"/>
          <w:szCs w:val="24"/>
        </w:rPr>
      </w:pPr>
      <w:bookmarkStart w:id="66" w:name="_Toc129767670"/>
      <w:bookmarkStart w:id="67" w:name="_Toc164842619"/>
      <w:r>
        <w:rPr>
          <w:rFonts w:hint="eastAsia" w:ascii="宋体" w:hAnsi="宋体"/>
          <w:color w:val="000000"/>
          <w:sz w:val="24"/>
          <w:szCs w:val="24"/>
        </w:rPr>
        <w:t>一、比选程序及方法</w:t>
      </w:r>
      <w:bookmarkEnd w:id="66"/>
      <w:bookmarkEnd w:id="67"/>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（一）比选按竞争性比选文件规定的时间和地点进行，由本项目依法组建的评审委员会按比选文件内容进行。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（二）评审委员会对各供应商的资格条件、响应文件的有效性、完整性和响应程度进行审查。各供应商只有在完全符合要求的前提下，才能参与正式比选。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宋体" w:hAnsi="宋体" w:cs="宋体"/>
          <w:color w:val="000000"/>
          <w:kern w:val="0"/>
          <w:sz w:val="24"/>
          <w:szCs w:val="24"/>
        </w:rPr>
      </w:pPr>
      <w:r>
        <w:rPr>
          <w:rFonts w:hint="eastAsia" w:ascii="宋体" w:hAnsi="宋体"/>
          <w:color w:val="000000"/>
          <w:sz w:val="24"/>
          <w:szCs w:val="24"/>
        </w:rPr>
        <w:t>1.</w:t>
      </w:r>
      <w:r>
        <w:rPr>
          <w:rFonts w:hint="eastAsia" w:ascii="宋体" w:hAnsi="宋体" w:cs="宋体"/>
          <w:color w:val="000000"/>
          <w:kern w:val="0"/>
          <w:sz w:val="24"/>
          <w:szCs w:val="24"/>
        </w:rPr>
        <w:t>资格性检查。依据法律法规和竞争性比选文件的规定，对响应文件中的资格证明、比选保证金等进行审查，以确定供应商是否具备比选资格。资格性检查资料表如下：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326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17"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4111" w:type="dxa"/>
            <w:gridSpan w:val="2"/>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检查因素</w:t>
            </w:r>
          </w:p>
        </w:tc>
        <w:tc>
          <w:tcPr>
            <w:tcW w:w="4740"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817" w:type="dxa"/>
            <w:vMerge w:val="restart"/>
            <w:vAlign w:val="center"/>
          </w:tcPr>
          <w:p>
            <w:pPr>
              <w:snapToGrid w:val="0"/>
              <w:jc w:val="center"/>
              <w:rPr>
                <w:rFonts w:ascii="宋体" w:hAnsi="宋体"/>
                <w:color w:val="000000"/>
                <w:sz w:val="21"/>
                <w:szCs w:val="21"/>
              </w:rPr>
            </w:pPr>
            <w:r>
              <w:rPr>
                <w:rFonts w:hint="eastAsia" w:ascii="宋体" w:hAnsi="宋体"/>
                <w:color w:val="000000"/>
                <w:sz w:val="21"/>
                <w:szCs w:val="21"/>
              </w:rPr>
              <w:t>（一）</w:t>
            </w:r>
          </w:p>
        </w:tc>
        <w:tc>
          <w:tcPr>
            <w:tcW w:w="851" w:type="dxa"/>
            <w:vMerge w:val="restart"/>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《中华人民共和国政府采购法》第二十二条规定</w:t>
            </w:r>
          </w:p>
        </w:tc>
        <w:tc>
          <w:tcPr>
            <w:tcW w:w="3260" w:type="dxa"/>
            <w:vAlign w:val="center"/>
          </w:tcPr>
          <w:p>
            <w:pPr>
              <w:snapToGrid w:val="0"/>
              <w:rPr>
                <w:rFonts w:ascii="宋体" w:hAnsi="宋体"/>
                <w:color w:val="000000"/>
                <w:sz w:val="21"/>
                <w:szCs w:val="21"/>
              </w:rPr>
            </w:pPr>
            <w:r>
              <w:rPr>
                <w:rFonts w:hint="eastAsia" w:ascii="宋体" w:hAnsi="宋体"/>
                <w:color w:val="000000"/>
                <w:sz w:val="21"/>
                <w:szCs w:val="21"/>
              </w:rPr>
              <w:t>1.具有独立承担民事责任的能力</w:t>
            </w:r>
          </w:p>
        </w:tc>
        <w:tc>
          <w:tcPr>
            <w:tcW w:w="4740" w:type="dxa"/>
            <w:vAlign w:val="center"/>
          </w:tcPr>
          <w:p>
            <w:pPr>
              <w:snapToGrid w:val="0"/>
              <w:rPr>
                <w:rFonts w:ascii="宋体" w:hAnsi="宋体"/>
                <w:color w:val="000000"/>
                <w:sz w:val="21"/>
                <w:szCs w:val="21"/>
              </w:rPr>
            </w:pPr>
            <w:r>
              <w:rPr>
                <w:rFonts w:hint="eastAsia" w:ascii="宋体" w:hAnsi="宋体"/>
                <w:color w:val="000000"/>
                <w:sz w:val="21"/>
                <w:szCs w:val="21"/>
              </w:rPr>
              <w:t>供应商法人营业执照（副本）或社会团体法人登记证书（副本）或民办非企业单位法人登记证书（副本）或事业单位法人证书（副本）或个体工商户营业执照或有效的自然人身份证明（提供复印件）；</w:t>
            </w:r>
          </w:p>
          <w:p>
            <w:pPr>
              <w:snapToGrid w:val="0"/>
              <w:rPr>
                <w:rFonts w:ascii="宋体" w:hAnsi="宋体"/>
                <w:color w:val="000000"/>
                <w:sz w:val="21"/>
                <w:szCs w:val="21"/>
              </w:rPr>
            </w:pPr>
            <w:r>
              <w:rPr>
                <w:rFonts w:hint="eastAsia" w:ascii="宋体" w:hAnsi="宋体"/>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olor w:val="000000"/>
                <w:sz w:val="21"/>
                <w:szCs w:val="21"/>
              </w:rPr>
            </w:pPr>
            <w:r>
              <w:rPr>
                <w:rFonts w:hint="eastAsia" w:ascii="宋体" w:hAnsi="宋体" w:cs="仿宋_GB2312"/>
                <w:color w:val="000000"/>
                <w:sz w:val="21"/>
                <w:szCs w:val="21"/>
                <w:lang w:val="zh-CN"/>
              </w:rPr>
              <w:t>2.</w:t>
            </w:r>
            <w:r>
              <w:rPr>
                <w:rFonts w:hint="eastAsia" w:ascii="宋体" w:hAnsi="宋体"/>
                <w:color w:val="000000"/>
                <w:sz w:val="21"/>
                <w:szCs w:val="21"/>
              </w:rPr>
              <w:t>具有良好的商业信誉和健全的财务会计制度</w:t>
            </w:r>
          </w:p>
        </w:tc>
        <w:tc>
          <w:tcPr>
            <w:tcW w:w="4740" w:type="dxa"/>
            <w:vMerge w:val="restart"/>
            <w:vAlign w:val="center"/>
          </w:tcPr>
          <w:p>
            <w:pPr>
              <w:snapToGrid w:val="0"/>
              <w:rPr>
                <w:rFonts w:ascii="宋体" w:hAnsi="宋体"/>
                <w:color w:val="000000"/>
                <w:sz w:val="21"/>
                <w:szCs w:val="21"/>
              </w:rPr>
            </w:pPr>
            <w:r>
              <w:rPr>
                <w:rFonts w:hint="eastAsia" w:ascii="宋体" w:hAnsi="宋体"/>
                <w:color w:val="000000"/>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3.具有履行合同所必需的设备和专业技术能力</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4.有依法缴纳税收的良好记录</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olor w:val="000000"/>
                <w:sz w:val="21"/>
                <w:szCs w:val="21"/>
              </w:rPr>
              <w:t>5.参加政府采购活动前三年内，在经营活动中没有重大违法记录</w:t>
            </w:r>
          </w:p>
        </w:tc>
        <w:tc>
          <w:tcPr>
            <w:tcW w:w="4740" w:type="dxa"/>
            <w:vMerge w:val="continue"/>
            <w:vAlign w:val="center"/>
          </w:tcPr>
          <w:p>
            <w:pPr>
              <w:snapToGrid w:val="0"/>
              <w:rPr>
                <w:rFonts w:ascii="宋体" w:hAnsi="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olor w:val="000000"/>
                <w:sz w:val="21"/>
                <w:szCs w:val="21"/>
              </w:rPr>
            </w:pPr>
            <w:r>
              <w:rPr>
                <w:rFonts w:hint="eastAsia" w:ascii="宋体" w:hAnsi="宋体"/>
                <w:color w:val="000000"/>
                <w:sz w:val="21"/>
                <w:szCs w:val="21"/>
              </w:rPr>
              <w:t>6.法律、行政法规规定的其他条件</w:t>
            </w:r>
          </w:p>
        </w:tc>
        <w:tc>
          <w:tcPr>
            <w:tcW w:w="4740" w:type="dxa"/>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（二）</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本项目特定资格条件</w:t>
            </w:r>
          </w:p>
        </w:tc>
        <w:tc>
          <w:tcPr>
            <w:tcW w:w="4740" w:type="dxa"/>
            <w:vAlign w:val="center"/>
          </w:tcPr>
          <w:p>
            <w:pPr>
              <w:snapToGrid w:val="0"/>
              <w:rPr>
                <w:color w:val="000000"/>
              </w:rPr>
            </w:pPr>
            <w:r>
              <w:rPr>
                <w:rFonts w:hint="eastAsia" w:ascii="宋体" w:hAnsi="宋体"/>
                <w:color w:val="000000"/>
                <w:sz w:val="21"/>
                <w:szCs w:val="21"/>
              </w:rPr>
              <w:t>按第一篇“三、供应商资格要求（二）本项目的特定资格要求”的要求提交（如果有）。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（三）</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落实政府采购政策需满足的资格要求：</w:t>
            </w:r>
          </w:p>
        </w:tc>
        <w:tc>
          <w:tcPr>
            <w:tcW w:w="4740" w:type="dxa"/>
            <w:vAlign w:val="center"/>
          </w:tcPr>
          <w:p>
            <w:pPr>
              <w:snapToGrid w:val="0"/>
              <w:rPr>
                <w:color w:val="000000"/>
              </w:rPr>
            </w:pPr>
            <w:r>
              <w:rPr>
                <w:rFonts w:hint="eastAsia" w:ascii="宋体" w:hAnsi="宋体"/>
                <w:color w:val="000000"/>
                <w:sz w:val="21"/>
                <w:szCs w:val="21"/>
              </w:rPr>
              <w:t>按第一篇“三、供应商资格要求（三）落实政府采购政策需满足的资格要求”的要求提交（如果有）。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（四）</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比选保证金</w:t>
            </w:r>
          </w:p>
        </w:tc>
        <w:tc>
          <w:tcPr>
            <w:tcW w:w="4740" w:type="dxa"/>
            <w:vAlign w:val="center"/>
          </w:tcPr>
          <w:p>
            <w:pPr>
              <w:snapToGrid w:val="0"/>
              <w:rPr>
                <w:rFonts w:ascii="宋体" w:hAnsi="宋体" w:cs="宋体"/>
                <w:color w:val="000000"/>
                <w:sz w:val="21"/>
                <w:szCs w:val="21"/>
              </w:rPr>
            </w:pPr>
            <w:r>
              <w:rPr>
                <w:rFonts w:hint="eastAsia" w:ascii="宋体" w:hAnsi="宋体"/>
                <w:color w:val="000000"/>
                <w:sz w:val="21"/>
                <w:szCs w:val="21"/>
              </w:rPr>
              <w:t>按照采购文件的规定提交比选保证金。</w:t>
            </w:r>
          </w:p>
        </w:tc>
      </w:tr>
    </w:tbl>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注：</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以《财政部关于&lt;中华人民共和国政府采购法实施条例&gt;第十九条第一款“较大数额罚款”具体适用问题的意见》（财库〔2022〕3号）规定为准。</w:t>
      </w:r>
    </w:p>
    <w:p>
      <w:pPr>
        <w:spacing w:line="360" w:lineRule="auto"/>
        <w:ind w:firstLine="480" w:firstLineChars="200"/>
        <w:rPr>
          <w:rFonts w:ascii="宋体" w:hAnsi="宋体"/>
          <w:color w:val="000000"/>
          <w:kern w:val="0"/>
          <w:sz w:val="24"/>
          <w:szCs w:val="24"/>
        </w:rPr>
      </w:pPr>
      <w:r>
        <w:rPr>
          <w:rFonts w:hint="eastAsia" w:ascii="宋体" w:hAnsi="宋体"/>
          <w:color w:val="000000"/>
          <w:sz w:val="24"/>
          <w:szCs w:val="24"/>
        </w:rPr>
        <w:t>2.</w:t>
      </w:r>
      <w:r>
        <w:rPr>
          <w:rFonts w:hint="eastAsia" w:ascii="宋体" w:hAnsi="宋体" w:cs="宋体"/>
          <w:color w:val="000000"/>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宋体" w:hAnsi="宋体"/>
          <w:color w:val="000000"/>
          <w:kern w:val="0"/>
          <w:sz w:val="24"/>
          <w:szCs w:val="24"/>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3569" w:type="dxa"/>
            <w:gridSpan w:val="2"/>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评审因素</w:t>
            </w:r>
          </w:p>
        </w:tc>
        <w:tc>
          <w:tcPr>
            <w:tcW w:w="5220"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573" w:type="dxa"/>
            <w:vMerge w:val="restart"/>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有效性审查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响应文件签署</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响应文件按照竞争性比选文件要求签字或盖章。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s="仿宋_GB2312"/>
                <w:color w:val="000000"/>
                <w:sz w:val="21"/>
                <w:szCs w:val="21"/>
                <w:lang w:val="zh-CN"/>
              </w:rPr>
              <w:t>比选方案</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olor w:val="000000"/>
                <w:sz w:val="21"/>
                <w:szCs w:val="21"/>
              </w:rPr>
              <w:t>报价唯一</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只能在采购预算范围内报价，</w:t>
            </w:r>
            <w:r>
              <w:rPr>
                <w:rFonts w:hint="eastAsia" w:ascii="宋体" w:hAnsi="宋体"/>
                <w:color w:val="000000"/>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573"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完整性审查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响应文件份数</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响应文件正、副本（含电子文档）数量符合竞争性比选文件要求。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573" w:type="dxa"/>
            <w:vMerge w:val="restart"/>
            <w:vAlign w:val="center"/>
          </w:tcPr>
          <w:p>
            <w:pPr>
              <w:spacing w:line="240" w:lineRule="exact"/>
              <w:rPr>
                <w:rFonts w:ascii="宋体" w:hAnsi="宋体" w:cs="仿宋_GB2312"/>
                <w:color w:val="000000"/>
                <w:sz w:val="21"/>
                <w:szCs w:val="21"/>
                <w:lang w:val="zh-CN"/>
              </w:rPr>
            </w:pPr>
            <w:r>
              <w:rPr>
                <w:rFonts w:hint="eastAsia" w:ascii="宋体" w:hAnsi="宋体" w:cs="宋体"/>
                <w:color w:val="000000"/>
                <w:kern w:val="0"/>
                <w:sz w:val="21"/>
                <w:szCs w:val="21"/>
              </w:rPr>
              <w:t>竞争性比选文件的响应程度审查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响应文件内容</w:t>
            </w:r>
          </w:p>
        </w:tc>
        <w:tc>
          <w:tcPr>
            <w:tcW w:w="5220" w:type="dxa"/>
            <w:vAlign w:val="center"/>
          </w:tcPr>
          <w:p>
            <w:pPr>
              <w:pStyle w:val="33"/>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仿宋_GB2312"/>
                <w:color w:val="000000"/>
                <w:sz w:val="21"/>
                <w:szCs w:val="21"/>
                <w:lang w:val="zh-CN"/>
              </w:rPr>
            </w:pP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比选有效期</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满足竞争性比选文件</w:t>
            </w:r>
            <w:r>
              <w:rPr>
                <w:rFonts w:hint="eastAsia" w:ascii="宋体" w:hAnsi="宋体" w:cs="仿宋_GB2312"/>
                <w:color w:val="000000"/>
                <w:sz w:val="21"/>
                <w:szCs w:val="21"/>
                <w:lang w:val="zh-CN"/>
              </w:rPr>
              <w:t>规定。</w:t>
            </w:r>
          </w:p>
        </w:tc>
      </w:tr>
    </w:tbl>
    <w:p>
      <w:pPr>
        <w:spacing w:line="360" w:lineRule="auto"/>
        <w:ind w:firstLine="480" w:firstLineChars="200"/>
        <w:rPr>
          <w:rFonts w:ascii="宋体" w:hAnsi="宋体"/>
          <w:color w:val="000000"/>
          <w:sz w:val="24"/>
          <w:szCs w:val="24"/>
        </w:rPr>
      </w:pPr>
      <w:r>
        <w:rPr>
          <w:rFonts w:hint="eastAsia" w:ascii="宋体" w:hAnsi="宋体"/>
          <w:color w:val="000000"/>
          <w:sz w:val="24"/>
          <w:szCs w:val="24"/>
        </w:rPr>
        <w:t>3.澄清有关问题。评审委员会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评审委员会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5.在比选过程中比选的任何一方不得向他人透露与比选有关的技术资料、价格或其他信息。</w:t>
      </w:r>
    </w:p>
    <w:p>
      <w:pPr>
        <w:spacing w:line="360" w:lineRule="auto"/>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.供应商在比选时作出的所有书面承诺须由法定代表人或其授权代表签字。</w:t>
      </w:r>
    </w:p>
    <w:p>
      <w:pPr>
        <w:spacing w:line="360" w:lineRule="auto"/>
        <w:ind w:firstLine="480" w:firstLineChars="200"/>
        <w:rPr>
          <w:rFonts w:ascii="宋体" w:hAnsi="宋体"/>
          <w:color w:val="000000"/>
          <w:sz w:val="24"/>
          <w:szCs w:val="24"/>
        </w:rPr>
      </w:pPr>
      <w:r>
        <w:rPr>
          <w:rFonts w:ascii="宋体" w:hAnsi="宋体"/>
          <w:color w:val="000000"/>
          <w:sz w:val="24"/>
          <w:szCs w:val="24"/>
        </w:rPr>
        <w:t>7</w:t>
      </w:r>
      <w:r>
        <w:rPr>
          <w:rFonts w:hint="eastAsia" w:ascii="宋体" w:hAnsi="宋体"/>
          <w:color w:val="000000"/>
          <w:sz w:val="24"/>
          <w:szCs w:val="24"/>
        </w:rPr>
        <w:t>.评审委员会采用综合评分法对合格供应商的响应文件和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宋体" w:hAnsi="宋体"/>
          <w:color w:val="000000"/>
          <w:sz w:val="24"/>
          <w:szCs w:val="24"/>
        </w:rPr>
      </w:pPr>
      <w:r>
        <w:rPr>
          <w:rFonts w:ascii="宋体" w:hAnsi="宋体"/>
          <w:color w:val="000000"/>
          <w:sz w:val="24"/>
          <w:szCs w:val="24"/>
        </w:rPr>
        <w:t>8</w:t>
      </w:r>
      <w:r>
        <w:rPr>
          <w:rFonts w:hint="eastAsia" w:ascii="宋体" w:hAnsi="宋体"/>
          <w:color w:val="000000"/>
          <w:sz w:val="24"/>
          <w:szCs w:val="24"/>
        </w:rPr>
        <w:t>.评审委员会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pPr>
        <w:pStyle w:val="6"/>
        <w:spacing w:before="0" w:after="0" w:line="440" w:lineRule="exact"/>
        <w:ind w:firstLine="482" w:firstLineChars="200"/>
        <w:rPr>
          <w:rFonts w:ascii="宋体" w:hAnsi="宋体"/>
          <w:sz w:val="24"/>
          <w:szCs w:val="24"/>
        </w:rPr>
      </w:pPr>
      <w:bookmarkStart w:id="68" w:name="_Toc164842620"/>
      <w:r>
        <w:rPr>
          <w:rFonts w:hint="eastAsia" w:ascii="宋体" w:hAnsi="宋体"/>
          <w:sz w:val="24"/>
          <w:szCs w:val="24"/>
        </w:rPr>
        <w:t>二、</w:t>
      </w:r>
      <w:bookmarkStart w:id="69" w:name="_Toc342913394"/>
      <w:bookmarkStart w:id="70" w:name="_Toc102227320"/>
      <w:r>
        <w:rPr>
          <w:rFonts w:hint="eastAsia" w:ascii="宋体" w:hAnsi="宋体"/>
          <w:sz w:val="24"/>
          <w:szCs w:val="24"/>
        </w:rPr>
        <w:t>评审标准</w:t>
      </w:r>
      <w:bookmarkEnd w:id="68"/>
    </w:p>
    <w:tbl>
      <w:tblPr>
        <w:tblStyle w:val="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3"/>
        <w:gridCol w:w="822"/>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75" w:type="dxa"/>
            <w:vAlign w:val="center"/>
          </w:tcPr>
          <w:p>
            <w:pPr>
              <w:spacing w:line="240" w:lineRule="atLeast"/>
              <w:ind w:firstLine="28"/>
              <w:jc w:val="center"/>
              <w:rPr>
                <w:rFonts w:ascii="宋体" w:hAnsi="宋体"/>
                <w:b/>
                <w:sz w:val="21"/>
                <w:szCs w:val="21"/>
              </w:rPr>
            </w:pPr>
            <w:r>
              <w:rPr>
                <w:rFonts w:ascii="宋体" w:hAnsi="宋体"/>
                <w:b/>
                <w:sz w:val="21"/>
                <w:szCs w:val="21"/>
              </w:rPr>
              <w:t>序号</w:t>
            </w:r>
          </w:p>
        </w:tc>
        <w:tc>
          <w:tcPr>
            <w:tcW w:w="1163" w:type="dxa"/>
            <w:vAlign w:val="center"/>
          </w:tcPr>
          <w:p>
            <w:pPr>
              <w:spacing w:line="240" w:lineRule="atLeast"/>
              <w:ind w:firstLine="28"/>
              <w:jc w:val="center"/>
              <w:rPr>
                <w:rFonts w:ascii="宋体" w:hAnsi="宋体"/>
                <w:b/>
                <w:sz w:val="21"/>
                <w:szCs w:val="21"/>
              </w:rPr>
            </w:pPr>
            <w:r>
              <w:rPr>
                <w:rFonts w:ascii="宋体" w:hAnsi="宋体"/>
                <w:b/>
                <w:sz w:val="21"/>
                <w:szCs w:val="21"/>
              </w:rPr>
              <w:t>评分因素</w:t>
            </w:r>
          </w:p>
          <w:p>
            <w:pPr>
              <w:spacing w:line="240" w:lineRule="atLeast"/>
              <w:ind w:firstLine="28"/>
              <w:jc w:val="center"/>
              <w:rPr>
                <w:rFonts w:ascii="宋体" w:hAnsi="宋体"/>
                <w:b/>
                <w:sz w:val="21"/>
                <w:szCs w:val="21"/>
              </w:rPr>
            </w:pPr>
            <w:r>
              <w:rPr>
                <w:rFonts w:ascii="宋体" w:hAnsi="宋体"/>
                <w:b/>
                <w:sz w:val="21"/>
                <w:szCs w:val="21"/>
              </w:rPr>
              <w:t>及权值</w:t>
            </w:r>
          </w:p>
        </w:tc>
        <w:tc>
          <w:tcPr>
            <w:tcW w:w="822" w:type="dxa"/>
            <w:vAlign w:val="center"/>
          </w:tcPr>
          <w:p>
            <w:pPr>
              <w:spacing w:line="240" w:lineRule="atLeast"/>
              <w:ind w:firstLine="28"/>
              <w:jc w:val="center"/>
              <w:rPr>
                <w:rFonts w:ascii="宋体" w:hAnsi="宋体"/>
                <w:b/>
                <w:sz w:val="21"/>
                <w:szCs w:val="21"/>
              </w:rPr>
            </w:pPr>
            <w:r>
              <w:rPr>
                <w:rFonts w:ascii="宋体" w:hAnsi="宋体"/>
                <w:b/>
                <w:sz w:val="21"/>
                <w:szCs w:val="21"/>
              </w:rPr>
              <w:t>分值</w:t>
            </w:r>
          </w:p>
        </w:tc>
        <w:tc>
          <w:tcPr>
            <w:tcW w:w="5103" w:type="dxa"/>
            <w:vAlign w:val="center"/>
          </w:tcPr>
          <w:p>
            <w:pPr>
              <w:spacing w:line="240" w:lineRule="atLeast"/>
              <w:ind w:firstLine="28"/>
              <w:jc w:val="center"/>
              <w:rPr>
                <w:rFonts w:ascii="宋体" w:hAnsi="宋体"/>
                <w:b/>
                <w:sz w:val="21"/>
                <w:szCs w:val="21"/>
              </w:rPr>
            </w:pPr>
            <w:r>
              <w:rPr>
                <w:rFonts w:ascii="宋体" w:hAnsi="宋体"/>
                <w:b/>
                <w:sz w:val="21"/>
                <w:szCs w:val="21"/>
              </w:rPr>
              <w:t>评分标准</w:t>
            </w:r>
          </w:p>
        </w:tc>
        <w:tc>
          <w:tcPr>
            <w:tcW w:w="1984" w:type="dxa"/>
            <w:vAlign w:val="center"/>
          </w:tcPr>
          <w:p>
            <w:pPr>
              <w:pStyle w:val="249"/>
              <w:spacing w:before="0" w:after="0" w:line="240" w:lineRule="atLeast"/>
              <w:ind w:firstLine="437"/>
              <w:rPr>
                <w:rFonts w:ascii="宋体" w:hAnsi="宋体" w:eastAsia="宋体"/>
                <w:sz w:val="21"/>
                <w:szCs w:val="21"/>
              </w:rPr>
            </w:pPr>
            <w:r>
              <w:rPr>
                <w:rFonts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75" w:type="dxa"/>
            <w:vAlign w:val="center"/>
          </w:tcPr>
          <w:p>
            <w:pPr>
              <w:spacing w:line="240" w:lineRule="atLeast"/>
              <w:ind w:firstLine="28"/>
              <w:jc w:val="center"/>
              <w:rPr>
                <w:rFonts w:ascii="宋体" w:hAnsi="宋体"/>
                <w:sz w:val="21"/>
                <w:szCs w:val="21"/>
              </w:rPr>
            </w:pPr>
            <w:r>
              <w:rPr>
                <w:rFonts w:ascii="宋体" w:hAnsi="宋体"/>
                <w:sz w:val="21"/>
                <w:szCs w:val="21"/>
              </w:rPr>
              <w:t>1</w:t>
            </w:r>
          </w:p>
        </w:tc>
        <w:tc>
          <w:tcPr>
            <w:tcW w:w="1163" w:type="dxa"/>
            <w:vAlign w:val="center"/>
          </w:tcPr>
          <w:p>
            <w:pPr>
              <w:jc w:val="center"/>
              <w:rPr>
                <w:rFonts w:ascii="宋体" w:hAnsi="宋体"/>
                <w:sz w:val="21"/>
                <w:szCs w:val="21"/>
              </w:rPr>
            </w:pPr>
            <w:r>
              <w:rPr>
                <w:rFonts w:hint="eastAsia" w:ascii="宋体" w:hAnsi="宋体"/>
                <w:sz w:val="21"/>
                <w:szCs w:val="21"/>
              </w:rPr>
              <w:t>比选报价</w:t>
            </w:r>
          </w:p>
          <w:p>
            <w:pPr>
              <w:spacing w:line="240" w:lineRule="atLeast"/>
              <w:ind w:firstLine="28"/>
              <w:jc w:val="center"/>
              <w:rPr>
                <w:rFonts w:ascii="宋体" w:hAnsi="宋体"/>
                <w:sz w:val="21"/>
                <w:szCs w:val="21"/>
              </w:rPr>
            </w:pPr>
            <w:r>
              <w:rPr>
                <w:rFonts w:hint="eastAsia" w:ascii="宋体" w:hAnsi="宋体"/>
                <w:sz w:val="21"/>
                <w:szCs w:val="21"/>
              </w:rPr>
              <w:t>（30%）</w:t>
            </w:r>
          </w:p>
        </w:tc>
        <w:tc>
          <w:tcPr>
            <w:tcW w:w="822" w:type="dxa"/>
            <w:vAlign w:val="center"/>
          </w:tcPr>
          <w:p>
            <w:pPr>
              <w:spacing w:line="240" w:lineRule="atLeast"/>
              <w:ind w:firstLine="28"/>
              <w:jc w:val="center"/>
              <w:rPr>
                <w:rFonts w:ascii="宋体" w:hAnsi="宋体"/>
                <w:sz w:val="21"/>
                <w:szCs w:val="21"/>
              </w:rPr>
            </w:pPr>
            <w:r>
              <w:rPr>
                <w:rFonts w:hint="eastAsia" w:ascii="宋体" w:hAnsi="宋体"/>
                <w:sz w:val="21"/>
                <w:szCs w:val="21"/>
              </w:rPr>
              <w:t>30分</w:t>
            </w:r>
          </w:p>
        </w:tc>
        <w:tc>
          <w:tcPr>
            <w:tcW w:w="5103" w:type="dxa"/>
            <w:vAlign w:val="center"/>
          </w:tcPr>
          <w:p>
            <w:pPr>
              <w:spacing w:line="240" w:lineRule="atLeast"/>
              <w:rPr>
                <w:rFonts w:ascii="宋体" w:hAnsi="宋体"/>
                <w:sz w:val="21"/>
                <w:szCs w:val="21"/>
              </w:rPr>
            </w:pPr>
            <w:r>
              <w:rPr>
                <w:rFonts w:hint="eastAsia" w:ascii="宋体" w:hAnsi="宋体"/>
                <w:sz w:val="21"/>
                <w:szCs w:val="21"/>
              </w:rPr>
              <w:t>满足比选文件要求且报价最低的供应商的价格为比选基准价，其价格分为满分。按照下列公式计算每个供应商的比选报价得分。</w:t>
            </w:r>
          </w:p>
          <w:p>
            <w:pPr>
              <w:spacing w:line="240" w:lineRule="atLeast"/>
              <w:rPr>
                <w:rFonts w:ascii="宋体" w:hAnsi="宋体"/>
                <w:sz w:val="21"/>
                <w:szCs w:val="21"/>
              </w:rPr>
            </w:pPr>
            <w:r>
              <w:rPr>
                <w:rFonts w:hint="eastAsia" w:ascii="宋体" w:hAnsi="宋体"/>
                <w:sz w:val="21"/>
                <w:szCs w:val="21"/>
              </w:rPr>
              <w:t>比选报价得分=（比选基准价/比选报价）×价格权值×100</w:t>
            </w:r>
          </w:p>
        </w:tc>
        <w:tc>
          <w:tcPr>
            <w:tcW w:w="1984" w:type="dxa"/>
            <w:vAlign w:val="center"/>
          </w:tcPr>
          <w:p>
            <w:pPr>
              <w:spacing w:line="240" w:lineRule="atLeast"/>
              <w:ind w:left="-38"/>
              <w:rPr>
                <w:rFonts w:ascii="宋体" w:hAnsi="宋体"/>
                <w:sz w:val="21"/>
                <w:szCs w:val="21"/>
              </w:rPr>
            </w:pPr>
            <w:r>
              <w:rPr>
                <w:rFonts w:hint="eastAsia" w:ascii="宋体" w:hAnsi="宋体"/>
                <w:sz w:val="21"/>
                <w:szCs w:val="21"/>
              </w:rPr>
              <w:t>对小微企业的价格用扣除后的价格参与评审，详见“关于小微企业报价扣除比例说明”。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675" w:type="dxa"/>
            <w:vMerge w:val="restart"/>
            <w:vAlign w:val="center"/>
          </w:tcPr>
          <w:p>
            <w:pPr>
              <w:spacing w:line="240" w:lineRule="atLeast"/>
              <w:ind w:firstLine="28"/>
              <w:jc w:val="center"/>
              <w:rPr>
                <w:rFonts w:ascii="宋体" w:hAnsi="宋体"/>
                <w:sz w:val="21"/>
                <w:szCs w:val="21"/>
              </w:rPr>
            </w:pPr>
            <w:r>
              <w:rPr>
                <w:rFonts w:ascii="宋体" w:hAnsi="宋体"/>
                <w:sz w:val="21"/>
                <w:szCs w:val="21"/>
              </w:rPr>
              <w:t>2</w:t>
            </w:r>
          </w:p>
        </w:tc>
        <w:tc>
          <w:tcPr>
            <w:tcW w:w="1163"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技术部分</w:t>
            </w:r>
          </w:p>
          <w:p>
            <w:pPr>
              <w:spacing w:line="240" w:lineRule="atLeast"/>
              <w:ind w:firstLine="28"/>
              <w:jc w:val="center"/>
              <w:rPr>
                <w:rFonts w:ascii="宋体" w:hAnsi="宋体"/>
                <w:sz w:val="21"/>
                <w:szCs w:val="21"/>
              </w:rPr>
            </w:pPr>
            <w:r>
              <w:rPr>
                <w:rFonts w:hint="eastAsia" w:ascii="宋体" w:hAnsi="宋体"/>
                <w:sz w:val="21"/>
                <w:szCs w:val="21"/>
              </w:rPr>
              <w:t>（</w:t>
            </w:r>
            <w:r>
              <w:rPr>
                <w:rFonts w:ascii="宋体" w:hAnsi="宋体"/>
                <w:sz w:val="21"/>
                <w:szCs w:val="21"/>
              </w:rPr>
              <w:t>40</w:t>
            </w:r>
            <w:r>
              <w:rPr>
                <w:rFonts w:hint="eastAsia" w:ascii="宋体" w:hAnsi="宋体"/>
                <w:sz w:val="21"/>
                <w:szCs w:val="21"/>
              </w:rPr>
              <w:t>%）</w:t>
            </w:r>
          </w:p>
        </w:tc>
        <w:tc>
          <w:tcPr>
            <w:tcW w:w="822"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服务方案</w:t>
            </w:r>
          </w:p>
          <w:p>
            <w:pPr>
              <w:spacing w:line="240" w:lineRule="atLeast"/>
              <w:ind w:firstLine="28"/>
              <w:jc w:val="center"/>
              <w:rPr>
                <w:rFonts w:ascii="宋体" w:hAnsi="宋体"/>
                <w:sz w:val="21"/>
                <w:szCs w:val="21"/>
              </w:rPr>
            </w:pPr>
            <w:r>
              <w:rPr>
                <w:rFonts w:ascii="宋体" w:hAnsi="宋体"/>
                <w:sz w:val="21"/>
                <w:szCs w:val="21"/>
              </w:rPr>
              <w:t>40</w:t>
            </w:r>
            <w:r>
              <w:rPr>
                <w:rFonts w:hint="eastAsia" w:ascii="宋体" w:hAnsi="宋体"/>
                <w:sz w:val="21"/>
                <w:szCs w:val="21"/>
              </w:rPr>
              <w:t>分</w:t>
            </w:r>
          </w:p>
        </w:tc>
        <w:tc>
          <w:tcPr>
            <w:tcW w:w="5103" w:type="dxa"/>
            <w:vAlign w:val="center"/>
          </w:tcPr>
          <w:p>
            <w:pPr>
              <w:spacing w:line="240" w:lineRule="atLeast"/>
              <w:rPr>
                <w:rFonts w:ascii="宋体" w:hAnsi="宋体"/>
                <w:sz w:val="21"/>
                <w:szCs w:val="21"/>
              </w:rPr>
            </w:pPr>
            <w:r>
              <w:rPr>
                <w:rFonts w:hint="eastAsia" w:ascii="宋体" w:hAnsi="宋体"/>
                <w:sz w:val="21"/>
                <w:szCs w:val="21"/>
              </w:rPr>
              <w:t>1.对项目要求理解（</w:t>
            </w:r>
            <w:r>
              <w:rPr>
                <w:rFonts w:ascii="宋体" w:hAnsi="宋体"/>
                <w:sz w:val="21"/>
                <w:szCs w:val="21"/>
              </w:rPr>
              <w:t>15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供应商结合目前物流领域投诉受理现状，对本项目背景、目的、意义及具体要求等进行阐述，根据供应商总体理解的准确性、合理性、详尽程度进行评分。</w:t>
            </w:r>
          </w:p>
          <w:p>
            <w:pPr>
              <w:spacing w:line="240" w:lineRule="atLeast"/>
              <w:rPr>
                <w:rFonts w:ascii="宋体" w:hAnsi="宋体"/>
                <w:sz w:val="21"/>
                <w:szCs w:val="21"/>
              </w:rPr>
            </w:pPr>
            <w:r>
              <w:rPr>
                <w:rFonts w:hint="eastAsia" w:ascii="宋体" w:hAnsi="宋体"/>
                <w:sz w:val="21"/>
                <w:szCs w:val="21"/>
              </w:rPr>
              <w:t>优（方案完整、内容详实、理解深刻）得</w:t>
            </w:r>
            <w:r>
              <w:rPr>
                <w:rFonts w:ascii="宋体" w:hAnsi="宋体"/>
                <w:sz w:val="21"/>
                <w:szCs w:val="21"/>
              </w:rPr>
              <w:t>15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良（方案较完整、内容较详实、理解较深刻）得</w:t>
            </w:r>
            <w:r>
              <w:rPr>
                <w:rFonts w:ascii="宋体" w:hAnsi="宋体"/>
                <w:sz w:val="21"/>
                <w:szCs w:val="21"/>
              </w:rPr>
              <w:t>10</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一般（方案一般、内容一般、理解一般）得</w:t>
            </w:r>
            <w:r>
              <w:rPr>
                <w:rFonts w:ascii="宋体" w:hAnsi="宋体"/>
                <w:sz w:val="21"/>
                <w:szCs w:val="21"/>
              </w:rPr>
              <w:t>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差（方案不完整、内容单薄、理解差）或未提供得0分。</w:t>
            </w:r>
          </w:p>
        </w:tc>
        <w:tc>
          <w:tcPr>
            <w:tcW w:w="1984" w:type="dxa"/>
            <w:vMerge w:val="restart"/>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75" w:type="dxa"/>
            <w:vMerge w:val="continue"/>
            <w:vAlign w:val="center"/>
          </w:tcPr>
          <w:p>
            <w:pPr>
              <w:spacing w:line="240" w:lineRule="atLeast"/>
              <w:ind w:firstLine="28"/>
              <w:jc w:val="center"/>
              <w:rPr>
                <w:rFonts w:ascii="宋体" w:hAnsi="宋体"/>
                <w:sz w:val="21"/>
                <w:szCs w:val="21"/>
              </w:rPr>
            </w:pPr>
          </w:p>
        </w:tc>
        <w:tc>
          <w:tcPr>
            <w:tcW w:w="1163" w:type="dxa"/>
            <w:vMerge w:val="continue"/>
            <w:vAlign w:val="center"/>
          </w:tcPr>
          <w:p>
            <w:pPr>
              <w:spacing w:line="240" w:lineRule="atLeast"/>
              <w:ind w:firstLine="28"/>
              <w:jc w:val="center"/>
              <w:rPr>
                <w:rFonts w:ascii="宋体" w:hAnsi="宋体"/>
                <w:sz w:val="21"/>
                <w:szCs w:val="21"/>
              </w:rPr>
            </w:pPr>
          </w:p>
        </w:tc>
        <w:tc>
          <w:tcPr>
            <w:tcW w:w="822" w:type="dxa"/>
            <w:vMerge w:val="continue"/>
            <w:vAlign w:val="center"/>
          </w:tcPr>
          <w:p>
            <w:pPr>
              <w:spacing w:line="240" w:lineRule="atLeast"/>
              <w:ind w:firstLine="28"/>
              <w:jc w:val="center"/>
              <w:rPr>
                <w:rFonts w:ascii="宋体" w:hAnsi="宋体"/>
                <w:sz w:val="21"/>
                <w:szCs w:val="21"/>
              </w:rPr>
            </w:pPr>
          </w:p>
        </w:tc>
        <w:tc>
          <w:tcPr>
            <w:tcW w:w="5103" w:type="dxa"/>
            <w:vAlign w:val="center"/>
          </w:tcPr>
          <w:p>
            <w:pPr>
              <w:spacing w:line="240" w:lineRule="atLeast"/>
              <w:rPr>
                <w:rFonts w:ascii="宋体" w:hAnsi="宋体"/>
                <w:sz w:val="21"/>
                <w:szCs w:val="21"/>
              </w:rPr>
            </w:pPr>
            <w:r>
              <w:rPr>
                <w:rFonts w:ascii="宋体" w:hAnsi="宋体"/>
                <w:sz w:val="21"/>
                <w:szCs w:val="21"/>
              </w:rPr>
              <w:t>2</w:t>
            </w:r>
            <w:r>
              <w:rPr>
                <w:rFonts w:hint="eastAsia" w:ascii="宋体" w:hAnsi="宋体"/>
                <w:sz w:val="21"/>
                <w:szCs w:val="21"/>
              </w:rPr>
              <w:t>.实施方案（1</w:t>
            </w:r>
            <w:r>
              <w:rPr>
                <w:rFonts w:ascii="宋体" w:hAnsi="宋体"/>
                <w:sz w:val="21"/>
                <w:szCs w:val="21"/>
              </w:rPr>
              <w:t>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根据供应商提供的实施方案的合理性、针对性、可行性进行评分。</w:t>
            </w:r>
          </w:p>
          <w:p>
            <w:pPr>
              <w:spacing w:line="240" w:lineRule="atLeast"/>
              <w:rPr>
                <w:rFonts w:ascii="宋体" w:hAnsi="宋体"/>
                <w:sz w:val="21"/>
                <w:szCs w:val="21"/>
              </w:rPr>
            </w:pPr>
            <w:r>
              <w:rPr>
                <w:rFonts w:hint="eastAsia" w:ascii="宋体" w:hAnsi="宋体"/>
                <w:sz w:val="21"/>
                <w:szCs w:val="21"/>
              </w:rPr>
              <w:t>优（方案完整、内容详实、操作性强）得</w:t>
            </w:r>
            <w:r>
              <w:rPr>
                <w:rFonts w:ascii="宋体" w:hAnsi="宋体"/>
                <w:sz w:val="21"/>
                <w:szCs w:val="21"/>
              </w:rPr>
              <w:t>15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良（方案较完整、内容较详实、操作性较强）得</w:t>
            </w:r>
            <w:r>
              <w:rPr>
                <w:rFonts w:ascii="宋体" w:hAnsi="宋体"/>
                <w:sz w:val="21"/>
                <w:szCs w:val="21"/>
              </w:rPr>
              <w:t>10</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一般（方案一般、内容一般、操作性一般）得</w:t>
            </w:r>
            <w:r>
              <w:rPr>
                <w:rFonts w:ascii="宋体" w:hAnsi="宋体"/>
                <w:sz w:val="21"/>
                <w:szCs w:val="21"/>
              </w:rPr>
              <w:t>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差（方案不完整、内容单薄、操作性差）或未提供得0分。</w:t>
            </w:r>
          </w:p>
        </w:tc>
        <w:tc>
          <w:tcPr>
            <w:tcW w:w="1984"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trPr>
        <w:tc>
          <w:tcPr>
            <w:tcW w:w="675" w:type="dxa"/>
            <w:vMerge w:val="continue"/>
            <w:vAlign w:val="center"/>
          </w:tcPr>
          <w:p>
            <w:pPr>
              <w:spacing w:line="240" w:lineRule="atLeast"/>
              <w:ind w:firstLine="28"/>
              <w:jc w:val="center"/>
              <w:rPr>
                <w:rFonts w:ascii="宋体" w:hAnsi="宋体"/>
                <w:sz w:val="21"/>
                <w:szCs w:val="21"/>
              </w:rPr>
            </w:pPr>
          </w:p>
        </w:tc>
        <w:tc>
          <w:tcPr>
            <w:tcW w:w="1163" w:type="dxa"/>
            <w:vMerge w:val="continue"/>
            <w:vAlign w:val="center"/>
          </w:tcPr>
          <w:p>
            <w:pPr>
              <w:spacing w:line="240" w:lineRule="atLeast"/>
              <w:ind w:firstLine="28"/>
              <w:jc w:val="center"/>
              <w:rPr>
                <w:rFonts w:ascii="宋体" w:hAnsi="宋体"/>
                <w:sz w:val="21"/>
                <w:szCs w:val="21"/>
              </w:rPr>
            </w:pPr>
          </w:p>
        </w:tc>
        <w:tc>
          <w:tcPr>
            <w:tcW w:w="822" w:type="dxa"/>
            <w:vMerge w:val="continue"/>
            <w:vAlign w:val="center"/>
          </w:tcPr>
          <w:p>
            <w:pPr>
              <w:spacing w:line="240" w:lineRule="atLeast"/>
              <w:ind w:firstLine="28"/>
              <w:jc w:val="center"/>
              <w:rPr>
                <w:rFonts w:ascii="宋体" w:hAnsi="宋体"/>
                <w:sz w:val="21"/>
                <w:szCs w:val="21"/>
              </w:rPr>
            </w:pPr>
          </w:p>
        </w:tc>
        <w:tc>
          <w:tcPr>
            <w:tcW w:w="5103" w:type="dxa"/>
            <w:vAlign w:val="center"/>
          </w:tcPr>
          <w:p>
            <w:pPr>
              <w:spacing w:line="240" w:lineRule="atLeast"/>
              <w:rPr>
                <w:rFonts w:ascii="宋体" w:hAnsi="宋体"/>
                <w:sz w:val="21"/>
                <w:szCs w:val="21"/>
              </w:rPr>
            </w:pPr>
            <w:r>
              <w:rPr>
                <w:rFonts w:ascii="宋体" w:hAnsi="宋体"/>
                <w:sz w:val="21"/>
                <w:szCs w:val="21"/>
              </w:rPr>
              <w:t>3</w:t>
            </w:r>
            <w:r>
              <w:rPr>
                <w:rFonts w:hint="eastAsia" w:ascii="宋体" w:hAnsi="宋体"/>
                <w:sz w:val="21"/>
                <w:szCs w:val="21"/>
              </w:rPr>
              <w:t>.工作安排计划（</w:t>
            </w:r>
            <w:r>
              <w:rPr>
                <w:rFonts w:ascii="宋体" w:hAnsi="宋体"/>
                <w:sz w:val="21"/>
                <w:szCs w:val="21"/>
              </w:rPr>
              <w:t>10</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根据供应商提出的具体工作安排计划进行评分。</w:t>
            </w:r>
          </w:p>
          <w:p>
            <w:pPr>
              <w:spacing w:line="240" w:lineRule="atLeast"/>
              <w:rPr>
                <w:rFonts w:ascii="宋体" w:hAnsi="宋体"/>
                <w:sz w:val="21"/>
                <w:szCs w:val="21"/>
              </w:rPr>
            </w:pPr>
            <w:r>
              <w:rPr>
                <w:rFonts w:hint="eastAsia" w:ascii="宋体" w:hAnsi="宋体"/>
                <w:sz w:val="21"/>
                <w:szCs w:val="21"/>
              </w:rPr>
              <w:t>优（工作安排合理、能高效处理投诉受理事宜）得</w:t>
            </w:r>
            <w:r>
              <w:rPr>
                <w:rFonts w:ascii="宋体" w:hAnsi="宋体"/>
                <w:sz w:val="21"/>
                <w:szCs w:val="21"/>
              </w:rPr>
              <w:t>10</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良（工作安排合理、能比较高效处理投诉受理事宜）得</w:t>
            </w:r>
            <w:r>
              <w:rPr>
                <w:rFonts w:ascii="宋体" w:hAnsi="宋体"/>
                <w:sz w:val="21"/>
                <w:szCs w:val="21"/>
              </w:rPr>
              <w:t>7</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一般（工作安排基本合理、处理投诉受理事宜能力一般）得</w:t>
            </w:r>
            <w:r>
              <w:rPr>
                <w:rFonts w:ascii="宋体" w:hAnsi="宋体"/>
                <w:sz w:val="21"/>
                <w:szCs w:val="21"/>
              </w:rPr>
              <w:t>4</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差（工作安排不合理、处理投诉受理事宜能力差）或未提供得</w:t>
            </w:r>
            <w:r>
              <w:rPr>
                <w:rFonts w:ascii="宋体" w:hAnsi="宋体"/>
                <w:sz w:val="21"/>
                <w:szCs w:val="21"/>
              </w:rPr>
              <w:t>0</w:t>
            </w:r>
            <w:r>
              <w:rPr>
                <w:rFonts w:hint="eastAsia" w:ascii="宋体" w:hAnsi="宋体"/>
                <w:sz w:val="21"/>
                <w:szCs w:val="21"/>
              </w:rPr>
              <w:t>分。</w:t>
            </w:r>
          </w:p>
        </w:tc>
        <w:tc>
          <w:tcPr>
            <w:tcW w:w="1984"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75"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3</w:t>
            </w:r>
          </w:p>
        </w:tc>
        <w:tc>
          <w:tcPr>
            <w:tcW w:w="1163"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商务部分</w:t>
            </w:r>
          </w:p>
          <w:p>
            <w:pPr>
              <w:spacing w:line="240" w:lineRule="atLeast"/>
              <w:ind w:firstLine="28"/>
              <w:jc w:val="center"/>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w:t>
            </w:r>
          </w:p>
        </w:tc>
        <w:tc>
          <w:tcPr>
            <w:tcW w:w="822"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机构及团队配置</w:t>
            </w:r>
          </w:p>
          <w:p>
            <w:pPr>
              <w:spacing w:line="240" w:lineRule="atLeast"/>
              <w:ind w:firstLine="28"/>
              <w:jc w:val="center"/>
              <w:rPr>
                <w:rFonts w:ascii="宋体" w:hAnsi="宋体"/>
                <w:sz w:val="21"/>
                <w:szCs w:val="21"/>
              </w:rPr>
            </w:pPr>
            <w:r>
              <w:rPr>
                <w:rFonts w:ascii="宋体" w:hAnsi="宋体"/>
                <w:sz w:val="21"/>
                <w:szCs w:val="21"/>
              </w:rPr>
              <w:t>15</w:t>
            </w:r>
            <w:r>
              <w:rPr>
                <w:rFonts w:hint="eastAsia" w:ascii="宋体" w:hAnsi="宋体"/>
                <w:sz w:val="21"/>
                <w:szCs w:val="21"/>
              </w:rPr>
              <w:t>分</w:t>
            </w:r>
          </w:p>
        </w:tc>
        <w:tc>
          <w:tcPr>
            <w:tcW w:w="5103" w:type="dxa"/>
            <w:vAlign w:val="center"/>
          </w:tcPr>
          <w:p>
            <w:pPr>
              <w:spacing w:line="240" w:lineRule="atLeast"/>
              <w:rPr>
                <w:rFonts w:ascii="宋体" w:hAnsi="宋体"/>
                <w:sz w:val="21"/>
                <w:szCs w:val="21"/>
              </w:rPr>
            </w:pPr>
            <w:r>
              <w:rPr>
                <w:rFonts w:hint="eastAsia" w:ascii="宋体" w:hAnsi="宋体"/>
                <w:sz w:val="21"/>
                <w:szCs w:val="21"/>
              </w:rPr>
              <w:t>1. 已设立相关服务机构（5分）</w:t>
            </w:r>
          </w:p>
          <w:p>
            <w:pPr>
              <w:spacing w:line="240" w:lineRule="atLeast"/>
              <w:rPr>
                <w:rFonts w:ascii="宋体" w:hAnsi="宋体"/>
                <w:sz w:val="21"/>
                <w:szCs w:val="21"/>
              </w:rPr>
            </w:pPr>
            <w:r>
              <w:rPr>
                <w:rFonts w:hint="eastAsia" w:ascii="宋体" w:hAnsi="宋体"/>
                <w:sz w:val="21"/>
                <w:szCs w:val="21"/>
              </w:rPr>
              <w:t>已设立物流维权服务、调解等机构的得5分。</w:t>
            </w:r>
          </w:p>
        </w:tc>
        <w:tc>
          <w:tcPr>
            <w:tcW w:w="1984" w:type="dxa"/>
            <w:vMerge w:val="restart"/>
            <w:tcBorders>
              <w:bottom w:val="single" w:color="auto" w:sz="4" w:space="0"/>
            </w:tcBorders>
            <w:vAlign w:val="center"/>
          </w:tcPr>
          <w:p>
            <w:pPr>
              <w:spacing w:line="240" w:lineRule="atLeast"/>
              <w:ind w:left="-38"/>
              <w:rPr>
                <w:rFonts w:ascii="宋体" w:hAnsi="宋体"/>
                <w:sz w:val="21"/>
                <w:szCs w:val="21"/>
              </w:rPr>
            </w:pPr>
            <w:r>
              <w:rPr>
                <w:rFonts w:hint="eastAsia" w:ascii="宋体" w:hAnsi="宋体"/>
                <w:sz w:val="21"/>
                <w:szCs w:val="21"/>
              </w:rPr>
              <w:t>服务机构提供相关批复或备案等证明；拟派人员应为供应商在职员工，提供人员名单、供应商为其缴纳的社保证明、资历证明材料复印件，加盖供应商公章。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75" w:type="dxa"/>
            <w:vMerge w:val="continue"/>
            <w:vAlign w:val="center"/>
          </w:tcPr>
          <w:p>
            <w:pPr>
              <w:spacing w:line="240" w:lineRule="atLeast"/>
              <w:ind w:firstLine="28"/>
              <w:jc w:val="center"/>
              <w:rPr>
                <w:rFonts w:ascii="宋体" w:hAnsi="宋体"/>
                <w:sz w:val="21"/>
                <w:szCs w:val="21"/>
              </w:rPr>
            </w:pPr>
          </w:p>
        </w:tc>
        <w:tc>
          <w:tcPr>
            <w:tcW w:w="1163" w:type="dxa"/>
            <w:vMerge w:val="continue"/>
            <w:vAlign w:val="center"/>
          </w:tcPr>
          <w:p>
            <w:pPr>
              <w:spacing w:line="240" w:lineRule="atLeast"/>
              <w:ind w:firstLine="28"/>
              <w:jc w:val="center"/>
              <w:rPr>
                <w:rFonts w:ascii="宋体" w:hAnsi="宋体"/>
                <w:sz w:val="21"/>
                <w:szCs w:val="21"/>
              </w:rPr>
            </w:pPr>
          </w:p>
        </w:tc>
        <w:tc>
          <w:tcPr>
            <w:tcW w:w="822" w:type="dxa"/>
            <w:vMerge w:val="continue"/>
            <w:vAlign w:val="center"/>
          </w:tcPr>
          <w:p>
            <w:pPr>
              <w:spacing w:line="240" w:lineRule="atLeast"/>
              <w:ind w:firstLine="28"/>
              <w:jc w:val="center"/>
              <w:rPr>
                <w:rFonts w:ascii="宋体" w:hAnsi="宋体"/>
                <w:sz w:val="21"/>
                <w:szCs w:val="21"/>
              </w:rPr>
            </w:pPr>
          </w:p>
        </w:tc>
        <w:tc>
          <w:tcPr>
            <w:tcW w:w="5103" w:type="dxa"/>
            <w:vAlign w:val="center"/>
          </w:tcPr>
          <w:p>
            <w:pPr>
              <w:spacing w:line="240" w:lineRule="atLeast"/>
              <w:rPr>
                <w:rFonts w:ascii="宋体" w:hAnsi="宋体"/>
                <w:sz w:val="21"/>
                <w:szCs w:val="21"/>
              </w:rPr>
            </w:pPr>
            <w:r>
              <w:rPr>
                <w:rFonts w:hint="eastAsia" w:ascii="宋体" w:hAnsi="宋体"/>
                <w:sz w:val="21"/>
                <w:szCs w:val="21"/>
              </w:rPr>
              <w:t>2.人员数量（</w:t>
            </w:r>
            <w:r>
              <w:rPr>
                <w:rFonts w:ascii="宋体" w:hAnsi="宋体"/>
                <w:sz w:val="21"/>
                <w:szCs w:val="21"/>
              </w:rPr>
              <w:t>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拟派本项目团队人数达到</w:t>
            </w:r>
            <w:r>
              <w:rPr>
                <w:rFonts w:ascii="宋体" w:hAnsi="宋体"/>
                <w:sz w:val="21"/>
                <w:szCs w:val="21"/>
              </w:rPr>
              <w:t>5</w:t>
            </w:r>
            <w:r>
              <w:rPr>
                <w:rFonts w:hint="eastAsia" w:ascii="宋体" w:hAnsi="宋体"/>
                <w:sz w:val="21"/>
                <w:szCs w:val="21"/>
              </w:rPr>
              <w:t>人及以上的，得5分。</w:t>
            </w:r>
          </w:p>
        </w:tc>
        <w:tc>
          <w:tcPr>
            <w:tcW w:w="1984" w:type="dxa"/>
            <w:vMerge w:val="continue"/>
            <w:tcBorders>
              <w:bottom w:val="single" w:color="auto" w:sz="4" w:space="0"/>
            </w:tcBorders>
            <w:vAlign w:val="center"/>
          </w:tcPr>
          <w:p>
            <w:pPr>
              <w:spacing w:line="240" w:lineRule="atLeast"/>
              <w:ind w:left="-38"/>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75" w:type="dxa"/>
            <w:vMerge w:val="continue"/>
            <w:vAlign w:val="center"/>
          </w:tcPr>
          <w:p>
            <w:pPr>
              <w:spacing w:line="240" w:lineRule="atLeast"/>
              <w:ind w:firstLine="28"/>
              <w:jc w:val="center"/>
              <w:rPr>
                <w:rFonts w:ascii="宋体" w:hAnsi="宋体"/>
                <w:sz w:val="21"/>
                <w:szCs w:val="21"/>
              </w:rPr>
            </w:pPr>
          </w:p>
        </w:tc>
        <w:tc>
          <w:tcPr>
            <w:tcW w:w="1163" w:type="dxa"/>
            <w:vMerge w:val="continue"/>
            <w:vAlign w:val="center"/>
          </w:tcPr>
          <w:p>
            <w:pPr>
              <w:spacing w:line="240" w:lineRule="atLeast"/>
              <w:ind w:firstLine="28"/>
              <w:jc w:val="center"/>
              <w:rPr>
                <w:rFonts w:ascii="宋体" w:hAnsi="宋体"/>
                <w:sz w:val="21"/>
                <w:szCs w:val="21"/>
              </w:rPr>
            </w:pPr>
          </w:p>
        </w:tc>
        <w:tc>
          <w:tcPr>
            <w:tcW w:w="822" w:type="dxa"/>
            <w:vMerge w:val="continue"/>
            <w:vAlign w:val="center"/>
          </w:tcPr>
          <w:p>
            <w:pPr>
              <w:spacing w:line="240" w:lineRule="atLeast"/>
              <w:ind w:firstLine="28"/>
              <w:jc w:val="center"/>
              <w:rPr>
                <w:rFonts w:ascii="宋体" w:hAnsi="宋体"/>
                <w:sz w:val="21"/>
                <w:szCs w:val="21"/>
              </w:rPr>
            </w:pPr>
          </w:p>
        </w:tc>
        <w:tc>
          <w:tcPr>
            <w:tcW w:w="5103" w:type="dxa"/>
            <w:vAlign w:val="center"/>
          </w:tcPr>
          <w:p>
            <w:pPr>
              <w:snapToGrid w:val="0"/>
              <w:rPr>
                <w:rFonts w:ascii="宋体" w:hAnsi="宋体"/>
                <w:sz w:val="21"/>
                <w:szCs w:val="21"/>
              </w:rPr>
            </w:pPr>
            <w:r>
              <w:rPr>
                <w:rFonts w:ascii="宋体" w:hAnsi="宋体"/>
                <w:sz w:val="21"/>
                <w:szCs w:val="21"/>
              </w:rPr>
              <w:t>3</w:t>
            </w:r>
            <w:r>
              <w:rPr>
                <w:rFonts w:hint="eastAsia" w:ascii="宋体" w:hAnsi="宋体"/>
                <w:sz w:val="21"/>
                <w:szCs w:val="21"/>
              </w:rPr>
              <w:t>.团队配置（</w:t>
            </w:r>
            <w:r>
              <w:rPr>
                <w:rFonts w:ascii="宋体" w:hAnsi="宋体"/>
                <w:sz w:val="21"/>
                <w:szCs w:val="21"/>
              </w:rPr>
              <w:t>5</w:t>
            </w:r>
            <w:r>
              <w:rPr>
                <w:rFonts w:hint="eastAsia" w:ascii="宋体" w:hAnsi="宋体"/>
                <w:sz w:val="21"/>
                <w:szCs w:val="21"/>
              </w:rPr>
              <w:t>分）</w:t>
            </w:r>
          </w:p>
          <w:p>
            <w:pPr>
              <w:snapToGrid w:val="0"/>
              <w:rPr>
                <w:rFonts w:ascii="宋体" w:hAnsi="宋体"/>
                <w:sz w:val="21"/>
                <w:szCs w:val="21"/>
              </w:rPr>
            </w:pPr>
            <w:r>
              <w:rPr>
                <w:rFonts w:hint="eastAsia" w:ascii="宋体" w:hAnsi="宋体"/>
                <w:sz w:val="21"/>
                <w:szCs w:val="21"/>
              </w:rPr>
              <w:t>根据供应商拟派服务人员的配置、经验履历（学历、职称、资历等）等方面进行评分。</w:t>
            </w:r>
          </w:p>
          <w:p>
            <w:pPr>
              <w:snapToGrid w:val="0"/>
              <w:rPr>
                <w:rFonts w:ascii="宋体" w:hAnsi="宋体"/>
                <w:sz w:val="21"/>
                <w:szCs w:val="21"/>
              </w:rPr>
            </w:pPr>
            <w:r>
              <w:rPr>
                <w:rFonts w:hint="eastAsia" w:ascii="宋体" w:hAnsi="宋体"/>
                <w:sz w:val="21"/>
                <w:szCs w:val="21"/>
              </w:rPr>
              <w:t>优（团队综合资历深厚、经验丰富）得</w:t>
            </w:r>
            <w:r>
              <w:rPr>
                <w:rFonts w:ascii="宋体" w:hAnsi="宋体"/>
                <w:sz w:val="21"/>
                <w:szCs w:val="21"/>
              </w:rPr>
              <w:t>5</w:t>
            </w:r>
            <w:r>
              <w:rPr>
                <w:rFonts w:hint="eastAsia" w:ascii="宋体" w:hAnsi="宋体"/>
                <w:sz w:val="21"/>
                <w:szCs w:val="21"/>
              </w:rPr>
              <w:t>分；</w:t>
            </w:r>
          </w:p>
          <w:p>
            <w:pPr>
              <w:snapToGrid w:val="0"/>
              <w:rPr>
                <w:rFonts w:ascii="宋体" w:hAnsi="宋体"/>
                <w:sz w:val="21"/>
                <w:szCs w:val="21"/>
              </w:rPr>
            </w:pPr>
            <w:r>
              <w:rPr>
                <w:rFonts w:hint="eastAsia" w:ascii="宋体" w:hAnsi="宋体"/>
                <w:sz w:val="21"/>
                <w:szCs w:val="21"/>
              </w:rPr>
              <w:t>良（团队综合资历较深、经验较丰富）得</w:t>
            </w:r>
            <w:r>
              <w:rPr>
                <w:rFonts w:ascii="宋体" w:hAnsi="宋体"/>
                <w:sz w:val="21"/>
                <w:szCs w:val="21"/>
              </w:rPr>
              <w:t>3</w:t>
            </w:r>
            <w:r>
              <w:rPr>
                <w:rFonts w:hint="eastAsia" w:ascii="宋体" w:hAnsi="宋体"/>
                <w:sz w:val="21"/>
                <w:szCs w:val="21"/>
              </w:rPr>
              <w:t>分；</w:t>
            </w:r>
          </w:p>
          <w:p>
            <w:pPr>
              <w:snapToGrid w:val="0"/>
              <w:rPr>
                <w:rFonts w:ascii="宋体" w:hAnsi="宋体"/>
                <w:sz w:val="21"/>
                <w:szCs w:val="21"/>
              </w:rPr>
            </w:pPr>
            <w:r>
              <w:rPr>
                <w:rFonts w:hint="eastAsia" w:ascii="宋体" w:hAnsi="宋体"/>
                <w:sz w:val="21"/>
                <w:szCs w:val="21"/>
              </w:rPr>
              <w:t>一般（团队综合资历、经验一般）得</w:t>
            </w:r>
            <w:r>
              <w:rPr>
                <w:rFonts w:ascii="宋体" w:hAnsi="宋体"/>
                <w:sz w:val="21"/>
                <w:szCs w:val="21"/>
              </w:rPr>
              <w:t>2</w:t>
            </w:r>
            <w:r>
              <w:rPr>
                <w:rFonts w:hint="eastAsia" w:ascii="宋体" w:hAnsi="宋体"/>
                <w:sz w:val="21"/>
                <w:szCs w:val="21"/>
              </w:rPr>
              <w:t>分；</w:t>
            </w:r>
          </w:p>
          <w:p>
            <w:pPr>
              <w:snapToGrid w:val="0"/>
              <w:rPr>
                <w:rFonts w:ascii="宋体" w:hAnsi="宋体"/>
                <w:sz w:val="21"/>
                <w:szCs w:val="21"/>
              </w:rPr>
            </w:pPr>
            <w:r>
              <w:rPr>
                <w:rFonts w:hint="eastAsia" w:ascii="宋体" w:hAnsi="宋体"/>
                <w:sz w:val="21"/>
                <w:szCs w:val="21"/>
              </w:rPr>
              <w:t>差（团队综合资历浅、经验少）或未提供得0分。</w:t>
            </w:r>
          </w:p>
        </w:tc>
        <w:tc>
          <w:tcPr>
            <w:tcW w:w="1984" w:type="dxa"/>
            <w:vMerge w:val="continue"/>
            <w:tcBorders>
              <w:bottom w:val="single" w:color="auto" w:sz="4" w:space="0"/>
            </w:tcBorders>
            <w:vAlign w:val="center"/>
          </w:tcPr>
          <w:p>
            <w:pPr>
              <w:spacing w:line="240" w:lineRule="atLeast"/>
              <w:ind w:left="-38"/>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75" w:type="dxa"/>
            <w:vMerge w:val="continue"/>
            <w:vAlign w:val="center"/>
          </w:tcPr>
          <w:p>
            <w:pPr>
              <w:spacing w:line="240" w:lineRule="atLeast"/>
              <w:ind w:firstLine="28"/>
              <w:jc w:val="center"/>
              <w:rPr>
                <w:rFonts w:ascii="宋体" w:hAnsi="宋体"/>
                <w:sz w:val="21"/>
                <w:szCs w:val="21"/>
              </w:rPr>
            </w:pPr>
          </w:p>
        </w:tc>
        <w:tc>
          <w:tcPr>
            <w:tcW w:w="1163" w:type="dxa"/>
            <w:vMerge w:val="continue"/>
            <w:vAlign w:val="center"/>
          </w:tcPr>
          <w:p>
            <w:pPr>
              <w:spacing w:line="240" w:lineRule="atLeast"/>
              <w:ind w:firstLine="28"/>
              <w:jc w:val="center"/>
              <w:rPr>
                <w:rFonts w:ascii="宋体" w:hAnsi="宋体"/>
                <w:sz w:val="21"/>
                <w:szCs w:val="21"/>
              </w:rPr>
            </w:pPr>
          </w:p>
        </w:tc>
        <w:tc>
          <w:tcPr>
            <w:tcW w:w="822" w:type="dxa"/>
            <w:vAlign w:val="center"/>
          </w:tcPr>
          <w:p>
            <w:pPr>
              <w:spacing w:line="240" w:lineRule="atLeast"/>
              <w:jc w:val="center"/>
              <w:rPr>
                <w:rFonts w:ascii="宋体" w:hAnsi="宋体"/>
                <w:sz w:val="21"/>
                <w:szCs w:val="21"/>
              </w:rPr>
            </w:pPr>
            <w:r>
              <w:rPr>
                <w:rFonts w:hint="eastAsia" w:ascii="宋体" w:hAnsi="宋体"/>
                <w:sz w:val="21"/>
                <w:szCs w:val="21"/>
              </w:rPr>
              <w:t>业绩</w:t>
            </w:r>
          </w:p>
          <w:p>
            <w:pPr>
              <w:spacing w:line="240" w:lineRule="atLeast"/>
              <w:jc w:val="center"/>
              <w:rPr>
                <w:rFonts w:ascii="宋体" w:hAnsi="宋体"/>
                <w:sz w:val="21"/>
                <w:szCs w:val="21"/>
              </w:rPr>
            </w:pPr>
            <w:r>
              <w:rPr>
                <w:rFonts w:hint="eastAsia" w:ascii="宋体" w:hAnsi="宋体"/>
                <w:sz w:val="21"/>
                <w:szCs w:val="21"/>
              </w:rPr>
              <w:t>15分</w:t>
            </w:r>
          </w:p>
        </w:tc>
        <w:tc>
          <w:tcPr>
            <w:tcW w:w="5103" w:type="dxa"/>
            <w:vAlign w:val="center"/>
          </w:tcPr>
          <w:p>
            <w:pPr>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具有物流投诉处理经验（1</w:t>
            </w:r>
            <w:r>
              <w:rPr>
                <w:rFonts w:ascii="宋体" w:hAnsi="宋体"/>
                <w:sz w:val="21"/>
                <w:szCs w:val="21"/>
              </w:rPr>
              <w:t>0</w:t>
            </w:r>
            <w:r>
              <w:rPr>
                <w:rFonts w:hint="eastAsia" w:ascii="宋体" w:hAnsi="宋体"/>
                <w:sz w:val="21"/>
                <w:szCs w:val="21"/>
              </w:rPr>
              <w:t>分）</w:t>
            </w:r>
          </w:p>
          <w:p>
            <w:pPr>
              <w:rPr>
                <w:rFonts w:ascii="宋体" w:hAnsi="宋体"/>
                <w:sz w:val="21"/>
                <w:szCs w:val="21"/>
              </w:rPr>
            </w:pPr>
            <w:r>
              <w:rPr>
                <w:rFonts w:hint="eastAsia" w:ascii="宋体" w:hAnsi="宋体"/>
                <w:sz w:val="21"/>
                <w:szCs w:val="21"/>
              </w:rPr>
              <w:t>完成物流或交通领域投诉处理每2</w:t>
            </w:r>
            <w:r>
              <w:rPr>
                <w:rFonts w:ascii="宋体" w:hAnsi="宋体"/>
                <w:sz w:val="21"/>
                <w:szCs w:val="21"/>
              </w:rPr>
              <w:t>0</w:t>
            </w:r>
            <w:r>
              <w:rPr>
                <w:rFonts w:hint="eastAsia" w:ascii="宋体" w:hAnsi="宋体"/>
                <w:sz w:val="21"/>
                <w:szCs w:val="21"/>
              </w:rPr>
              <w:t>件1分，最多可得1</w:t>
            </w:r>
            <w:r>
              <w:rPr>
                <w:rFonts w:ascii="宋体" w:hAnsi="宋体"/>
                <w:sz w:val="21"/>
                <w:szCs w:val="21"/>
              </w:rPr>
              <w:t>0</w:t>
            </w:r>
            <w:r>
              <w:rPr>
                <w:rFonts w:hint="eastAsia" w:ascii="宋体" w:hAnsi="宋体"/>
                <w:sz w:val="21"/>
                <w:szCs w:val="21"/>
              </w:rPr>
              <w:t>分。</w:t>
            </w:r>
          </w:p>
          <w:p>
            <w:r>
              <w:rPr>
                <w:rFonts w:ascii="宋体" w:hAnsi="宋体"/>
                <w:sz w:val="21"/>
                <w:szCs w:val="21"/>
              </w:rPr>
              <w:t>2.</w:t>
            </w:r>
            <w:r>
              <w:rPr>
                <w:rFonts w:hint="eastAsia" w:ascii="宋体" w:hAnsi="宋体"/>
                <w:sz w:val="21"/>
                <w:szCs w:val="21"/>
              </w:rPr>
              <w:t>201</w:t>
            </w:r>
            <w:r>
              <w:rPr>
                <w:rFonts w:ascii="宋体" w:hAnsi="宋体"/>
                <w:sz w:val="21"/>
                <w:szCs w:val="21"/>
              </w:rPr>
              <w:t>9</w:t>
            </w:r>
            <w:r>
              <w:rPr>
                <w:rFonts w:hint="eastAsia" w:ascii="宋体" w:hAnsi="宋体"/>
                <w:sz w:val="21"/>
                <w:szCs w:val="21"/>
              </w:rPr>
              <w:t>年1月1日至响应文件递交截止时间，供应商承担过区县、市及以上政府部门或下属单位委托的各类服务项目的，每有一个合同得</w:t>
            </w:r>
            <w:r>
              <w:rPr>
                <w:rFonts w:ascii="宋体" w:hAnsi="宋体"/>
                <w:sz w:val="21"/>
                <w:szCs w:val="21"/>
              </w:rPr>
              <w:t>1</w:t>
            </w:r>
            <w:r>
              <w:rPr>
                <w:rFonts w:hint="eastAsia" w:ascii="宋体" w:hAnsi="宋体"/>
                <w:sz w:val="21"/>
                <w:szCs w:val="21"/>
              </w:rPr>
              <w:t>分，最多得</w:t>
            </w:r>
            <w:r>
              <w:rPr>
                <w:rFonts w:ascii="宋体" w:hAnsi="宋体"/>
                <w:sz w:val="21"/>
                <w:szCs w:val="21"/>
              </w:rPr>
              <w:t>5</w:t>
            </w:r>
            <w:r>
              <w:rPr>
                <w:rFonts w:hint="eastAsia" w:ascii="宋体" w:hAnsi="宋体"/>
                <w:sz w:val="21"/>
                <w:szCs w:val="21"/>
              </w:rPr>
              <w:t>分。</w:t>
            </w:r>
          </w:p>
        </w:tc>
        <w:tc>
          <w:tcPr>
            <w:tcW w:w="1984" w:type="dxa"/>
            <w:vAlign w:val="center"/>
          </w:tcPr>
          <w:p>
            <w:pPr>
              <w:spacing w:line="240" w:lineRule="atLeast"/>
              <w:ind w:left="-38"/>
              <w:rPr>
                <w:rFonts w:ascii="宋体" w:hAnsi="宋体"/>
                <w:sz w:val="21"/>
                <w:szCs w:val="21"/>
              </w:rPr>
            </w:pPr>
            <w:r>
              <w:rPr>
                <w:rFonts w:hint="eastAsia" w:ascii="宋体" w:hAnsi="宋体"/>
                <w:sz w:val="21"/>
                <w:szCs w:val="21"/>
              </w:rPr>
              <w:t>提供投诉处理清单等证明材料；提供合同复印件，加盖供应商公章。</w:t>
            </w:r>
          </w:p>
        </w:tc>
      </w:tr>
      <w:bookmarkEnd w:id="69"/>
      <w:bookmarkEnd w:id="70"/>
    </w:tbl>
    <w:p>
      <w:pPr>
        <w:snapToGrid w:val="0"/>
        <w:spacing w:line="360" w:lineRule="auto"/>
        <w:ind w:firstLine="465"/>
        <w:rPr>
          <w:rFonts w:ascii="宋体" w:hAnsi="宋体"/>
          <w:b/>
          <w:color w:val="000000"/>
          <w:sz w:val="24"/>
          <w:szCs w:val="24"/>
        </w:rPr>
      </w:pPr>
      <w:r>
        <w:rPr>
          <w:rFonts w:hint="eastAsia" w:ascii="宋体" w:hAnsi="宋体"/>
          <w:b/>
          <w:color w:val="000000"/>
          <w:sz w:val="24"/>
          <w:szCs w:val="24"/>
        </w:rPr>
        <w:t>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（二）关于小微企业报价扣除比例说明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（2）在工程采购项目中，工程由中小企业承建，即工程施工单位为中小企业；</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（3）在服务采购项目中，服务由中小企业承接，即提供服务的人员为中小企业依照《中华人民共和国民法典》订立劳动合同的从业人员。</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2.对小微型企业给予</w:t>
      </w:r>
      <w:r>
        <w:rPr>
          <w:rFonts w:hint="eastAsia" w:ascii="宋体" w:hAnsi="宋体"/>
          <w:color w:val="000000"/>
          <w:sz w:val="24"/>
          <w:szCs w:val="24"/>
          <w:u w:val="single"/>
        </w:rPr>
        <w:t xml:space="preserve"> </w:t>
      </w:r>
      <w:r>
        <w:rPr>
          <w:rFonts w:ascii="宋体" w:hAnsi="宋体"/>
          <w:b/>
          <w:bCs/>
          <w:color w:val="000000"/>
          <w:sz w:val="24"/>
          <w:szCs w:val="24"/>
          <w:u w:val="single"/>
        </w:rPr>
        <w:t>10</w:t>
      </w:r>
      <w:r>
        <w:rPr>
          <w:rFonts w:hint="eastAsia" w:ascii="宋体" w:hAnsi="宋体"/>
          <w:b/>
          <w:bCs/>
          <w:color w:val="000000"/>
          <w:sz w:val="24"/>
          <w:szCs w:val="24"/>
          <w:u w:val="single"/>
        </w:rPr>
        <w:t xml:space="preserve"> %</w:t>
      </w:r>
      <w:r>
        <w:rPr>
          <w:rFonts w:hint="eastAsia" w:ascii="宋体" w:hAnsi="宋体"/>
          <w:color w:val="000000"/>
          <w:sz w:val="24"/>
          <w:szCs w:val="24"/>
        </w:rPr>
        <w:t>的扣除，以扣除后的报价参与评审。</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3.监狱企业、残疾人福利性单位视同小型、微型企业。</w:t>
      </w:r>
    </w:p>
    <w:p>
      <w:pPr>
        <w:pStyle w:val="6"/>
        <w:spacing w:before="0" w:after="0" w:line="360" w:lineRule="auto"/>
        <w:ind w:firstLine="482" w:firstLineChars="200"/>
        <w:rPr>
          <w:rFonts w:ascii="宋体" w:hAnsi="宋体"/>
          <w:color w:val="000000"/>
          <w:sz w:val="24"/>
          <w:szCs w:val="24"/>
        </w:rPr>
      </w:pPr>
      <w:bookmarkStart w:id="71" w:name="_Toc129767672"/>
      <w:bookmarkStart w:id="72" w:name="_Toc164842621"/>
      <w:r>
        <w:rPr>
          <w:rFonts w:hint="eastAsia" w:ascii="宋体" w:hAnsi="宋体"/>
          <w:color w:val="000000"/>
          <w:sz w:val="24"/>
          <w:szCs w:val="24"/>
        </w:rPr>
        <w:t>三、无效响应</w:t>
      </w:r>
      <w:bookmarkEnd w:id="71"/>
      <w:bookmarkEnd w:id="72"/>
    </w:p>
    <w:p>
      <w:pPr>
        <w:snapToGrid w:val="0"/>
        <w:spacing w:line="360" w:lineRule="auto"/>
        <w:ind w:firstLine="465"/>
        <w:rPr>
          <w:rFonts w:ascii="宋体" w:hAnsi="宋体"/>
          <w:color w:val="000000"/>
          <w:sz w:val="24"/>
          <w:szCs w:val="24"/>
        </w:rPr>
      </w:pPr>
      <w:r>
        <w:rPr>
          <w:rFonts w:hint="eastAsia" w:ascii="宋体" w:hAnsi="宋体"/>
          <w:color w:val="000000"/>
          <w:sz w:val="24"/>
          <w:szCs w:val="24"/>
        </w:rPr>
        <w:t>供应商发生以下条款情况之一者，视为无效响应：</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（一）供应商不符合规定的基本资格条件或特定资格条件的；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（二）供应商的法定代表人或其授权代表未参加比选；</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（三）供应商未按照竞争性比选文件的要求缴纳比选保证金；</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（四）供应商所提交的响应文件不按第七篇“响应文件编制要求”规定签字、盖章；</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（五）供应商的报价超过采购预算金额或最高限价的；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（六）单位负责人为同一人或者存在直接控股、管理关系的不同供应商，参加同一合同项下的政府采购活动的；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w:t>
      </w:r>
      <w:r>
        <w:rPr>
          <w:rFonts w:ascii="宋体" w:hAnsi="宋体"/>
          <w:color w:val="000000"/>
          <w:sz w:val="24"/>
          <w:szCs w:val="24"/>
        </w:rPr>
        <w:t>为采购项目提供整体设计、规范编制或者项目管理、监理、检测等服务的供应商，再参加</w:t>
      </w:r>
      <w:r>
        <w:rPr>
          <w:rFonts w:hint="eastAsia" w:ascii="宋体" w:hAnsi="宋体"/>
          <w:color w:val="000000"/>
          <w:sz w:val="24"/>
          <w:szCs w:val="24"/>
        </w:rPr>
        <w:t>该采购</w:t>
      </w:r>
      <w:r>
        <w:rPr>
          <w:rFonts w:ascii="宋体" w:hAnsi="宋体"/>
          <w:color w:val="000000"/>
          <w:sz w:val="24"/>
          <w:szCs w:val="24"/>
        </w:rPr>
        <w:t>项目的</w:t>
      </w:r>
      <w:r>
        <w:rPr>
          <w:rFonts w:hint="eastAsia" w:ascii="宋体" w:hAnsi="宋体"/>
          <w:color w:val="000000"/>
          <w:sz w:val="24"/>
          <w:szCs w:val="24"/>
        </w:rPr>
        <w:t>其他</w:t>
      </w:r>
      <w:r>
        <w:rPr>
          <w:rFonts w:ascii="宋体" w:hAnsi="宋体"/>
          <w:color w:val="000000"/>
          <w:sz w:val="24"/>
          <w:szCs w:val="24"/>
        </w:rPr>
        <w:t>采购活动</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（八）所提供的产品不符合必须强制执行的国家标准的；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（九）供应商的服务时间、服务质保期及比选有效期不满足竞争性比选文件要求的；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（十）供应商响应文件内容有与国家现行法律法规相违背的内容，或附有采购人无法接受的条件。</w:t>
      </w:r>
    </w:p>
    <w:p>
      <w:pPr>
        <w:pStyle w:val="6"/>
        <w:spacing w:before="0" w:after="0" w:line="360" w:lineRule="auto"/>
        <w:ind w:firstLine="482" w:firstLineChars="200"/>
        <w:rPr>
          <w:rFonts w:ascii="宋体" w:hAnsi="宋体"/>
          <w:color w:val="000000"/>
          <w:sz w:val="24"/>
          <w:szCs w:val="24"/>
        </w:rPr>
      </w:pPr>
      <w:bookmarkStart w:id="73" w:name="_Toc129767673"/>
      <w:bookmarkStart w:id="74" w:name="_Toc164842622"/>
      <w:r>
        <w:rPr>
          <w:rFonts w:hint="eastAsia" w:ascii="宋体" w:hAnsi="宋体"/>
          <w:color w:val="000000"/>
          <w:sz w:val="24"/>
          <w:szCs w:val="24"/>
        </w:rPr>
        <w:t>四、采购终止</w:t>
      </w:r>
      <w:bookmarkEnd w:id="73"/>
      <w:bookmarkEnd w:id="74"/>
    </w:p>
    <w:p>
      <w:pPr>
        <w:snapToGrid w:val="0"/>
        <w:spacing w:line="360" w:lineRule="auto"/>
        <w:ind w:firstLine="465"/>
        <w:rPr>
          <w:rFonts w:ascii="宋体" w:hAnsi="宋体"/>
          <w:color w:val="000000"/>
          <w:sz w:val="24"/>
          <w:szCs w:val="24"/>
        </w:rPr>
      </w:pPr>
      <w:r>
        <w:rPr>
          <w:rFonts w:hint="eastAsia" w:ascii="宋体" w:hAnsi="宋体"/>
          <w:color w:val="000000"/>
          <w:sz w:val="24"/>
          <w:szCs w:val="24"/>
        </w:rPr>
        <w:t>出现下列情形之一的，采购人或者采购代理机构应当终止竞争性比选采购活动，发布项目终止公告并说明原因，重新开展采购活动：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（一）因情况变化，不再符合规定的竞争性比选采购方式适用情形的；</w:t>
      </w:r>
    </w:p>
    <w:p>
      <w:pPr>
        <w:snapToGrid w:val="0"/>
        <w:spacing w:line="360" w:lineRule="auto"/>
        <w:ind w:firstLine="465"/>
        <w:rPr>
          <w:rFonts w:ascii="宋体" w:hAnsi="宋体"/>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r>
        <w:rPr>
          <w:rFonts w:hint="eastAsia" w:ascii="宋体" w:hAnsi="宋体"/>
          <w:color w:val="000000"/>
          <w:sz w:val="24"/>
          <w:szCs w:val="24"/>
        </w:rPr>
        <w:t>（二）出现影响采购公正的违法、违规行为的。</w:t>
      </w:r>
    </w:p>
    <w:p>
      <w:pPr>
        <w:pStyle w:val="5"/>
        <w:spacing w:line="360" w:lineRule="auto"/>
        <w:jc w:val="center"/>
        <w:rPr>
          <w:rFonts w:ascii="宋体" w:hAnsi="宋体" w:eastAsia="宋体"/>
          <w:sz w:val="36"/>
          <w:szCs w:val="30"/>
        </w:rPr>
      </w:pPr>
      <w:bookmarkStart w:id="75" w:name="_Toc164842623"/>
      <w:bookmarkStart w:id="76" w:name="_Toc102227313"/>
      <w:r>
        <w:rPr>
          <w:rFonts w:hint="eastAsia" w:ascii="宋体" w:hAnsi="宋体" w:eastAsia="宋体"/>
          <w:sz w:val="36"/>
          <w:szCs w:val="30"/>
        </w:rPr>
        <w:t>第五篇  供应商须知</w:t>
      </w:r>
      <w:bookmarkEnd w:id="75"/>
      <w:bookmarkEnd w:id="76"/>
    </w:p>
    <w:p>
      <w:pPr>
        <w:pStyle w:val="6"/>
        <w:spacing w:before="0" w:after="0" w:line="360" w:lineRule="auto"/>
        <w:ind w:firstLine="482" w:firstLineChars="200"/>
        <w:rPr>
          <w:rFonts w:ascii="宋体" w:hAnsi="宋体"/>
          <w:sz w:val="24"/>
          <w:szCs w:val="24"/>
        </w:rPr>
      </w:pPr>
      <w:bookmarkStart w:id="77" w:name="_Toc342913389"/>
      <w:bookmarkStart w:id="78" w:name="_Toc164842624"/>
      <w:r>
        <w:rPr>
          <w:rFonts w:hint="eastAsia" w:ascii="宋体" w:hAnsi="宋体"/>
          <w:sz w:val="24"/>
          <w:szCs w:val="24"/>
        </w:rPr>
        <w:t>一、比选费用</w:t>
      </w:r>
      <w:bookmarkEnd w:id="77"/>
      <w:bookmarkEnd w:id="78"/>
    </w:p>
    <w:p>
      <w:pPr>
        <w:pStyle w:val="199"/>
        <w:spacing w:line="360" w:lineRule="auto"/>
        <w:ind w:firstLine="480" w:firstLineChars="200"/>
        <w:rPr>
          <w:rFonts w:hAnsi="宋体"/>
          <w:sz w:val="24"/>
          <w:szCs w:val="24"/>
        </w:rPr>
      </w:pPr>
      <w:r>
        <w:rPr>
          <w:rFonts w:hint="eastAsia" w:hAnsi="宋体"/>
          <w:sz w:val="24"/>
          <w:szCs w:val="24"/>
        </w:rPr>
        <w:t>参与比选的供应商应承担其编制响应文件与递交响应文件所涉及的一切费用，不论比选结果如何，采购人和采购代理机构在任何情况下无义务也无责任承担这些费用。</w:t>
      </w:r>
    </w:p>
    <w:p>
      <w:pPr>
        <w:pStyle w:val="6"/>
        <w:tabs>
          <w:tab w:val="left" w:pos="2640"/>
        </w:tabs>
        <w:spacing w:before="0" w:after="0" w:line="360" w:lineRule="auto"/>
        <w:ind w:firstLine="482" w:firstLineChars="200"/>
        <w:rPr>
          <w:rFonts w:ascii="宋体" w:hAnsi="宋体"/>
          <w:sz w:val="24"/>
          <w:szCs w:val="24"/>
        </w:rPr>
      </w:pPr>
      <w:bookmarkStart w:id="79" w:name="_Toc342913391"/>
      <w:bookmarkStart w:id="80" w:name="_Toc164842625"/>
      <w:r>
        <w:rPr>
          <w:rFonts w:hint="eastAsia" w:ascii="宋体" w:hAnsi="宋体"/>
          <w:sz w:val="24"/>
          <w:szCs w:val="24"/>
        </w:rPr>
        <w:t>二、竞争性比选文件</w:t>
      </w:r>
      <w:bookmarkEnd w:id="79"/>
      <w:bookmarkEnd w:id="80"/>
    </w:p>
    <w:p>
      <w:pPr>
        <w:snapToGrid w:val="0"/>
        <w:spacing w:line="360" w:lineRule="auto"/>
        <w:ind w:firstLine="480" w:firstLineChars="200"/>
        <w:rPr>
          <w:rFonts w:ascii="宋体" w:hAnsi="宋体"/>
          <w:sz w:val="24"/>
          <w:szCs w:val="24"/>
        </w:rPr>
      </w:pPr>
      <w:r>
        <w:rPr>
          <w:rFonts w:hint="eastAsia" w:ascii="宋体" w:hAnsi="宋体"/>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宋体" w:hAnsi="宋体"/>
          <w:sz w:val="24"/>
          <w:szCs w:val="24"/>
        </w:rPr>
      </w:pPr>
      <w:r>
        <w:rPr>
          <w:rFonts w:hint="eastAsia" w:ascii="宋体" w:hAnsi="宋体"/>
          <w:sz w:val="24"/>
          <w:szCs w:val="24"/>
        </w:rPr>
        <w:t>（二）采购人（或采购代理机构）所作的一切有效的书面通知、修改及补充，都是竞争性比选文件不可分割的部分。</w:t>
      </w:r>
    </w:p>
    <w:p>
      <w:pPr>
        <w:snapToGrid w:val="0"/>
        <w:spacing w:line="360" w:lineRule="auto"/>
        <w:ind w:firstLine="480" w:firstLineChars="200"/>
        <w:rPr>
          <w:rFonts w:ascii="宋体" w:hAnsi="宋体"/>
          <w:sz w:val="24"/>
          <w:szCs w:val="24"/>
        </w:rPr>
      </w:pPr>
      <w:r>
        <w:rPr>
          <w:rFonts w:hint="eastAsia" w:ascii="宋体" w:hAnsi="宋体"/>
          <w:sz w:val="24"/>
          <w:szCs w:val="24"/>
        </w:rPr>
        <w:t>（三）竞争性比选文件的解释</w:t>
      </w:r>
    </w:p>
    <w:p>
      <w:pPr>
        <w:spacing w:line="360" w:lineRule="auto"/>
        <w:ind w:firstLine="480" w:firstLineChars="200"/>
        <w:rPr>
          <w:rFonts w:ascii="宋体" w:hAnsi="宋体"/>
          <w:sz w:val="24"/>
          <w:szCs w:val="24"/>
        </w:rPr>
      </w:pPr>
      <w:r>
        <w:rPr>
          <w:rFonts w:hint="eastAsia" w:ascii="宋体" w:hAnsi="宋体"/>
          <w:sz w:val="24"/>
          <w:szCs w:val="24"/>
        </w:rPr>
        <w:t>供应商如对竞争性比选文件有疑问，必须以书面形式在提交响应文件截止时间3个工作日前向采购人（或采购代理机构）要求澄清，采购人（或采购代理机构）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81" w:name="_Toc318166429"/>
      <w:bookmarkStart w:id="82" w:name="_Toc318159349"/>
      <w:bookmarkStart w:id="83" w:name="_Toc318159780"/>
      <w:bookmarkStart w:id="84" w:name="_Toc318159160"/>
    </w:p>
    <w:p>
      <w:pPr>
        <w:spacing w:line="360" w:lineRule="auto"/>
        <w:ind w:firstLine="480" w:firstLineChars="200"/>
        <w:rPr>
          <w:rFonts w:ascii="宋体" w:hAnsi="宋体"/>
          <w:sz w:val="24"/>
          <w:szCs w:val="24"/>
        </w:rPr>
      </w:pPr>
      <w:r>
        <w:rPr>
          <w:rFonts w:hint="eastAsia" w:ascii="宋体" w:hAnsi="宋体"/>
          <w:sz w:val="24"/>
          <w:szCs w:val="24"/>
        </w:rPr>
        <w:t>（四）评审的依据为竞争性比选文件和响应文件（含有效的书面承诺）。评审委员会判断响应文件对竞争性比选文件的响应，仅基于响应文件本身而不靠外部证据。</w:t>
      </w:r>
    </w:p>
    <w:bookmarkEnd w:id="81"/>
    <w:bookmarkEnd w:id="82"/>
    <w:bookmarkEnd w:id="83"/>
    <w:bookmarkEnd w:id="84"/>
    <w:p>
      <w:pPr>
        <w:pStyle w:val="6"/>
        <w:spacing w:before="0" w:after="0" w:line="360" w:lineRule="auto"/>
        <w:ind w:firstLine="482" w:firstLineChars="200"/>
        <w:rPr>
          <w:rFonts w:ascii="宋体" w:hAnsi="宋体"/>
          <w:sz w:val="24"/>
          <w:szCs w:val="24"/>
        </w:rPr>
      </w:pPr>
      <w:bookmarkStart w:id="85" w:name="_Toc102227318"/>
      <w:bookmarkStart w:id="86" w:name="_Toc342913392"/>
      <w:bookmarkStart w:id="87" w:name="_Toc164842626"/>
      <w:bookmarkStart w:id="88" w:name="_Toc179714297"/>
      <w:r>
        <w:rPr>
          <w:rFonts w:hint="eastAsia" w:ascii="宋体" w:hAnsi="宋体"/>
          <w:sz w:val="24"/>
          <w:szCs w:val="24"/>
        </w:rPr>
        <w:t>三、比选要求</w:t>
      </w:r>
      <w:bookmarkEnd w:id="85"/>
      <w:bookmarkEnd w:id="86"/>
      <w:bookmarkEnd w:id="87"/>
      <w:bookmarkEnd w:id="88"/>
    </w:p>
    <w:p>
      <w:pPr>
        <w:spacing w:line="360" w:lineRule="auto"/>
        <w:ind w:firstLine="480" w:firstLineChars="200"/>
        <w:rPr>
          <w:rFonts w:ascii="宋体" w:hAnsi="宋体"/>
          <w:sz w:val="24"/>
          <w:szCs w:val="24"/>
        </w:rPr>
      </w:pPr>
      <w:r>
        <w:rPr>
          <w:rFonts w:hint="eastAsia" w:ascii="宋体" w:hAnsi="宋体"/>
          <w:sz w:val="24"/>
          <w:szCs w:val="24"/>
        </w:rPr>
        <w:t>（一）响应文件</w:t>
      </w:r>
    </w:p>
    <w:p>
      <w:pPr>
        <w:spacing w:line="360" w:lineRule="auto"/>
        <w:ind w:firstLine="480" w:firstLineChars="200"/>
        <w:rPr>
          <w:rFonts w:ascii="宋体" w:hAnsi="宋体"/>
          <w:sz w:val="24"/>
          <w:szCs w:val="24"/>
        </w:rPr>
      </w:pPr>
      <w:r>
        <w:rPr>
          <w:rFonts w:hint="eastAsia" w:ascii="宋体" w:hAnsi="宋体"/>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宋体" w:hAnsi="宋体"/>
          <w:sz w:val="24"/>
          <w:szCs w:val="24"/>
        </w:rPr>
      </w:pPr>
      <w:r>
        <w:rPr>
          <w:rFonts w:hint="eastAsia" w:ascii="宋体" w:hAnsi="宋体"/>
          <w:sz w:val="24"/>
          <w:szCs w:val="24"/>
        </w:rPr>
        <w:t>2.响应文件组成</w:t>
      </w:r>
    </w:p>
    <w:p>
      <w:pPr>
        <w:spacing w:line="360" w:lineRule="auto"/>
        <w:ind w:firstLine="480" w:firstLineChars="200"/>
        <w:rPr>
          <w:rFonts w:ascii="宋体" w:hAnsi="宋体"/>
          <w:sz w:val="24"/>
          <w:szCs w:val="24"/>
        </w:rPr>
      </w:pPr>
      <w:r>
        <w:rPr>
          <w:rFonts w:hint="eastAsia" w:ascii="宋体" w:hAnsi="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sz w:val="24"/>
          <w:szCs w:val="24"/>
        </w:rPr>
      </w:pPr>
      <w:r>
        <w:rPr>
          <w:rFonts w:hint="eastAsia" w:ascii="宋体" w:hAnsi="宋体"/>
          <w:sz w:val="24"/>
          <w:szCs w:val="24"/>
        </w:rPr>
        <w:t>（二）联合体</w:t>
      </w:r>
    </w:p>
    <w:p>
      <w:pPr>
        <w:spacing w:line="360" w:lineRule="auto"/>
        <w:ind w:firstLine="480" w:firstLineChars="200"/>
        <w:rPr>
          <w:rFonts w:ascii="宋体" w:hAnsi="宋体"/>
          <w:sz w:val="24"/>
          <w:szCs w:val="24"/>
        </w:rPr>
      </w:pPr>
      <w:r>
        <w:rPr>
          <w:rFonts w:hint="eastAsia" w:ascii="宋体" w:hAnsi="宋体"/>
          <w:sz w:val="24"/>
          <w:szCs w:val="24"/>
        </w:rPr>
        <w:t>本项目不接受联合体比选。</w:t>
      </w:r>
    </w:p>
    <w:p>
      <w:pPr>
        <w:spacing w:line="360" w:lineRule="auto"/>
        <w:ind w:firstLine="480" w:firstLineChars="200"/>
        <w:rPr>
          <w:rFonts w:ascii="宋体" w:hAnsi="宋体"/>
          <w:sz w:val="24"/>
          <w:szCs w:val="24"/>
        </w:rPr>
      </w:pPr>
      <w:r>
        <w:rPr>
          <w:rFonts w:hint="eastAsia" w:ascii="宋体" w:hAnsi="宋体"/>
          <w:sz w:val="24"/>
          <w:szCs w:val="24"/>
        </w:rPr>
        <w:t>（三）比选有效期：响应文件及有关承诺文件有效期为提交响应文件截止时间起90天。</w:t>
      </w:r>
    </w:p>
    <w:p>
      <w:pPr>
        <w:spacing w:line="360" w:lineRule="auto"/>
        <w:ind w:firstLine="480" w:firstLineChars="200"/>
        <w:rPr>
          <w:rFonts w:ascii="宋体" w:hAnsi="宋体"/>
          <w:sz w:val="24"/>
          <w:szCs w:val="24"/>
        </w:rPr>
      </w:pPr>
      <w:r>
        <w:rPr>
          <w:rFonts w:hint="eastAsia" w:ascii="宋体" w:hAnsi="宋体"/>
          <w:sz w:val="24"/>
          <w:szCs w:val="24"/>
        </w:rPr>
        <w:t>（四）比选保证金：</w:t>
      </w:r>
    </w:p>
    <w:p>
      <w:pPr>
        <w:spacing w:line="360" w:lineRule="auto"/>
        <w:ind w:firstLine="480" w:firstLineChars="200"/>
        <w:rPr>
          <w:rFonts w:ascii="宋体" w:hAnsi="宋体"/>
          <w:sz w:val="24"/>
          <w:szCs w:val="24"/>
        </w:rPr>
      </w:pPr>
      <w:r>
        <w:rPr>
          <w:rFonts w:hint="eastAsia" w:ascii="宋体" w:hAnsi="宋体"/>
          <w:sz w:val="24"/>
          <w:szCs w:val="24"/>
        </w:rPr>
        <w:t>1.供应商提交保证金金额和方式详见本文件第一篇“五、比选保证金”；</w:t>
      </w:r>
    </w:p>
    <w:p>
      <w:pPr>
        <w:spacing w:line="360" w:lineRule="auto"/>
        <w:ind w:firstLine="480" w:firstLineChars="200"/>
        <w:rPr>
          <w:rFonts w:ascii="宋体" w:hAnsi="宋体"/>
          <w:sz w:val="24"/>
          <w:szCs w:val="24"/>
        </w:rPr>
      </w:pPr>
      <w:r>
        <w:rPr>
          <w:rFonts w:hint="eastAsia" w:ascii="宋体" w:hAnsi="宋体"/>
          <w:sz w:val="24"/>
          <w:szCs w:val="24"/>
        </w:rPr>
        <w:t>2.发生以下情况之一者，比选保证金不予退还：</w:t>
      </w:r>
    </w:p>
    <w:p>
      <w:pPr>
        <w:spacing w:line="360" w:lineRule="auto"/>
        <w:ind w:firstLine="480" w:firstLineChars="200"/>
        <w:rPr>
          <w:rFonts w:ascii="宋体" w:hAnsi="宋体"/>
          <w:sz w:val="24"/>
          <w:szCs w:val="24"/>
        </w:rPr>
      </w:pPr>
      <w:r>
        <w:rPr>
          <w:rFonts w:hint="eastAsia" w:ascii="宋体" w:hAnsi="宋体"/>
          <w:sz w:val="24"/>
          <w:szCs w:val="24"/>
        </w:rPr>
        <w:t>2.1 供应商在提交响应文件截止时间后撤回响应文件的；</w:t>
      </w:r>
    </w:p>
    <w:p>
      <w:pPr>
        <w:spacing w:line="360" w:lineRule="auto"/>
        <w:ind w:firstLine="480" w:firstLineChars="200"/>
        <w:rPr>
          <w:rFonts w:ascii="宋体" w:hAnsi="宋体"/>
          <w:sz w:val="24"/>
          <w:szCs w:val="24"/>
        </w:rPr>
      </w:pPr>
      <w:r>
        <w:rPr>
          <w:rFonts w:hint="eastAsia" w:ascii="宋体" w:hAnsi="宋体"/>
          <w:sz w:val="24"/>
          <w:szCs w:val="24"/>
        </w:rPr>
        <w:t>2.2 供应商在响应文件中提供虚假材料的；</w:t>
      </w:r>
    </w:p>
    <w:p>
      <w:pPr>
        <w:spacing w:line="360" w:lineRule="auto"/>
        <w:ind w:firstLine="480" w:firstLineChars="200"/>
        <w:rPr>
          <w:rFonts w:ascii="宋体" w:hAnsi="宋体"/>
          <w:sz w:val="24"/>
          <w:szCs w:val="24"/>
        </w:rPr>
      </w:pPr>
      <w:r>
        <w:rPr>
          <w:rFonts w:hint="eastAsia" w:ascii="宋体" w:hAnsi="宋体"/>
          <w:sz w:val="24"/>
          <w:szCs w:val="24"/>
        </w:rPr>
        <w:t>2.3 除因不可抗力或竞争性比选文件认可的情形以外，成交供应商不与采购人签订合同的；</w:t>
      </w:r>
    </w:p>
    <w:p>
      <w:pPr>
        <w:spacing w:line="360" w:lineRule="auto"/>
        <w:ind w:firstLine="480" w:firstLineChars="200"/>
        <w:rPr>
          <w:rFonts w:ascii="宋体" w:hAnsi="宋体"/>
          <w:sz w:val="24"/>
          <w:szCs w:val="24"/>
        </w:rPr>
      </w:pPr>
      <w:r>
        <w:rPr>
          <w:rFonts w:hint="eastAsia" w:ascii="宋体" w:hAnsi="宋体"/>
          <w:sz w:val="24"/>
          <w:szCs w:val="24"/>
        </w:rPr>
        <w:t>2.4 供应商与采购人、其他供应商或者采购代理机构恶意串通的；</w:t>
      </w:r>
    </w:p>
    <w:p>
      <w:pPr>
        <w:spacing w:line="360" w:lineRule="auto"/>
        <w:ind w:firstLine="480" w:firstLineChars="200"/>
        <w:rPr>
          <w:rFonts w:ascii="宋体" w:hAnsi="宋体"/>
          <w:sz w:val="24"/>
          <w:szCs w:val="24"/>
        </w:rPr>
      </w:pPr>
      <w:r>
        <w:rPr>
          <w:rFonts w:hint="eastAsia" w:ascii="宋体" w:hAnsi="宋体"/>
          <w:sz w:val="24"/>
          <w:szCs w:val="24"/>
        </w:rPr>
        <w:t>2.5 成交供应商不按规定的时间或拒绝按成交状态签订合同。</w:t>
      </w:r>
    </w:p>
    <w:p>
      <w:pPr>
        <w:spacing w:line="360" w:lineRule="auto"/>
        <w:ind w:firstLine="480" w:firstLineChars="200"/>
        <w:rPr>
          <w:rFonts w:ascii="宋体" w:hAnsi="宋体"/>
          <w:sz w:val="24"/>
          <w:szCs w:val="24"/>
        </w:rPr>
      </w:pPr>
      <w:r>
        <w:rPr>
          <w:rFonts w:hint="eastAsia" w:ascii="宋体" w:hAnsi="宋体"/>
          <w:sz w:val="24"/>
          <w:szCs w:val="24"/>
        </w:rPr>
        <w:t>（四）修正错误</w:t>
      </w:r>
    </w:p>
    <w:p>
      <w:pPr>
        <w:spacing w:line="360" w:lineRule="auto"/>
        <w:ind w:firstLine="480" w:firstLineChars="200"/>
        <w:rPr>
          <w:rFonts w:ascii="宋体" w:hAnsi="宋体"/>
          <w:sz w:val="24"/>
          <w:szCs w:val="24"/>
        </w:rPr>
      </w:pPr>
      <w:r>
        <w:rPr>
          <w:rFonts w:hint="eastAsia" w:ascii="宋体" w:hAnsi="宋体"/>
          <w:sz w:val="24"/>
          <w:szCs w:val="24"/>
        </w:rPr>
        <w:t>1.若供应商所递交的响应文件或报价中的价格出现大写金额和小写金额不一致的错误，以大写金额修正为准。</w:t>
      </w:r>
    </w:p>
    <w:p>
      <w:pPr>
        <w:spacing w:line="360" w:lineRule="auto"/>
        <w:ind w:firstLine="480" w:firstLineChars="200"/>
        <w:rPr>
          <w:rFonts w:ascii="宋体" w:hAnsi="宋体"/>
          <w:sz w:val="24"/>
          <w:szCs w:val="24"/>
        </w:rPr>
      </w:pPr>
      <w:r>
        <w:rPr>
          <w:rFonts w:hint="eastAsia" w:ascii="宋体" w:hAnsi="宋体"/>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sz w:val="24"/>
          <w:szCs w:val="24"/>
        </w:rPr>
      </w:pPr>
      <w:r>
        <w:rPr>
          <w:rFonts w:hint="eastAsia" w:ascii="宋体" w:hAnsi="宋体"/>
          <w:sz w:val="24"/>
          <w:szCs w:val="24"/>
        </w:rPr>
        <w:t>（五）提交响应文件的份数和签署</w:t>
      </w:r>
    </w:p>
    <w:p>
      <w:pPr>
        <w:snapToGrid w:val="0"/>
        <w:spacing w:line="360" w:lineRule="auto"/>
        <w:ind w:firstLine="480" w:firstLineChars="200"/>
        <w:rPr>
          <w:rFonts w:ascii="宋体" w:hAnsi="宋体"/>
          <w:sz w:val="24"/>
          <w:szCs w:val="24"/>
        </w:rPr>
      </w:pPr>
      <w:r>
        <w:rPr>
          <w:rFonts w:hint="eastAsia" w:ascii="宋体" w:hAnsi="宋体"/>
          <w:sz w:val="24"/>
          <w:szCs w:val="24"/>
        </w:rPr>
        <w:t>1.响应文件一式四份，其中正本一份，副本二份，电子文档一份；副本可为正本的复印件，应与正本一致，如出现不一致情况以正本为准。</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宋体" w:hAnsi="宋体"/>
          <w:sz w:val="24"/>
          <w:szCs w:val="24"/>
        </w:rPr>
      </w:pPr>
      <w:r>
        <w:rPr>
          <w:rFonts w:hint="eastAsia" w:ascii="宋体" w:hAnsi="宋体"/>
          <w:sz w:val="24"/>
          <w:szCs w:val="24"/>
        </w:rPr>
        <w:t>（六）响应文件的递交</w:t>
      </w:r>
    </w:p>
    <w:p>
      <w:pPr>
        <w:snapToGrid w:val="0"/>
        <w:spacing w:line="360" w:lineRule="auto"/>
        <w:ind w:firstLine="480" w:firstLineChars="200"/>
        <w:rPr>
          <w:rFonts w:ascii="宋体" w:hAnsi="宋体"/>
          <w:sz w:val="24"/>
          <w:szCs w:val="24"/>
        </w:rPr>
      </w:pPr>
      <w:r>
        <w:rPr>
          <w:rFonts w:hint="eastAsia" w:ascii="宋体" w:hAnsi="宋体"/>
          <w:sz w:val="24"/>
          <w:szCs w:val="24"/>
        </w:rPr>
        <w:t>1.响应文件的密封与标记</w:t>
      </w:r>
    </w:p>
    <w:p>
      <w:pPr>
        <w:snapToGrid w:val="0"/>
        <w:spacing w:line="360" w:lineRule="auto"/>
        <w:ind w:firstLine="480" w:firstLineChars="200"/>
        <w:rPr>
          <w:rFonts w:ascii="宋体" w:hAnsi="宋体"/>
          <w:sz w:val="24"/>
          <w:szCs w:val="24"/>
        </w:rPr>
      </w:pPr>
      <w:r>
        <w:rPr>
          <w:rFonts w:hint="eastAsia" w:ascii="宋体" w:hAnsi="宋体"/>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pPr>
        <w:snapToGrid w:val="0"/>
        <w:spacing w:line="360" w:lineRule="auto"/>
        <w:ind w:firstLine="480" w:firstLineChars="200"/>
        <w:rPr>
          <w:rFonts w:ascii="宋体" w:hAnsi="宋体"/>
          <w:sz w:val="24"/>
          <w:szCs w:val="24"/>
        </w:rPr>
      </w:pPr>
      <w:r>
        <w:rPr>
          <w:rFonts w:hint="eastAsia" w:ascii="宋体" w:hAnsi="宋体"/>
          <w:sz w:val="24"/>
          <w:szCs w:val="24"/>
        </w:rPr>
        <w:t>响应文件的装订形式为</w:t>
      </w:r>
      <w:r>
        <w:rPr>
          <w:rFonts w:hint="eastAsia" w:ascii="宋体" w:hAnsi="宋体"/>
          <w:b/>
          <w:sz w:val="24"/>
          <w:szCs w:val="24"/>
        </w:rPr>
        <w:t>胶装</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2.响应文件递交截止时间：参阅采购邀请书。</w:t>
      </w:r>
    </w:p>
    <w:p>
      <w:pPr>
        <w:snapToGrid w:val="0"/>
        <w:spacing w:line="360" w:lineRule="auto"/>
        <w:ind w:firstLine="480" w:firstLineChars="200"/>
        <w:rPr>
          <w:rFonts w:ascii="宋体" w:hAnsi="宋体"/>
          <w:sz w:val="24"/>
          <w:szCs w:val="24"/>
        </w:rPr>
      </w:pPr>
      <w:r>
        <w:rPr>
          <w:rFonts w:hint="eastAsia" w:ascii="宋体" w:hAnsi="宋体"/>
          <w:sz w:val="24"/>
          <w:szCs w:val="24"/>
        </w:rPr>
        <w:t>3.响应文件语言：简体中文</w:t>
      </w:r>
    </w:p>
    <w:p>
      <w:pPr>
        <w:snapToGrid w:val="0"/>
        <w:spacing w:line="360" w:lineRule="auto"/>
        <w:ind w:firstLine="480" w:firstLineChars="200"/>
        <w:rPr>
          <w:rFonts w:ascii="宋体" w:hAnsi="宋体"/>
          <w:sz w:val="24"/>
          <w:szCs w:val="24"/>
        </w:rPr>
      </w:pPr>
      <w:r>
        <w:rPr>
          <w:rFonts w:hint="eastAsia" w:ascii="宋体" w:hAnsi="宋体"/>
          <w:sz w:val="24"/>
          <w:szCs w:val="24"/>
        </w:rPr>
        <w:t>（七）供应商参与人员</w:t>
      </w:r>
    </w:p>
    <w:p>
      <w:pPr>
        <w:snapToGrid w:val="0"/>
        <w:spacing w:line="360" w:lineRule="auto"/>
        <w:ind w:firstLine="480" w:firstLineChars="200"/>
        <w:rPr>
          <w:rFonts w:ascii="宋体" w:hAnsi="宋体"/>
          <w:sz w:val="24"/>
          <w:szCs w:val="24"/>
        </w:rPr>
      </w:pPr>
      <w:r>
        <w:rPr>
          <w:rFonts w:hint="eastAsia" w:ascii="宋体" w:hAnsi="宋体"/>
          <w:sz w:val="24"/>
          <w:szCs w:val="24"/>
        </w:rPr>
        <w:t>各个供应商可派1-2名代表参与比选，至少1人应为法定代表人或具有法定代表人授权委托书的授权代表。</w:t>
      </w:r>
    </w:p>
    <w:p>
      <w:pPr>
        <w:pStyle w:val="6"/>
        <w:spacing w:before="0" w:after="0" w:line="360" w:lineRule="auto"/>
        <w:ind w:firstLine="482" w:firstLineChars="200"/>
        <w:rPr>
          <w:rFonts w:ascii="宋体" w:hAnsi="宋体"/>
          <w:sz w:val="24"/>
          <w:szCs w:val="24"/>
        </w:rPr>
      </w:pPr>
      <w:bookmarkStart w:id="89" w:name="_Toc164842627"/>
      <w:r>
        <w:rPr>
          <w:rFonts w:hint="eastAsia" w:ascii="宋体" w:hAnsi="宋体"/>
          <w:sz w:val="24"/>
          <w:szCs w:val="24"/>
        </w:rPr>
        <w:t>四、成交供应商的确认和变更</w:t>
      </w:r>
      <w:bookmarkEnd w:id="89"/>
    </w:p>
    <w:p>
      <w:pPr>
        <w:snapToGrid w:val="0"/>
        <w:spacing w:line="360" w:lineRule="auto"/>
        <w:ind w:firstLine="480" w:firstLineChars="200"/>
        <w:rPr>
          <w:rFonts w:ascii="宋体" w:hAnsi="宋体"/>
          <w:sz w:val="24"/>
          <w:szCs w:val="24"/>
        </w:rPr>
      </w:pPr>
      <w:r>
        <w:rPr>
          <w:rFonts w:hint="eastAsia" w:ascii="宋体" w:hAnsi="宋体"/>
          <w:sz w:val="24"/>
          <w:szCs w:val="24"/>
        </w:rPr>
        <w:t>（一）成交供应商的确认</w:t>
      </w:r>
    </w:p>
    <w:p>
      <w:pPr>
        <w:snapToGrid w:val="0"/>
        <w:spacing w:line="360" w:lineRule="auto"/>
        <w:ind w:firstLine="480" w:firstLineChars="200"/>
        <w:rPr>
          <w:rFonts w:ascii="宋体" w:hAnsi="宋体"/>
          <w:sz w:val="24"/>
          <w:szCs w:val="24"/>
        </w:rPr>
      </w:pPr>
      <w:r>
        <w:rPr>
          <w:rFonts w:ascii="宋体" w:hAnsi="宋体"/>
          <w:sz w:val="24"/>
          <w:szCs w:val="24"/>
        </w:rPr>
        <w:t>采购代理机构应当在评审结束后2个工作日内将评审报告送采购人确认。采购人应当在收到评审报告后5个工作日内</w:t>
      </w:r>
      <w:r>
        <w:rPr>
          <w:rFonts w:hint="eastAsia" w:ascii="宋体" w:hAnsi="宋体"/>
          <w:sz w:val="24"/>
          <w:szCs w:val="24"/>
        </w:rPr>
        <w:t>，从评审报告提出的成交候选供应商中，按照排序由高到低的原则确定成交供应商，也可以书面授权评审委员会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sz w:val="24"/>
          <w:szCs w:val="24"/>
        </w:rPr>
      </w:pPr>
      <w:r>
        <w:rPr>
          <w:rFonts w:hint="eastAsia" w:ascii="宋体" w:hAnsi="宋体"/>
          <w:sz w:val="24"/>
          <w:szCs w:val="24"/>
        </w:rPr>
        <w:t>（二）成交供应商的变更</w:t>
      </w:r>
    </w:p>
    <w:p>
      <w:pPr>
        <w:snapToGrid w:val="0"/>
        <w:spacing w:line="360" w:lineRule="auto"/>
        <w:ind w:firstLine="480" w:firstLineChars="200"/>
        <w:rPr>
          <w:rFonts w:ascii="宋体" w:hAnsi="宋体"/>
          <w:sz w:val="24"/>
          <w:szCs w:val="24"/>
        </w:rPr>
      </w:pPr>
      <w:r>
        <w:rPr>
          <w:rFonts w:hint="eastAsia" w:ascii="宋体" w:hAnsi="宋体"/>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宋体" w:hAnsi="宋体"/>
          <w:sz w:val="24"/>
          <w:szCs w:val="24"/>
        </w:rPr>
      </w:pPr>
      <w:r>
        <w:rPr>
          <w:rFonts w:hint="eastAsia" w:ascii="宋体" w:hAnsi="宋体"/>
          <w:sz w:val="24"/>
          <w:szCs w:val="24"/>
        </w:rPr>
        <w:t>2.成交供应商无充分理由放弃成交的，采购人将会同采购代理机构把相关情况报财政部门，财政部门将根据相关法律法规的规定对违规供应商进行处罚。</w:t>
      </w:r>
    </w:p>
    <w:p>
      <w:pPr>
        <w:pStyle w:val="6"/>
        <w:spacing w:before="0" w:after="0" w:line="360" w:lineRule="auto"/>
        <w:ind w:firstLine="482" w:firstLineChars="200"/>
        <w:rPr>
          <w:rFonts w:ascii="宋体" w:hAnsi="宋体"/>
          <w:sz w:val="24"/>
          <w:szCs w:val="24"/>
        </w:rPr>
      </w:pPr>
      <w:bookmarkStart w:id="90" w:name="_Toc102227321"/>
      <w:bookmarkStart w:id="91" w:name="_Toc342913395"/>
      <w:bookmarkStart w:id="92" w:name="_Toc164842628"/>
      <w:r>
        <w:rPr>
          <w:rFonts w:hint="eastAsia" w:ascii="宋体" w:hAnsi="宋体"/>
          <w:sz w:val="24"/>
          <w:szCs w:val="24"/>
        </w:rPr>
        <w:t>五、成交通知</w:t>
      </w:r>
      <w:bookmarkEnd w:id="90"/>
      <w:bookmarkEnd w:id="91"/>
      <w:bookmarkEnd w:id="92"/>
    </w:p>
    <w:p>
      <w:pPr>
        <w:spacing w:line="360" w:lineRule="auto"/>
        <w:ind w:firstLine="480" w:firstLineChars="200"/>
        <w:rPr>
          <w:rFonts w:ascii="宋体" w:hAnsi="宋体"/>
          <w:sz w:val="24"/>
          <w:szCs w:val="24"/>
        </w:rPr>
      </w:pPr>
      <w:r>
        <w:rPr>
          <w:rFonts w:hint="eastAsia" w:ascii="宋体" w:hAnsi="宋体"/>
          <w:sz w:val="24"/>
          <w:szCs w:val="24"/>
        </w:rPr>
        <w:t>（一）成交供应商确定后，采购代理机构将在重庆市人民政府口岸和物流办公室官网（http://zfkawlb.cq.gov.cn/）发布成交结果公告。</w:t>
      </w:r>
    </w:p>
    <w:p>
      <w:pPr>
        <w:spacing w:line="360" w:lineRule="auto"/>
        <w:ind w:firstLine="480" w:firstLineChars="200"/>
        <w:rPr>
          <w:rFonts w:ascii="宋体" w:hAnsi="宋体"/>
          <w:sz w:val="24"/>
          <w:szCs w:val="24"/>
        </w:rPr>
      </w:pPr>
      <w:r>
        <w:rPr>
          <w:rFonts w:hint="eastAsia" w:ascii="宋体" w:hAnsi="宋体"/>
          <w:sz w:val="24"/>
          <w:szCs w:val="24"/>
        </w:rPr>
        <w:t>（二）结果公告期结束后，采购代理机构将以书面形式发出《成交通知书》。《成交通知书》一经发出即发生法律效力。</w:t>
      </w:r>
    </w:p>
    <w:p>
      <w:pPr>
        <w:spacing w:line="360" w:lineRule="auto"/>
        <w:ind w:firstLine="480" w:firstLineChars="200"/>
        <w:rPr>
          <w:rFonts w:ascii="宋体" w:hAnsi="宋体"/>
          <w:sz w:val="24"/>
          <w:szCs w:val="24"/>
        </w:rPr>
      </w:pPr>
      <w:r>
        <w:rPr>
          <w:rFonts w:hint="eastAsia" w:ascii="宋体" w:hAnsi="宋体"/>
          <w:sz w:val="24"/>
          <w:szCs w:val="24"/>
        </w:rPr>
        <w:t>（三）《成交通知书》将作为签订合同的依据。</w:t>
      </w:r>
    </w:p>
    <w:p>
      <w:pPr>
        <w:spacing w:line="360" w:lineRule="auto"/>
        <w:ind w:firstLine="480" w:firstLineChars="200"/>
        <w:rPr>
          <w:rFonts w:ascii="宋体" w:hAnsi="宋体"/>
        </w:rPr>
      </w:pPr>
      <w:r>
        <w:rPr>
          <w:rFonts w:hint="eastAsia" w:ascii="宋体" w:hAnsi="宋体"/>
          <w:sz w:val="24"/>
          <w:szCs w:val="24"/>
        </w:rPr>
        <w:t>（四）如有供应商对成交结果提出质疑的，在质疑处理完毕后发出成交通知书。</w:t>
      </w:r>
    </w:p>
    <w:p>
      <w:pPr>
        <w:pStyle w:val="6"/>
        <w:spacing w:before="0" w:after="0" w:line="360" w:lineRule="auto"/>
        <w:ind w:firstLine="482" w:firstLineChars="200"/>
        <w:rPr>
          <w:rFonts w:ascii="宋体" w:hAnsi="宋体"/>
          <w:sz w:val="24"/>
          <w:szCs w:val="24"/>
        </w:rPr>
      </w:pPr>
      <w:bookmarkStart w:id="93" w:name="_Toc164842629"/>
      <w:r>
        <w:rPr>
          <w:rFonts w:hint="eastAsia" w:ascii="宋体" w:hAnsi="宋体"/>
          <w:sz w:val="24"/>
          <w:szCs w:val="24"/>
        </w:rPr>
        <w:t>六、关于质疑和投诉</w:t>
      </w:r>
      <w:bookmarkEnd w:id="93"/>
    </w:p>
    <w:p>
      <w:pPr>
        <w:spacing w:line="360" w:lineRule="auto"/>
        <w:ind w:firstLine="480" w:firstLineChars="200"/>
        <w:rPr>
          <w:rFonts w:ascii="宋体" w:hAnsi="宋体"/>
          <w:sz w:val="24"/>
          <w:szCs w:val="24"/>
        </w:rPr>
      </w:pPr>
      <w:r>
        <w:rPr>
          <w:rFonts w:hint="eastAsia" w:ascii="宋体" w:hAnsi="宋体"/>
          <w:sz w:val="24"/>
          <w:szCs w:val="24"/>
        </w:rPr>
        <w:t>（一）质疑</w:t>
      </w:r>
    </w:p>
    <w:p>
      <w:pPr>
        <w:spacing w:line="360" w:lineRule="auto"/>
        <w:ind w:firstLine="570"/>
        <w:rPr>
          <w:rFonts w:ascii="宋体" w:hAnsi="宋体"/>
          <w:sz w:val="24"/>
          <w:szCs w:val="24"/>
        </w:rPr>
      </w:pPr>
      <w:r>
        <w:rPr>
          <w:rFonts w:hint="eastAsia" w:ascii="宋体" w:hAnsi="宋体"/>
          <w:sz w:val="24"/>
          <w:szCs w:val="24"/>
        </w:rPr>
        <w:t>供应商认为比选文件、采购过程和成交结果使自己的权益收到伤害的，可向采购人或采购代理机构以书面形式提出质疑。</w:t>
      </w:r>
    </w:p>
    <w:p>
      <w:pPr>
        <w:spacing w:line="360" w:lineRule="auto"/>
        <w:ind w:firstLine="570"/>
        <w:rPr>
          <w:rFonts w:ascii="宋体" w:hAnsi="宋体"/>
          <w:sz w:val="24"/>
          <w:szCs w:val="24"/>
        </w:rPr>
      </w:pPr>
      <w:r>
        <w:rPr>
          <w:rFonts w:hint="eastAsia" w:ascii="宋体" w:hAnsi="宋体"/>
          <w:sz w:val="24"/>
          <w:szCs w:val="24"/>
        </w:rPr>
        <w:t>提出质疑的应当是参与所质疑项目采购活动的供应商。</w:t>
      </w:r>
    </w:p>
    <w:p>
      <w:pPr>
        <w:spacing w:line="360" w:lineRule="auto"/>
        <w:ind w:firstLine="570"/>
        <w:rPr>
          <w:rFonts w:ascii="宋体" w:hAnsi="宋体"/>
          <w:sz w:val="24"/>
          <w:szCs w:val="24"/>
        </w:rPr>
      </w:pPr>
      <w:r>
        <w:rPr>
          <w:rFonts w:hint="eastAsia" w:ascii="宋体" w:hAnsi="宋体"/>
          <w:sz w:val="24"/>
          <w:szCs w:val="24"/>
        </w:rPr>
        <w:t>1.质疑内容、时限</w:t>
      </w:r>
    </w:p>
    <w:p>
      <w:pPr>
        <w:spacing w:line="360" w:lineRule="auto"/>
        <w:ind w:firstLine="570"/>
        <w:rPr>
          <w:rFonts w:ascii="宋体" w:hAnsi="宋体"/>
          <w:sz w:val="24"/>
          <w:szCs w:val="24"/>
        </w:rPr>
      </w:pPr>
      <w:r>
        <w:rPr>
          <w:rFonts w:hint="eastAsia" w:ascii="宋体" w:hAnsi="宋体"/>
          <w:sz w:val="24"/>
          <w:szCs w:val="24"/>
        </w:rPr>
        <w:t>1.1供应商认为比选文件、采购过程、成交结果使自己的权益受到损害的，可以在知道或者应知其权益受到损害之日起7个工作日内，以书面形式向采购人、采购代理机构提出质疑。</w:t>
      </w:r>
    </w:p>
    <w:p>
      <w:pPr>
        <w:spacing w:line="360" w:lineRule="auto"/>
        <w:ind w:firstLine="570"/>
        <w:rPr>
          <w:rFonts w:ascii="宋体" w:hAnsi="宋体"/>
          <w:sz w:val="24"/>
          <w:szCs w:val="24"/>
        </w:rPr>
      </w:pPr>
      <w:r>
        <w:rPr>
          <w:rFonts w:hint="eastAsia" w:ascii="宋体" w:hAnsi="宋体"/>
          <w:sz w:val="24"/>
          <w:szCs w:val="24"/>
        </w:rPr>
        <w:t>1.2 供应商提出质疑应当提交质疑函和必要的证明材料，质疑函应当包括下列内容：</w:t>
      </w:r>
    </w:p>
    <w:p>
      <w:pPr>
        <w:spacing w:line="360" w:lineRule="auto"/>
        <w:ind w:firstLine="570"/>
        <w:rPr>
          <w:rFonts w:ascii="宋体" w:hAnsi="宋体"/>
          <w:sz w:val="24"/>
          <w:szCs w:val="24"/>
        </w:rPr>
      </w:pPr>
      <w:r>
        <w:rPr>
          <w:rFonts w:hint="eastAsia" w:ascii="宋体" w:hAnsi="宋体"/>
          <w:sz w:val="24"/>
          <w:szCs w:val="24"/>
        </w:rPr>
        <w:t>（1）供应商的姓名或者名称、地址、邮编、联系人及联系电话；</w:t>
      </w:r>
    </w:p>
    <w:p>
      <w:pPr>
        <w:spacing w:line="360" w:lineRule="auto"/>
        <w:ind w:firstLine="570"/>
        <w:rPr>
          <w:rFonts w:ascii="宋体" w:hAnsi="宋体"/>
          <w:sz w:val="24"/>
          <w:szCs w:val="24"/>
        </w:rPr>
      </w:pPr>
      <w:r>
        <w:rPr>
          <w:rFonts w:hint="eastAsia" w:ascii="宋体" w:hAnsi="宋体"/>
          <w:sz w:val="24"/>
          <w:szCs w:val="24"/>
        </w:rPr>
        <w:t>（2）质疑项目的名称、项目号以及招标项目编号；</w:t>
      </w:r>
    </w:p>
    <w:p>
      <w:pPr>
        <w:spacing w:line="360" w:lineRule="auto"/>
        <w:ind w:firstLine="570"/>
        <w:rPr>
          <w:rFonts w:ascii="宋体" w:hAnsi="宋体"/>
          <w:sz w:val="24"/>
          <w:szCs w:val="24"/>
        </w:rPr>
      </w:pPr>
      <w:r>
        <w:rPr>
          <w:rFonts w:hint="eastAsia" w:ascii="宋体" w:hAnsi="宋体"/>
          <w:sz w:val="24"/>
          <w:szCs w:val="24"/>
        </w:rPr>
        <w:t>（3）具体、明确的质疑事项和与质疑事项相关的请求；</w:t>
      </w:r>
    </w:p>
    <w:p>
      <w:pPr>
        <w:spacing w:line="360" w:lineRule="auto"/>
        <w:ind w:firstLine="570"/>
        <w:rPr>
          <w:rFonts w:ascii="宋体" w:hAnsi="宋体"/>
          <w:sz w:val="24"/>
          <w:szCs w:val="24"/>
        </w:rPr>
      </w:pPr>
      <w:r>
        <w:rPr>
          <w:rFonts w:hint="eastAsia" w:ascii="宋体" w:hAnsi="宋体"/>
          <w:sz w:val="24"/>
          <w:szCs w:val="24"/>
        </w:rPr>
        <w:t>（4）事实依据；</w:t>
      </w:r>
    </w:p>
    <w:p>
      <w:pPr>
        <w:spacing w:line="360" w:lineRule="auto"/>
        <w:ind w:firstLine="570"/>
        <w:rPr>
          <w:rFonts w:ascii="宋体" w:hAnsi="宋体"/>
          <w:sz w:val="24"/>
          <w:szCs w:val="24"/>
        </w:rPr>
      </w:pPr>
      <w:r>
        <w:rPr>
          <w:rFonts w:hint="eastAsia" w:ascii="宋体" w:hAnsi="宋体"/>
          <w:sz w:val="24"/>
          <w:szCs w:val="24"/>
        </w:rPr>
        <w:t>（5）必要的法律依据；</w:t>
      </w:r>
    </w:p>
    <w:p>
      <w:pPr>
        <w:spacing w:line="360" w:lineRule="auto"/>
        <w:ind w:firstLine="570"/>
        <w:rPr>
          <w:rFonts w:ascii="宋体" w:hAnsi="宋体"/>
          <w:sz w:val="24"/>
          <w:szCs w:val="24"/>
        </w:rPr>
      </w:pPr>
      <w:r>
        <w:rPr>
          <w:rFonts w:hint="eastAsia" w:ascii="宋体" w:hAnsi="宋体"/>
          <w:sz w:val="24"/>
          <w:szCs w:val="24"/>
        </w:rPr>
        <w:t>（6）提出质疑的日期；</w:t>
      </w:r>
    </w:p>
    <w:p>
      <w:pPr>
        <w:spacing w:line="360" w:lineRule="auto"/>
        <w:ind w:firstLine="570"/>
        <w:rPr>
          <w:rFonts w:ascii="宋体" w:hAnsi="宋体"/>
          <w:sz w:val="24"/>
          <w:szCs w:val="24"/>
        </w:rPr>
      </w:pPr>
      <w:r>
        <w:rPr>
          <w:rFonts w:hint="eastAsia" w:ascii="宋体" w:hAnsi="宋体"/>
          <w:sz w:val="24"/>
          <w:szCs w:val="24"/>
        </w:rPr>
        <w:t>（7）营业执照（或事业单位法人证书，或个体工商户营业执照或有效的自然人身份证明、组织机构代码证）复印件；</w:t>
      </w:r>
    </w:p>
    <w:p>
      <w:pPr>
        <w:spacing w:line="360" w:lineRule="auto"/>
        <w:ind w:firstLine="570"/>
        <w:rPr>
          <w:rFonts w:ascii="宋体" w:hAnsi="宋体"/>
          <w:sz w:val="24"/>
          <w:szCs w:val="24"/>
        </w:rPr>
      </w:pPr>
      <w:r>
        <w:rPr>
          <w:rFonts w:hint="eastAsia" w:ascii="宋体" w:hAnsi="宋体"/>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宋体" w:hAnsi="宋体"/>
          <w:sz w:val="24"/>
          <w:szCs w:val="24"/>
        </w:rPr>
      </w:pPr>
      <w:r>
        <w:rPr>
          <w:rFonts w:hint="eastAsia" w:ascii="宋体" w:hAnsi="宋体"/>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宋体" w:hAnsi="宋体"/>
          <w:sz w:val="24"/>
          <w:szCs w:val="24"/>
        </w:rPr>
      </w:pPr>
      <w:r>
        <w:rPr>
          <w:rFonts w:hint="eastAsia" w:ascii="宋体" w:hAnsi="宋体"/>
          <w:sz w:val="24"/>
          <w:szCs w:val="24"/>
        </w:rPr>
        <w:t>2.质疑答复</w:t>
      </w:r>
    </w:p>
    <w:p>
      <w:pPr>
        <w:spacing w:line="360" w:lineRule="auto"/>
        <w:ind w:firstLine="570"/>
        <w:rPr>
          <w:rFonts w:ascii="宋体" w:hAnsi="宋体"/>
          <w:sz w:val="24"/>
          <w:szCs w:val="24"/>
        </w:rPr>
      </w:pPr>
      <w:r>
        <w:rPr>
          <w:rFonts w:hint="eastAsia" w:ascii="宋体" w:hAnsi="宋体"/>
          <w:sz w:val="24"/>
          <w:szCs w:val="24"/>
        </w:rPr>
        <w:t>采购人、采购代理机构应当在收到供应商的书面质疑后七个工作日内作出答复，并以书面形式通知质疑供应商和其他有关供应商。</w:t>
      </w:r>
    </w:p>
    <w:p>
      <w:pPr>
        <w:spacing w:line="360" w:lineRule="auto"/>
        <w:ind w:firstLine="570"/>
        <w:rPr>
          <w:rFonts w:ascii="宋体" w:hAnsi="宋体"/>
          <w:sz w:val="24"/>
          <w:szCs w:val="24"/>
        </w:rPr>
      </w:pPr>
      <w:r>
        <w:rPr>
          <w:rFonts w:hint="eastAsia" w:ascii="宋体" w:hAnsi="宋体"/>
          <w:sz w:val="24"/>
          <w:szCs w:val="24"/>
        </w:rPr>
        <w:t>3.其他</w:t>
      </w:r>
    </w:p>
    <w:p>
      <w:pPr>
        <w:spacing w:line="360" w:lineRule="auto"/>
        <w:ind w:firstLine="570"/>
        <w:rPr>
          <w:rFonts w:ascii="宋体" w:hAnsi="宋体"/>
          <w:sz w:val="24"/>
          <w:szCs w:val="24"/>
        </w:rPr>
      </w:pPr>
      <w:r>
        <w:rPr>
          <w:rFonts w:hint="eastAsia" w:ascii="宋体" w:hAnsi="宋体"/>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宋体" w:hAnsi="宋体"/>
          <w:sz w:val="24"/>
          <w:szCs w:val="24"/>
        </w:rPr>
      </w:pPr>
      <w:r>
        <w:rPr>
          <w:rFonts w:hint="eastAsia" w:ascii="宋体" w:hAnsi="宋体"/>
          <w:sz w:val="24"/>
          <w:szCs w:val="24"/>
        </w:rPr>
        <w:t>3.2 质疑函范本可在财政部门户网站和中国政府采购网下载。</w:t>
      </w:r>
    </w:p>
    <w:p>
      <w:pPr>
        <w:spacing w:line="360" w:lineRule="auto"/>
        <w:ind w:firstLine="570"/>
        <w:rPr>
          <w:rFonts w:ascii="宋体" w:hAnsi="宋体"/>
          <w:sz w:val="24"/>
          <w:szCs w:val="24"/>
        </w:rPr>
      </w:pPr>
      <w:r>
        <w:rPr>
          <w:rFonts w:hint="eastAsia" w:ascii="宋体" w:hAnsi="宋体"/>
          <w:sz w:val="24"/>
          <w:szCs w:val="24"/>
        </w:rPr>
        <w:t>（二）投诉</w:t>
      </w:r>
    </w:p>
    <w:p>
      <w:pPr>
        <w:spacing w:line="360" w:lineRule="auto"/>
        <w:ind w:firstLine="570"/>
        <w:rPr>
          <w:rFonts w:ascii="宋体" w:hAnsi="宋体"/>
          <w:sz w:val="24"/>
          <w:szCs w:val="24"/>
        </w:rPr>
      </w:pPr>
      <w:r>
        <w:rPr>
          <w:rFonts w:ascii="宋体" w:hAnsi="宋体"/>
          <w:sz w:val="24"/>
          <w:szCs w:val="24"/>
        </w:rPr>
        <w:t>1.</w:t>
      </w:r>
      <w:r>
        <w:rPr>
          <w:rFonts w:hint="eastAsia" w:ascii="宋体" w:hAnsi="宋体"/>
          <w:sz w:val="24"/>
          <w:szCs w:val="24"/>
        </w:rPr>
        <w:t>供应商对采购人、采购代理机构的答复不满意，或者采购人、采购代理机构未在规定时间内作出答复的，可以在答复期满后</w:t>
      </w:r>
      <w:r>
        <w:rPr>
          <w:rFonts w:ascii="宋体" w:hAnsi="宋体"/>
          <w:sz w:val="24"/>
          <w:szCs w:val="24"/>
        </w:rPr>
        <w:t>15</w:t>
      </w:r>
      <w:r>
        <w:rPr>
          <w:rFonts w:hint="eastAsia" w:ascii="宋体" w:hAnsi="宋体"/>
          <w:sz w:val="24"/>
          <w:szCs w:val="24"/>
        </w:rPr>
        <w:t>个工作日内按照相关法律法规向财政部门提起投诉。</w:t>
      </w:r>
    </w:p>
    <w:p>
      <w:pPr>
        <w:spacing w:line="360" w:lineRule="auto"/>
        <w:ind w:firstLine="570"/>
        <w:rPr>
          <w:rFonts w:ascii="宋体" w:hAnsi="宋体"/>
          <w:sz w:val="24"/>
          <w:szCs w:val="24"/>
        </w:rPr>
      </w:pPr>
      <w:r>
        <w:rPr>
          <w:rFonts w:ascii="宋体" w:hAnsi="宋体"/>
          <w:sz w:val="24"/>
          <w:szCs w:val="24"/>
        </w:rPr>
        <w:t>2.</w:t>
      </w:r>
      <w:r>
        <w:rPr>
          <w:rFonts w:hint="eastAsia" w:ascii="宋体" w:hAnsi="宋体"/>
          <w:sz w:val="24"/>
          <w:szCs w:val="24"/>
        </w:rPr>
        <w:t>供应商应按照《政府采购质疑和投诉办法》（财政部令第</w:t>
      </w:r>
      <w:r>
        <w:rPr>
          <w:rFonts w:ascii="宋体" w:hAnsi="宋体"/>
          <w:sz w:val="24"/>
          <w:szCs w:val="24"/>
        </w:rPr>
        <w:t>94</w:t>
      </w:r>
      <w:r>
        <w:rPr>
          <w:rFonts w:hint="eastAsia" w:ascii="宋体" w:hAnsi="宋体"/>
          <w:sz w:val="24"/>
          <w:szCs w:val="24"/>
        </w:rPr>
        <w:t>号）及相关法律法规要求递交投诉书和必要的证明材料。投诉书范本可在财政部门户网站和中国政府采购网下载。</w:t>
      </w:r>
    </w:p>
    <w:p>
      <w:pPr>
        <w:spacing w:line="360" w:lineRule="auto"/>
        <w:ind w:firstLine="570"/>
        <w:rPr>
          <w:rFonts w:ascii="宋体" w:hAnsi="宋体"/>
          <w:sz w:val="24"/>
          <w:szCs w:val="24"/>
        </w:rPr>
      </w:pPr>
      <w:r>
        <w:rPr>
          <w:rFonts w:ascii="宋体" w:hAnsi="宋体"/>
          <w:sz w:val="24"/>
          <w:szCs w:val="24"/>
        </w:rPr>
        <w:t>3.</w:t>
      </w:r>
      <w:r>
        <w:rPr>
          <w:rFonts w:hint="eastAsia" w:ascii="宋体" w:hAnsi="宋体"/>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宋体" w:hAnsi="宋体"/>
          <w:sz w:val="24"/>
          <w:szCs w:val="24"/>
        </w:rPr>
      </w:pPr>
      <w:r>
        <w:rPr>
          <w:rFonts w:ascii="宋体" w:hAnsi="宋体"/>
          <w:sz w:val="24"/>
          <w:szCs w:val="24"/>
        </w:rPr>
        <w:t>4.</w:t>
      </w:r>
      <w:r>
        <w:rPr>
          <w:rFonts w:hint="eastAsia" w:ascii="宋体" w:hAnsi="宋体"/>
          <w:sz w:val="24"/>
          <w:szCs w:val="24"/>
        </w:rPr>
        <w:t>在确定受理投诉后，财政部门自受理投诉之日起</w:t>
      </w:r>
      <w:r>
        <w:rPr>
          <w:rFonts w:ascii="宋体" w:hAnsi="宋体"/>
          <w:sz w:val="24"/>
          <w:szCs w:val="24"/>
        </w:rPr>
        <w:t>30</w:t>
      </w:r>
      <w:r>
        <w:rPr>
          <w:rFonts w:hint="eastAsia" w:ascii="宋体" w:hAnsi="宋体"/>
          <w:sz w:val="24"/>
          <w:szCs w:val="24"/>
        </w:rPr>
        <w:t>个工作日内（需要检验、检测、鉴定、专家评审以及需要投诉人补正材料的，所需时间不计算在投诉处理期限内）对投诉事项做出处理决定。</w:t>
      </w:r>
    </w:p>
    <w:p>
      <w:pPr>
        <w:pStyle w:val="6"/>
        <w:spacing w:before="0" w:after="0" w:line="360" w:lineRule="auto"/>
        <w:ind w:firstLine="482" w:firstLineChars="200"/>
        <w:rPr>
          <w:rFonts w:ascii="宋体" w:hAnsi="宋体"/>
          <w:sz w:val="24"/>
          <w:szCs w:val="24"/>
        </w:rPr>
      </w:pPr>
      <w:bookmarkStart w:id="94" w:name="_Toc164842630"/>
      <w:r>
        <w:rPr>
          <w:rFonts w:hint="eastAsia" w:ascii="宋体" w:hAnsi="宋体"/>
          <w:sz w:val="24"/>
          <w:szCs w:val="24"/>
        </w:rPr>
        <w:t>七、采购代理服务费</w:t>
      </w:r>
      <w:bookmarkEnd w:id="94"/>
    </w:p>
    <w:p>
      <w:pPr>
        <w:spacing w:line="360" w:lineRule="auto"/>
        <w:ind w:firstLine="480" w:firstLineChars="200"/>
        <w:rPr>
          <w:rFonts w:ascii="宋体" w:hAnsi="宋体"/>
          <w:sz w:val="24"/>
        </w:rPr>
      </w:pPr>
      <w:r>
        <w:rPr>
          <w:rFonts w:hint="eastAsia" w:ascii="宋体" w:hAnsi="宋体"/>
          <w:sz w:val="24"/>
        </w:rPr>
        <w:t>（一）采购代理服务费标准</w:t>
      </w:r>
    </w:p>
    <w:p>
      <w:pPr>
        <w:spacing w:line="360" w:lineRule="auto"/>
        <w:ind w:firstLine="480" w:firstLineChars="200"/>
        <w:rPr>
          <w:rFonts w:ascii="宋体" w:hAnsi="宋体"/>
          <w:sz w:val="24"/>
        </w:rPr>
      </w:pPr>
      <w:r>
        <w:rPr>
          <w:rFonts w:hint="eastAsia" w:ascii="宋体" w:hAnsi="宋体"/>
          <w:sz w:val="24"/>
        </w:rPr>
        <w:t>供应商中标后向采购代理机构缴纳采购代理服务费，采购代理服务费的收取标准按照以下标准执行: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240" w:lineRule="atLeast"/>
              <w:jc w:val="right"/>
              <w:rPr>
                <w:rFonts w:ascii="宋体" w:hAnsi="宋体"/>
                <w:sz w:val="21"/>
                <w:szCs w:val="21"/>
              </w:rPr>
            </w:pPr>
            <w:r>
              <w:rPr>
                <w:rFonts w:hint="eastAsia" w:ascii="宋体" w:hAnsi="宋体"/>
                <w:sz w:val="21"/>
                <w:szCs w:val="21"/>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8++YPWAAAACAEAAA8AAAAAAAAA&#10;AQAgAAAAIgAAAGRycy9kb3ducmV2LnhtbFBLAQIUABQAAAAIAIdO4kCAkYRy2gEAAM0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sz w:val="21"/>
                <w:szCs w:val="21"/>
              </w:rPr>
              <w:t>招标类型</w:t>
            </w:r>
          </w:p>
          <w:p>
            <w:pPr>
              <w:spacing w:line="240" w:lineRule="atLeast"/>
              <w:rPr>
                <w:rFonts w:ascii="宋体" w:hAnsi="宋体"/>
                <w:sz w:val="21"/>
                <w:szCs w:val="21"/>
              </w:rPr>
            </w:pPr>
            <w:r>
              <w:rPr>
                <w:rFonts w:hint="eastAsia" w:ascii="宋体" w:hAnsi="宋体"/>
                <w:sz w:val="21"/>
                <w:szCs w:val="21"/>
              </w:rPr>
              <w:t>中标金额（万元）</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货物招标</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服务招标</w:t>
            </w:r>
          </w:p>
        </w:tc>
        <w:tc>
          <w:tcPr>
            <w:tcW w:w="2272" w:type="dxa"/>
            <w:vAlign w:val="center"/>
          </w:tcPr>
          <w:p>
            <w:pPr>
              <w:pStyle w:val="211"/>
              <w:widowControl w:val="0"/>
              <w:pBdr>
                <w:left w:val="none" w:color="auto" w:sz="0" w:space="0"/>
                <w:right w:val="none" w:color="auto" w:sz="0" w:space="0"/>
              </w:pBdr>
              <w:spacing w:before="0" w:beforeAutospacing="0" w:after="0" w:afterAutospacing="0" w:line="240" w:lineRule="atLeast"/>
              <w:rPr>
                <w:kern w:val="2"/>
                <w:sz w:val="21"/>
                <w:szCs w:val="21"/>
              </w:rPr>
            </w:pPr>
            <w:r>
              <w:rPr>
                <w:rFonts w:hint="eastAsia"/>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100（含）以下</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1.5%</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1.5%</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100以上-500</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1.1%</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0.8%</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500以上-1000</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0.8%</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0.45%</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0.55%</w:t>
            </w:r>
          </w:p>
        </w:tc>
      </w:tr>
    </w:tbl>
    <w:p>
      <w:pPr>
        <w:snapToGrid w:val="0"/>
        <w:spacing w:line="360" w:lineRule="auto"/>
        <w:ind w:firstLine="480" w:firstLineChars="200"/>
        <w:rPr>
          <w:rFonts w:ascii="宋体" w:hAnsi="宋体"/>
          <w:sz w:val="24"/>
        </w:rPr>
      </w:pPr>
      <w:r>
        <w:rPr>
          <w:rFonts w:hint="eastAsia" w:ascii="宋体" w:hAnsi="宋体"/>
          <w:sz w:val="24"/>
        </w:rPr>
        <w:t>注：采购代理服务收费按差额定率累进法计算。采购代理服务费按上表计算出不足3</w:t>
      </w:r>
      <w:r>
        <w:rPr>
          <w:rFonts w:ascii="宋体" w:hAnsi="宋体"/>
          <w:sz w:val="24"/>
        </w:rPr>
        <w:t>5</w:t>
      </w:r>
      <w:r>
        <w:rPr>
          <w:rFonts w:hint="eastAsia" w:ascii="宋体" w:hAnsi="宋体"/>
          <w:sz w:val="24"/>
        </w:rPr>
        <w:t>00元的，按3</w:t>
      </w:r>
      <w:r>
        <w:rPr>
          <w:rFonts w:ascii="宋体" w:hAnsi="宋体"/>
          <w:sz w:val="24"/>
        </w:rPr>
        <w:t>5</w:t>
      </w:r>
      <w:r>
        <w:rPr>
          <w:rFonts w:hint="eastAsia" w:ascii="宋体" w:hAnsi="宋体"/>
          <w:sz w:val="24"/>
        </w:rPr>
        <w:t>00元记取。</w:t>
      </w:r>
    </w:p>
    <w:p>
      <w:pPr>
        <w:snapToGrid w:val="0"/>
        <w:spacing w:line="360" w:lineRule="auto"/>
        <w:ind w:firstLine="480" w:firstLineChars="200"/>
        <w:rPr>
          <w:rFonts w:ascii="宋体" w:hAnsi="宋体"/>
          <w:sz w:val="24"/>
          <w:szCs w:val="24"/>
        </w:rPr>
      </w:pPr>
      <w:r>
        <w:rPr>
          <w:rFonts w:hint="eastAsia" w:ascii="宋体" w:hAnsi="宋体"/>
          <w:sz w:val="24"/>
          <w:szCs w:val="24"/>
        </w:rPr>
        <w:t>（二）采购代理服务费缴纳账户信息：</w:t>
      </w:r>
    </w:p>
    <w:p>
      <w:pPr>
        <w:snapToGrid w:val="0"/>
        <w:spacing w:line="360" w:lineRule="auto"/>
        <w:ind w:firstLine="482" w:firstLineChars="200"/>
        <w:rPr>
          <w:rFonts w:ascii="宋体" w:hAnsi="宋体"/>
          <w:b/>
          <w:sz w:val="24"/>
          <w:szCs w:val="24"/>
        </w:rPr>
      </w:pPr>
      <w:r>
        <w:rPr>
          <w:rFonts w:hint="eastAsia" w:ascii="宋体" w:hAnsi="宋体"/>
          <w:b/>
          <w:sz w:val="24"/>
          <w:szCs w:val="24"/>
        </w:rPr>
        <w:t>户  名：重庆市中基致信招标代理有限公司</w:t>
      </w:r>
    </w:p>
    <w:p>
      <w:pPr>
        <w:snapToGrid w:val="0"/>
        <w:spacing w:line="360" w:lineRule="auto"/>
        <w:ind w:firstLine="482" w:firstLineChars="200"/>
        <w:rPr>
          <w:rFonts w:ascii="宋体" w:hAnsi="宋体"/>
          <w:b/>
          <w:sz w:val="24"/>
          <w:szCs w:val="24"/>
        </w:rPr>
      </w:pPr>
      <w:r>
        <w:rPr>
          <w:rFonts w:hint="eastAsia" w:ascii="宋体" w:hAnsi="宋体"/>
          <w:b/>
          <w:sz w:val="24"/>
          <w:szCs w:val="24"/>
        </w:rPr>
        <w:t>开户行：中国银行重庆江北支行</w:t>
      </w:r>
    </w:p>
    <w:p>
      <w:pPr>
        <w:snapToGrid w:val="0"/>
        <w:spacing w:line="360" w:lineRule="auto"/>
        <w:ind w:firstLine="482" w:firstLineChars="200"/>
        <w:rPr>
          <w:rFonts w:ascii="宋体" w:hAnsi="宋体"/>
          <w:b/>
          <w:sz w:val="24"/>
          <w:szCs w:val="24"/>
        </w:rPr>
      </w:pPr>
      <w:r>
        <w:rPr>
          <w:rFonts w:hint="eastAsia" w:ascii="宋体" w:hAnsi="宋体"/>
          <w:b/>
          <w:sz w:val="24"/>
          <w:szCs w:val="24"/>
        </w:rPr>
        <w:t>账  号：1144 6718 4234</w:t>
      </w:r>
    </w:p>
    <w:p>
      <w:pPr>
        <w:pStyle w:val="6"/>
        <w:spacing w:before="0" w:after="0" w:line="360" w:lineRule="auto"/>
        <w:ind w:firstLine="482" w:firstLineChars="200"/>
        <w:rPr>
          <w:rFonts w:ascii="宋体" w:hAnsi="宋体"/>
          <w:sz w:val="24"/>
          <w:szCs w:val="24"/>
        </w:rPr>
      </w:pPr>
      <w:bookmarkStart w:id="95" w:name="_Toc102227322"/>
      <w:bookmarkStart w:id="96" w:name="_Toc164842631"/>
      <w:bookmarkStart w:id="97" w:name="_Toc342913396"/>
      <w:bookmarkStart w:id="98" w:name="_Toc12789059"/>
      <w:bookmarkStart w:id="99" w:name="_Toc11641055"/>
      <w:r>
        <w:rPr>
          <w:rFonts w:hint="eastAsia" w:ascii="宋体" w:hAnsi="宋体"/>
          <w:sz w:val="24"/>
          <w:szCs w:val="24"/>
        </w:rPr>
        <w:t>八、签订</w:t>
      </w:r>
      <w:bookmarkEnd w:id="95"/>
      <w:r>
        <w:rPr>
          <w:rFonts w:hint="eastAsia" w:ascii="宋体" w:hAnsi="宋体"/>
          <w:sz w:val="24"/>
          <w:szCs w:val="24"/>
        </w:rPr>
        <w:t>合同</w:t>
      </w:r>
      <w:bookmarkEnd w:id="96"/>
      <w:bookmarkEnd w:id="97"/>
    </w:p>
    <w:p>
      <w:pPr>
        <w:spacing w:line="360" w:lineRule="auto"/>
        <w:ind w:firstLine="480" w:firstLineChars="200"/>
        <w:rPr>
          <w:rFonts w:ascii="宋体" w:hAnsi="宋体"/>
          <w:sz w:val="24"/>
          <w:szCs w:val="24"/>
        </w:rPr>
      </w:pPr>
      <w:r>
        <w:rPr>
          <w:rFonts w:hint="eastAsia" w:ascii="宋体" w:hAnsi="宋体"/>
          <w:sz w:val="24"/>
          <w:szCs w:val="24"/>
        </w:rPr>
        <w:t>（一）采购人与成交供应商应当在成交通知书发出之日起20日内，按照比选文件确定的合同文本以及技术和服务要求等事项签订政府采购合同。</w:t>
      </w:r>
    </w:p>
    <w:p>
      <w:pPr>
        <w:spacing w:line="360" w:lineRule="auto"/>
        <w:ind w:firstLine="480" w:firstLineChars="200"/>
        <w:rPr>
          <w:rFonts w:ascii="宋体" w:hAnsi="宋体"/>
          <w:sz w:val="24"/>
          <w:szCs w:val="24"/>
        </w:rPr>
      </w:pPr>
      <w:r>
        <w:rPr>
          <w:rFonts w:hint="eastAsia" w:ascii="宋体" w:hAnsi="宋体"/>
          <w:sz w:val="24"/>
          <w:szCs w:val="24"/>
        </w:rPr>
        <w:t>（二）竞争性比选文件、成交供应商的响应文件及有效承诺文件等，均为签订合同的依据。</w:t>
      </w:r>
    </w:p>
    <w:p>
      <w:pPr>
        <w:spacing w:line="360" w:lineRule="auto"/>
        <w:ind w:firstLine="480" w:firstLineChars="200"/>
        <w:rPr>
          <w:rFonts w:ascii="宋体" w:hAnsi="宋体"/>
          <w:sz w:val="24"/>
          <w:szCs w:val="24"/>
        </w:rPr>
      </w:pPr>
      <w:r>
        <w:rPr>
          <w:rFonts w:hint="eastAsia" w:ascii="宋体" w:hAnsi="宋体"/>
          <w:sz w:val="24"/>
          <w:szCs w:val="24"/>
        </w:rPr>
        <w:t>（三）如成交供应商放弃成交项目或在签订合同时擅自改变成交状态的，采购人将按照相关法律法规处理。</w:t>
      </w:r>
    </w:p>
    <w:p>
      <w:pPr>
        <w:spacing w:line="360" w:lineRule="auto"/>
        <w:ind w:firstLine="480" w:firstLineChars="200"/>
        <w:rPr>
          <w:rFonts w:ascii="宋体" w:hAnsi="宋体"/>
          <w:sz w:val="24"/>
          <w:szCs w:val="24"/>
        </w:rPr>
      </w:pPr>
      <w:r>
        <w:rPr>
          <w:rFonts w:hint="eastAsia" w:ascii="宋体" w:hAnsi="宋体"/>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宋体" w:hAnsi="宋体"/>
          <w:sz w:val="24"/>
          <w:szCs w:val="24"/>
        </w:rPr>
      </w:pPr>
      <w:r>
        <w:rPr>
          <w:rFonts w:hint="eastAsia" w:ascii="宋体" w:hAnsi="宋体"/>
          <w:sz w:val="24"/>
          <w:szCs w:val="24"/>
        </w:rPr>
        <w:t>（五）除不可抗力等因素外，成交通知书发出后，采购人改变成交结果，或者成交供应商拒绝签订政府采购合同的，应当承担相应的法律责任。</w:t>
      </w:r>
    </w:p>
    <w:p>
      <w:pPr>
        <w:pStyle w:val="5"/>
        <w:pageBreakBefore/>
        <w:spacing w:line="360" w:lineRule="auto"/>
        <w:jc w:val="center"/>
        <w:rPr>
          <w:rFonts w:ascii="宋体" w:hAnsi="宋体" w:eastAsia="宋体"/>
          <w:sz w:val="36"/>
          <w:szCs w:val="30"/>
        </w:rPr>
      </w:pPr>
      <w:bookmarkStart w:id="100" w:name="_Toc164842632"/>
      <w:r>
        <w:rPr>
          <w:rFonts w:hint="eastAsia" w:ascii="宋体" w:hAnsi="宋体" w:eastAsia="宋体"/>
          <w:sz w:val="36"/>
          <w:szCs w:val="30"/>
        </w:rPr>
        <w:t xml:space="preserve">第六篇  </w:t>
      </w:r>
      <w:bookmarkEnd w:id="98"/>
      <w:bookmarkEnd w:id="99"/>
      <w:r>
        <w:rPr>
          <w:rFonts w:hint="eastAsia" w:ascii="宋体" w:hAnsi="宋体" w:eastAsia="宋体"/>
          <w:sz w:val="36"/>
          <w:szCs w:val="30"/>
        </w:rPr>
        <w:t>合同草案条款</w:t>
      </w:r>
      <w:bookmarkEnd w:id="100"/>
    </w:p>
    <w:p>
      <w:pPr>
        <w:spacing w:line="360" w:lineRule="auto"/>
        <w:jc w:val="center"/>
        <w:rPr>
          <w:rFonts w:ascii="宋体" w:hAnsi="宋体"/>
          <w:b/>
          <w:sz w:val="44"/>
        </w:rPr>
      </w:pPr>
      <w:bookmarkStart w:id="101" w:name="_Hlt41879464"/>
      <w:bookmarkEnd w:id="101"/>
      <w:bookmarkStart w:id="102" w:name="_Toc23764521"/>
      <w:r>
        <w:rPr>
          <w:rFonts w:ascii="宋体" w:hAnsi="宋体"/>
          <w:b/>
          <w:sz w:val="44"/>
        </w:rPr>
        <w:t>重庆市政府采购合同</w:t>
      </w:r>
    </w:p>
    <w:p>
      <w:pPr>
        <w:spacing w:line="360" w:lineRule="auto"/>
        <w:jc w:val="center"/>
        <w:rPr>
          <w:rFonts w:ascii="宋体" w:hAnsi="宋体"/>
        </w:rPr>
      </w:pPr>
      <w:r>
        <w:rPr>
          <w:rFonts w:ascii="宋体" w:hAnsi="宋体"/>
        </w:rPr>
        <w:t>（项目编号：     ）</w:t>
      </w:r>
    </w:p>
    <w:p>
      <w:pPr>
        <w:spacing w:line="360" w:lineRule="auto"/>
        <w:rPr>
          <w:rFonts w:ascii="宋体" w:hAnsi="宋体"/>
          <w:sz w:val="24"/>
        </w:rPr>
      </w:pPr>
      <w:r>
        <w:rPr>
          <w:rFonts w:ascii="宋体" w:hAnsi="宋体"/>
          <w:sz w:val="24"/>
        </w:rPr>
        <w:t>甲方（需方）：___________________________      计价单位：____________</w:t>
      </w:r>
    </w:p>
    <w:p>
      <w:pPr>
        <w:spacing w:line="360" w:lineRule="auto"/>
        <w:rPr>
          <w:rFonts w:ascii="宋体" w:hAnsi="宋体"/>
          <w:sz w:val="24"/>
        </w:rPr>
      </w:pPr>
      <w:r>
        <w:rPr>
          <w:rFonts w:ascii="宋体" w:hAnsi="宋体"/>
          <w:sz w:val="24"/>
        </w:rPr>
        <w:t>乙方（供方）：___________________________      计量单位：_____________</w:t>
      </w:r>
    </w:p>
    <w:p>
      <w:pPr>
        <w:spacing w:line="360" w:lineRule="auto"/>
        <w:rPr>
          <w:rFonts w:ascii="宋体" w:hAnsi="宋体"/>
          <w:sz w:val="24"/>
        </w:rPr>
      </w:pPr>
    </w:p>
    <w:p>
      <w:pPr>
        <w:spacing w:line="360" w:lineRule="auto"/>
        <w:rPr>
          <w:rFonts w:ascii="宋体" w:hAnsi="宋体"/>
          <w:sz w:val="24"/>
        </w:rPr>
      </w:pPr>
      <w:r>
        <w:rPr>
          <w:rFonts w:ascii="宋体" w:hAnsi="宋体"/>
          <w:sz w:val="24"/>
        </w:rPr>
        <w:t>经双方协商一致，达成以下购销合同：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3071" w:type="dxa"/>
            <w:vAlign w:val="center"/>
          </w:tcPr>
          <w:p>
            <w:pPr>
              <w:spacing w:line="360" w:lineRule="auto"/>
              <w:jc w:val="center"/>
              <w:rPr>
                <w:rFonts w:ascii="宋体" w:hAnsi="宋体"/>
                <w:sz w:val="21"/>
                <w:szCs w:val="21"/>
              </w:rPr>
            </w:pPr>
            <w:r>
              <w:rPr>
                <w:rFonts w:hint="eastAsia" w:ascii="宋体" w:hAnsi="宋体"/>
                <w:sz w:val="21"/>
                <w:szCs w:val="21"/>
              </w:rPr>
              <w:t>项目类别</w:t>
            </w:r>
          </w:p>
        </w:tc>
        <w:tc>
          <w:tcPr>
            <w:tcW w:w="984" w:type="dxa"/>
            <w:vAlign w:val="center"/>
          </w:tcPr>
          <w:p>
            <w:pPr>
              <w:spacing w:line="360" w:lineRule="auto"/>
              <w:jc w:val="center"/>
              <w:rPr>
                <w:rFonts w:ascii="宋体" w:hAnsi="宋体"/>
                <w:sz w:val="21"/>
                <w:szCs w:val="21"/>
              </w:rPr>
            </w:pPr>
            <w:r>
              <w:rPr>
                <w:rFonts w:ascii="宋体" w:hAnsi="宋体"/>
                <w:sz w:val="21"/>
                <w:szCs w:val="21"/>
              </w:rPr>
              <w:t>数量</w:t>
            </w:r>
          </w:p>
        </w:tc>
        <w:tc>
          <w:tcPr>
            <w:tcW w:w="1298" w:type="dxa"/>
            <w:gridSpan w:val="2"/>
            <w:vAlign w:val="center"/>
          </w:tcPr>
          <w:p>
            <w:pPr>
              <w:spacing w:line="360" w:lineRule="auto"/>
              <w:jc w:val="center"/>
              <w:rPr>
                <w:rFonts w:ascii="宋体" w:hAnsi="宋体"/>
                <w:sz w:val="21"/>
                <w:szCs w:val="21"/>
              </w:rPr>
            </w:pPr>
            <w:r>
              <w:rPr>
                <w:rFonts w:ascii="宋体" w:hAnsi="宋体"/>
                <w:sz w:val="21"/>
                <w:szCs w:val="21"/>
              </w:rPr>
              <w:t>综合单价</w:t>
            </w:r>
          </w:p>
        </w:tc>
        <w:tc>
          <w:tcPr>
            <w:tcW w:w="1134" w:type="dxa"/>
            <w:vAlign w:val="center"/>
          </w:tcPr>
          <w:p>
            <w:pPr>
              <w:spacing w:line="360" w:lineRule="auto"/>
              <w:jc w:val="center"/>
              <w:rPr>
                <w:rFonts w:ascii="宋体" w:hAnsi="宋体"/>
                <w:sz w:val="21"/>
                <w:szCs w:val="21"/>
              </w:rPr>
            </w:pPr>
            <w:r>
              <w:rPr>
                <w:rFonts w:ascii="宋体" w:hAnsi="宋体"/>
                <w:sz w:val="21"/>
                <w:szCs w:val="21"/>
              </w:rPr>
              <w:t>总价</w:t>
            </w:r>
          </w:p>
        </w:tc>
        <w:tc>
          <w:tcPr>
            <w:tcW w:w="1559" w:type="dxa"/>
            <w:vAlign w:val="center"/>
          </w:tcPr>
          <w:p>
            <w:pPr>
              <w:spacing w:line="360" w:lineRule="auto"/>
              <w:jc w:val="center"/>
              <w:rPr>
                <w:rFonts w:ascii="宋体" w:hAnsi="宋体"/>
                <w:sz w:val="21"/>
                <w:szCs w:val="21"/>
              </w:rPr>
            </w:pPr>
            <w:r>
              <w:rPr>
                <w:rFonts w:hint="eastAsia" w:ascii="宋体" w:hAnsi="宋体"/>
                <w:sz w:val="21"/>
                <w:szCs w:val="21"/>
              </w:rPr>
              <w:t>服务</w:t>
            </w:r>
            <w:r>
              <w:rPr>
                <w:rFonts w:ascii="宋体" w:hAnsi="宋体"/>
                <w:sz w:val="21"/>
                <w:szCs w:val="21"/>
              </w:rPr>
              <w:t>时间</w:t>
            </w:r>
          </w:p>
        </w:tc>
        <w:tc>
          <w:tcPr>
            <w:tcW w:w="1567" w:type="dxa"/>
            <w:vAlign w:val="center"/>
          </w:tcPr>
          <w:p>
            <w:pPr>
              <w:spacing w:line="360" w:lineRule="auto"/>
              <w:jc w:val="center"/>
              <w:rPr>
                <w:rFonts w:ascii="宋体" w:hAnsi="宋体"/>
                <w:sz w:val="21"/>
                <w:szCs w:val="21"/>
              </w:rPr>
            </w:pPr>
            <w:r>
              <w:rPr>
                <w:rFonts w:hint="eastAsia" w:ascii="宋体" w:hAnsi="宋体"/>
                <w:sz w:val="21"/>
                <w:szCs w:val="21"/>
              </w:rPr>
              <w:t>服务</w:t>
            </w:r>
            <w:r>
              <w:rPr>
                <w:rFonts w:ascii="宋体" w:hAnsi="宋体"/>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sz w:val="21"/>
                <w:szCs w:val="21"/>
              </w:rPr>
            </w:pPr>
            <w:r>
              <w:rPr>
                <w:rFonts w:ascii="宋体" w:hAnsi="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sz w:val="21"/>
                <w:szCs w:val="21"/>
              </w:rPr>
            </w:pPr>
            <w:r>
              <w:rPr>
                <w:rFonts w:ascii="宋体" w:hAnsi="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tcPr>
          <w:p>
            <w:pPr>
              <w:spacing w:line="360" w:lineRule="auto"/>
              <w:rPr>
                <w:rFonts w:ascii="宋体" w:hAnsi="宋体"/>
                <w:sz w:val="21"/>
                <w:szCs w:val="21"/>
              </w:rPr>
            </w:pPr>
            <w:r>
              <w:rPr>
                <w:rFonts w:ascii="宋体" w:hAnsi="宋体"/>
                <w:sz w:val="21"/>
                <w:szCs w:val="21"/>
              </w:rPr>
              <w:t>一、质量要求和技术标准：</w:t>
            </w:r>
          </w:p>
          <w:p>
            <w:pPr>
              <w:spacing w:line="360" w:lineRule="auto"/>
              <w:rPr>
                <w:rFonts w:ascii="宋体" w:hAnsi="宋体"/>
                <w:sz w:val="21"/>
                <w:szCs w:val="21"/>
              </w:rPr>
            </w:pPr>
            <w:r>
              <w:rPr>
                <w:rFonts w:ascii="宋体" w:hAnsi="宋体"/>
                <w:sz w:val="21"/>
                <w:szCs w:val="21"/>
              </w:rPr>
              <w:t>1、服务措施：</w:t>
            </w:r>
          </w:p>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tcPr>
          <w:p>
            <w:pPr>
              <w:spacing w:line="360" w:lineRule="auto"/>
              <w:rPr>
                <w:rFonts w:ascii="宋体" w:hAnsi="宋体"/>
                <w:sz w:val="21"/>
                <w:szCs w:val="21"/>
              </w:rPr>
            </w:pPr>
            <w:r>
              <w:rPr>
                <w:rFonts w:hint="eastAsia" w:ascii="宋体" w:hAnsi="宋体"/>
                <w:sz w:val="21"/>
                <w:szCs w:val="21"/>
              </w:rPr>
              <w:t>二</w:t>
            </w:r>
            <w:r>
              <w:rPr>
                <w:rFonts w:ascii="宋体" w:hAnsi="宋体"/>
                <w:sz w:val="21"/>
                <w:szCs w:val="21"/>
              </w:rPr>
              <w:t>、验收标准、方法：</w:t>
            </w:r>
          </w:p>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sz w:val="21"/>
                <w:szCs w:val="21"/>
              </w:rPr>
            </w:pPr>
            <w:r>
              <w:rPr>
                <w:rFonts w:hint="eastAsia" w:ascii="宋体" w:hAnsi="宋体"/>
                <w:sz w:val="21"/>
                <w:szCs w:val="21"/>
              </w:rPr>
              <w:t>三</w:t>
            </w:r>
            <w:r>
              <w:rPr>
                <w:rFonts w:ascii="宋体" w:hAnsi="宋体"/>
                <w:sz w:val="21"/>
                <w:szCs w:val="21"/>
              </w:rPr>
              <w:t>、付款方式：</w:t>
            </w:r>
          </w:p>
          <w:p>
            <w:pPr>
              <w:pStyle w:val="33"/>
              <w:spacing w:line="360" w:lineRule="auto"/>
              <w:ind w:left="98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sz w:val="21"/>
                <w:szCs w:val="21"/>
              </w:rPr>
            </w:pPr>
            <w:r>
              <w:rPr>
                <w:rFonts w:hint="eastAsia" w:ascii="宋体" w:hAnsi="宋体"/>
                <w:sz w:val="21"/>
                <w:szCs w:val="21"/>
              </w:rPr>
              <w:t>四</w:t>
            </w:r>
            <w:r>
              <w:rPr>
                <w:rFonts w:ascii="宋体" w:hAnsi="宋体"/>
                <w:sz w:val="21"/>
                <w:szCs w:val="21"/>
              </w:rPr>
              <w:t>、违约责任：</w:t>
            </w:r>
          </w:p>
          <w:p>
            <w:pPr>
              <w:spacing w:line="360" w:lineRule="auto"/>
              <w:rPr>
                <w:rFonts w:ascii="宋体" w:hAnsi="宋体"/>
                <w:sz w:val="21"/>
                <w:szCs w:val="21"/>
              </w:rPr>
            </w:pPr>
            <w:r>
              <w:rPr>
                <w:rFonts w:ascii="宋体" w:hAnsi="宋体"/>
                <w:sz w:val="21"/>
                <w:szCs w:val="21"/>
              </w:rPr>
              <w:t>按《</w:t>
            </w:r>
            <w:r>
              <w:rPr>
                <w:rFonts w:hint="eastAsia" w:ascii="宋体" w:hAnsi="宋体"/>
                <w:sz w:val="21"/>
                <w:szCs w:val="21"/>
              </w:rPr>
              <w:t>民法典</w:t>
            </w:r>
            <w:r>
              <w:rPr>
                <w:rFonts w:ascii="宋体" w:hAnsi="宋体"/>
                <w:sz w:val="21"/>
                <w:szCs w:val="21"/>
              </w:rPr>
              <w:t>》、《政府采购法》执行，或按双方约定。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tcPr>
          <w:p>
            <w:pPr>
              <w:spacing w:line="360" w:lineRule="auto"/>
              <w:rPr>
                <w:rFonts w:ascii="宋体" w:hAnsi="宋体"/>
                <w:sz w:val="21"/>
                <w:szCs w:val="21"/>
              </w:rPr>
            </w:pPr>
            <w:r>
              <w:rPr>
                <w:rFonts w:hint="eastAsia" w:ascii="宋体" w:hAnsi="宋体"/>
                <w:sz w:val="21"/>
                <w:szCs w:val="21"/>
              </w:rPr>
              <w:t>五</w:t>
            </w:r>
            <w:r>
              <w:rPr>
                <w:rFonts w:ascii="宋体" w:hAnsi="宋体"/>
                <w:sz w:val="21"/>
                <w:szCs w:val="21"/>
              </w:rPr>
              <w:t>、其他约定事项：</w:t>
            </w:r>
          </w:p>
          <w:p>
            <w:pPr>
              <w:spacing w:line="360" w:lineRule="auto"/>
              <w:rPr>
                <w:rFonts w:ascii="宋体" w:hAnsi="宋体"/>
                <w:sz w:val="21"/>
                <w:szCs w:val="21"/>
              </w:rPr>
            </w:pPr>
            <w:r>
              <w:rPr>
                <w:rFonts w:ascii="宋体" w:hAnsi="宋体"/>
                <w:sz w:val="21"/>
                <w:szCs w:val="21"/>
              </w:rPr>
              <w:t>1、</w:t>
            </w:r>
            <w:r>
              <w:rPr>
                <w:rFonts w:hint="eastAsia" w:ascii="宋体" w:hAnsi="宋体"/>
                <w:sz w:val="21"/>
                <w:szCs w:val="21"/>
              </w:rPr>
              <w:t>比选文件</w:t>
            </w:r>
            <w:r>
              <w:rPr>
                <w:rFonts w:ascii="宋体" w:hAnsi="宋体"/>
                <w:sz w:val="21"/>
                <w:szCs w:val="21"/>
              </w:rPr>
              <w:t>及其补遗文件、</w:t>
            </w:r>
            <w:r>
              <w:rPr>
                <w:rFonts w:hint="eastAsia" w:ascii="宋体" w:hAnsi="宋体"/>
                <w:sz w:val="21"/>
                <w:szCs w:val="21"/>
              </w:rPr>
              <w:t>投标</w:t>
            </w:r>
            <w:r>
              <w:rPr>
                <w:rFonts w:ascii="宋体" w:hAnsi="宋体"/>
                <w:sz w:val="21"/>
                <w:szCs w:val="21"/>
              </w:rPr>
              <w:t>文件和承诺是本合同不可分割的部分。</w:t>
            </w:r>
          </w:p>
          <w:p>
            <w:pPr>
              <w:spacing w:line="360" w:lineRule="auto"/>
              <w:ind w:left="360"/>
              <w:rPr>
                <w:rFonts w:ascii="宋体" w:hAnsi="宋体"/>
                <w:sz w:val="21"/>
                <w:szCs w:val="21"/>
              </w:rPr>
            </w:pPr>
            <w:r>
              <w:rPr>
                <w:rFonts w:ascii="宋体" w:hAnsi="宋体"/>
                <w:sz w:val="21"/>
                <w:szCs w:val="21"/>
              </w:rPr>
              <w:t>本合同如发生争议由双方协商解决，协商不成向需方所在人民法院提请诉讼。</w:t>
            </w:r>
          </w:p>
          <w:p>
            <w:pPr>
              <w:spacing w:line="360" w:lineRule="auto"/>
              <w:ind w:left="360"/>
              <w:rPr>
                <w:rFonts w:ascii="宋体" w:hAnsi="宋体"/>
                <w:sz w:val="21"/>
                <w:szCs w:val="21"/>
              </w:rPr>
            </w:pPr>
            <w:r>
              <w:rPr>
                <w:rFonts w:ascii="宋体" w:hAnsi="宋体"/>
                <w:sz w:val="21"/>
                <w:szCs w:val="21"/>
              </w:rPr>
              <w:t>本合同一式__份， 需方__份，供方__份，具同等法律效力。</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360" w:lineRule="auto"/>
              <w:rPr>
                <w:rFonts w:ascii="宋体" w:hAnsi="宋体"/>
                <w:sz w:val="21"/>
                <w:szCs w:val="21"/>
              </w:rPr>
            </w:pPr>
            <w:r>
              <w:rPr>
                <w:rFonts w:ascii="宋体" w:hAnsi="宋体"/>
                <w:sz w:val="21"/>
                <w:szCs w:val="21"/>
              </w:rPr>
              <w:t>需方：</w:t>
            </w:r>
          </w:p>
          <w:p>
            <w:pPr>
              <w:spacing w:line="360" w:lineRule="auto"/>
              <w:rPr>
                <w:rFonts w:ascii="宋体" w:hAnsi="宋体"/>
                <w:sz w:val="21"/>
                <w:szCs w:val="21"/>
              </w:rPr>
            </w:pPr>
            <w:r>
              <w:rPr>
                <w:rFonts w:ascii="宋体" w:hAnsi="宋体"/>
                <w:sz w:val="21"/>
                <w:szCs w:val="21"/>
              </w:rPr>
              <w:t>地址：</w:t>
            </w:r>
          </w:p>
          <w:p>
            <w:pPr>
              <w:spacing w:line="360" w:lineRule="auto"/>
              <w:rPr>
                <w:rFonts w:ascii="宋体" w:hAnsi="宋体"/>
                <w:sz w:val="21"/>
                <w:szCs w:val="21"/>
              </w:rPr>
            </w:pPr>
            <w:r>
              <w:rPr>
                <w:rFonts w:ascii="宋体" w:hAnsi="宋体"/>
                <w:sz w:val="21"/>
                <w:szCs w:val="21"/>
              </w:rPr>
              <w:t>联系电话：</w:t>
            </w:r>
          </w:p>
          <w:p>
            <w:pPr>
              <w:spacing w:line="360" w:lineRule="auto"/>
              <w:rPr>
                <w:rFonts w:ascii="宋体" w:hAnsi="宋体"/>
                <w:sz w:val="21"/>
                <w:szCs w:val="21"/>
              </w:rPr>
            </w:pPr>
            <w:r>
              <w:rPr>
                <w:rFonts w:ascii="宋体" w:hAnsi="宋体"/>
                <w:sz w:val="21"/>
                <w:szCs w:val="21"/>
              </w:rPr>
              <w:t>授权代表：</w:t>
            </w:r>
          </w:p>
        </w:tc>
        <w:tc>
          <w:tcPr>
            <w:tcW w:w="5125" w:type="dxa"/>
            <w:gridSpan w:val="5"/>
          </w:tcPr>
          <w:p>
            <w:pPr>
              <w:spacing w:line="360" w:lineRule="auto"/>
              <w:rPr>
                <w:rFonts w:ascii="宋体" w:hAnsi="宋体"/>
                <w:sz w:val="21"/>
                <w:szCs w:val="21"/>
              </w:rPr>
            </w:pPr>
            <w:r>
              <w:rPr>
                <w:rFonts w:ascii="宋体" w:hAnsi="宋体"/>
                <w:sz w:val="21"/>
                <w:szCs w:val="21"/>
              </w:rPr>
              <w:t>供方：</w:t>
            </w:r>
          </w:p>
          <w:p>
            <w:pPr>
              <w:spacing w:line="360" w:lineRule="auto"/>
              <w:rPr>
                <w:rFonts w:ascii="宋体" w:hAnsi="宋体"/>
                <w:sz w:val="21"/>
                <w:szCs w:val="21"/>
              </w:rPr>
            </w:pPr>
            <w:r>
              <w:rPr>
                <w:rFonts w:ascii="宋体" w:hAnsi="宋体"/>
                <w:sz w:val="21"/>
                <w:szCs w:val="21"/>
              </w:rPr>
              <w:t>地址：</w:t>
            </w:r>
          </w:p>
          <w:p>
            <w:pPr>
              <w:spacing w:line="360" w:lineRule="auto"/>
              <w:rPr>
                <w:rFonts w:ascii="宋体" w:hAnsi="宋体"/>
                <w:sz w:val="21"/>
                <w:szCs w:val="21"/>
              </w:rPr>
            </w:pPr>
            <w:r>
              <w:rPr>
                <w:rFonts w:ascii="宋体" w:hAnsi="宋体"/>
                <w:sz w:val="21"/>
                <w:szCs w:val="21"/>
              </w:rPr>
              <w:t>电话：</w:t>
            </w:r>
          </w:p>
          <w:p>
            <w:pPr>
              <w:spacing w:line="360" w:lineRule="auto"/>
              <w:rPr>
                <w:rFonts w:ascii="宋体" w:hAnsi="宋体"/>
                <w:sz w:val="21"/>
                <w:szCs w:val="21"/>
              </w:rPr>
            </w:pPr>
            <w:r>
              <w:rPr>
                <w:rFonts w:ascii="宋体" w:hAnsi="宋体"/>
                <w:sz w:val="21"/>
                <w:szCs w:val="21"/>
              </w:rPr>
              <w:t>传真：</w:t>
            </w:r>
          </w:p>
          <w:p>
            <w:pPr>
              <w:spacing w:line="360" w:lineRule="auto"/>
              <w:rPr>
                <w:rFonts w:ascii="宋体" w:hAnsi="宋体"/>
                <w:sz w:val="21"/>
                <w:szCs w:val="21"/>
              </w:rPr>
            </w:pPr>
            <w:r>
              <w:rPr>
                <w:rFonts w:ascii="宋体" w:hAnsi="宋体"/>
                <w:sz w:val="21"/>
                <w:szCs w:val="21"/>
              </w:rPr>
              <w:t>开户银行：</w:t>
            </w:r>
          </w:p>
          <w:p>
            <w:pPr>
              <w:spacing w:line="360" w:lineRule="auto"/>
              <w:rPr>
                <w:rFonts w:ascii="宋体" w:hAnsi="宋体"/>
                <w:sz w:val="21"/>
                <w:szCs w:val="21"/>
              </w:rPr>
            </w:pPr>
            <w:r>
              <w:rPr>
                <w:rFonts w:ascii="宋体" w:hAnsi="宋体"/>
                <w:sz w:val="21"/>
                <w:szCs w:val="21"/>
              </w:rPr>
              <w:t>账号：</w:t>
            </w:r>
          </w:p>
          <w:p>
            <w:pPr>
              <w:spacing w:line="360" w:lineRule="auto"/>
              <w:rPr>
                <w:rFonts w:ascii="宋体" w:hAnsi="宋体"/>
                <w:sz w:val="21"/>
                <w:szCs w:val="21"/>
              </w:rPr>
            </w:pPr>
            <w:r>
              <w:rPr>
                <w:rFonts w:ascii="宋体" w:hAnsi="宋体"/>
                <w:sz w:val="21"/>
                <w:szCs w:val="21"/>
              </w:rPr>
              <w:t>授权代表：</w:t>
            </w:r>
          </w:p>
          <w:p>
            <w:pPr>
              <w:widowControl/>
              <w:spacing w:line="360" w:lineRule="auto"/>
              <w:jc w:val="left"/>
              <w:rPr>
                <w:rFonts w:ascii="宋体" w:hAnsi="宋体"/>
                <w:sz w:val="21"/>
                <w:szCs w:val="21"/>
              </w:rPr>
            </w:pPr>
            <w:r>
              <w:rPr>
                <w:rFonts w:ascii="宋体" w:hAnsi="宋体"/>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tcPr>
          <w:p>
            <w:pPr>
              <w:spacing w:line="360" w:lineRule="auto"/>
              <w:rPr>
                <w:rFonts w:ascii="宋体" w:hAnsi="宋体"/>
                <w:sz w:val="21"/>
                <w:szCs w:val="21"/>
              </w:rPr>
            </w:pPr>
            <w:r>
              <w:rPr>
                <w:rFonts w:ascii="宋体" w:hAnsi="宋体"/>
                <w:sz w:val="21"/>
                <w:szCs w:val="21"/>
              </w:rPr>
              <w:t>备注：</w:t>
            </w:r>
          </w:p>
          <w:p>
            <w:pPr>
              <w:spacing w:line="360" w:lineRule="auto"/>
              <w:rPr>
                <w:rFonts w:ascii="宋体" w:hAnsi="宋体"/>
                <w:sz w:val="21"/>
                <w:szCs w:val="21"/>
              </w:rPr>
            </w:pPr>
          </w:p>
          <w:p>
            <w:pPr>
              <w:spacing w:line="360" w:lineRule="auto"/>
              <w:rPr>
                <w:rFonts w:ascii="宋体" w:hAnsi="宋体"/>
                <w:sz w:val="21"/>
                <w:szCs w:val="21"/>
              </w:rPr>
            </w:pPr>
          </w:p>
        </w:tc>
      </w:tr>
    </w:tbl>
    <w:p>
      <w:pPr>
        <w:spacing w:line="360" w:lineRule="auto"/>
        <w:ind w:firstLine="480" w:firstLineChars="200"/>
        <w:rPr>
          <w:rFonts w:ascii="宋体" w:hAnsi="宋体"/>
          <w:sz w:val="24"/>
        </w:rPr>
      </w:pPr>
      <w:r>
        <w:rPr>
          <w:rFonts w:ascii="宋体" w:hAnsi="宋体"/>
          <w:sz w:val="24"/>
        </w:rPr>
        <w:t>签约时间：           年   月   日      签约地点：</w:t>
      </w:r>
    </w:p>
    <w:p>
      <w:pPr>
        <w:spacing w:line="500" w:lineRule="exact"/>
        <w:ind w:firstLine="480" w:firstLineChars="200"/>
        <w:rPr>
          <w:rFonts w:ascii="宋体" w:hAnsi="宋体"/>
          <w:sz w:val="24"/>
        </w:rPr>
        <w:sectPr>
          <w:headerReference r:id="rId10" w:type="default"/>
          <w:pgSz w:w="11907" w:h="16840"/>
          <w:pgMar w:top="1134" w:right="1191" w:bottom="1134" w:left="1191" w:header="851" w:footer="992" w:gutter="0"/>
          <w:pgNumType w:fmt="numberInDash"/>
          <w:cols w:space="720" w:num="1"/>
          <w:docGrid w:linePitch="381" w:charSpace="-5735"/>
        </w:sectPr>
      </w:pPr>
    </w:p>
    <w:bookmarkEnd w:id="102"/>
    <w:p>
      <w:pPr>
        <w:pStyle w:val="5"/>
        <w:spacing w:line="360" w:lineRule="auto"/>
        <w:jc w:val="center"/>
        <w:rPr>
          <w:rFonts w:ascii="宋体" w:hAnsi="宋体" w:eastAsia="宋体"/>
          <w:sz w:val="36"/>
          <w:szCs w:val="30"/>
        </w:rPr>
      </w:pPr>
      <w:bookmarkStart w:id="103" w:name="_Toc89693272"/>
      <w:bookmarkStart w:id="104" w:name="_Toc164842633"/>
      <w:r>
        <w:rPr>
          <w:rFonts w:ascii="宋体" w:hAnsi="宋体" w:eastAsia="宋体"/>
          <w:sz w:val="36"/>
          <w:szCs w:val="30"/>
        </w:rPr>
        <w:t>第七篇  响应文件编制要求</w:t>
      </w:r>
      <w:bookmarkEnd w:id="103"/>
      <w:bookmarkEnd w:id="104"/>
    </w:p>
    <w:p>
      <w:pPr>
        <w:pStyle w:val="6"/>
        <w:spacing w:before="0" w:after="0" w:line="360" w:lineRule="auto"/>
        <w:ind w:firstLine="482" w:firstLineChars="200"/>
        <w:rPr>
          <w:rFonts w:ascii="宋体" w:hAnsi="宋体"/>
          <w:sz w:val="24"/>
          <w:szCs w:val="24"/>
        </w:rPr>
      </w:pPr>
      <w:bookmarkStart w:id="105" w:name="_Toc89693273"/>
      <w:bookmarkStart w:id="106" w:name="_Toc164842634"/>
      <w:bookmarkStart w:id="107" w:name="_Toc129767687"/>
      <w:r>
        <w:rPr>
          <w:rFonts w:ascii="宋体" w:hAnsi="宋体"/>
          <w:sz w:val="24"/>
          <w:szCs w:val="24"/>
        </w:rPr>
        <w:t>一、经济部分</w:t>
      </w:r>
      <w:bookmarkEnd w:id="105"/>
      <w:bookmarkEnd w:id="106"/>
      <w:bookmarkEnd w:id="107"/>
    </w:p>
    <w:p>
      <w:pPr>
        <w:snapToGrid w:val="0"/>
        <w:spacing w:line="360" w:lineRule="auto"/>
        <w:ind w:firstLine="480" w:firstLineChars="200"/>
        <w:rPr>
          <w:sz w:val="24"/>
          <w:szCs w:val="24"/>
        </w:rPr>
      </w:pPr>
      <w:r>
        <w:rPr>
          <w:sz w:val="24"/>
          <w:szCs w:val="24"/>
        </w:rPr>
        <w:t>（一）竞争性比选报价函</w:t>
      </w:r>
    </w:p>
    <w:p>
      <w:pPr>
        <w:snapToGrid w:val="0"/>
        <w:spacing w:line="360" w:lineRule="auto"/>
        <w:ind w:firstLine="480" w:firstLineChars="200"/>
        <w:rPr>
          <w:sz w:val="24"/>
          <w:szCs w:val="24"/>
        </w:rPr>
      </w:pPr>
      <w:r>
        <w:rPr>
          <w:rFonts w:hint="eastAsia"/>
          <w:sz w:val="24"/>
          <w:szCs w:val="24"/>
        </w:rPr>
        <w:t>（二）分项报价明细表</w:t>
      </w:r>
    </w:p>
    <w:p>
      <w:pPr>
        <w:pStyle w:val="6"/>
        <w:spacing w:before="0" w:after="0" w:line="360" w:lineRule="auto"/>
        <w:ind w:firstLine="482" w:firstLineChars="200"/>
        <w:rPr>
          <w:rFonts w:ascii="宋体" w:hAnsi="宋体"/>
          <w:sz w:val="24"/>
          <w:szCs w:val="24"/>
        </w:rPr>
      </w:pPr>
      <w:bookmarkStart w:id="108" w:name="_Toc89693274"/>
      <w:bookmarkStart w:id="109" w:name="_Toc129767688"/>
      <w:bookmarkStart w:id="110" w:name="_Toc78194469"/>
      <w:bookmarkStart w:id="111" w:name="_Toc164842635"/>
      <w:r>
        <w:rPr>
          <w:rFonts w:hint="eastAsia" w:ascii="宋体" w:hAnsi="宋体"/>
          <w:sz w:val="24"/>
          <w:szCs w:val="24"/>
        </w:rPr>
        <w:t>二、技术部分</w:t>
      </w:r>
      <w:bookmarkEnd w:id="108"/>
      <w:bookmarkEnd w:id="109"/>
      <w:bookmarkEnd w:id="110"/>
      <w:bookmarkEnd w:id="111"/>
    </w:p>
    <w:p>
      <w:pPr>
        <w:snapToGrid w:val="0"/>
        <w:spacing w:line="360" w:lineRule="auto"/>
        <w:ind w:firstLine="480" w:firstLineChars="200"/>
        <w:rPr>
          <w:rFonts w:ascii="宋体" w:hAnsi="宋体"/>
          <w:sz w:val="24"/>
          <w:szCs w:val="24"/>
        </w:rPr>
      </w:pPr>
      <w:r>
        <w:rPr>
          <w:rFonts w:hint="eastAsia" w:ascii="宋体" w:hAnsi="宋体"/>
          <w:sz w:val="24"/>
          <w:szCs w:val="24"/>
        </w:rPr>
        <w:t>（一）服务方案</w:t>
      </w:r>
    </w:p>
    <w:p>
      <w:pPr>
        <w:snapToGrid w:val="0"/>
        <w:spacing w:line="360" w:lineRule="auto"/>
        <w:ind w:firstLine="480" w:firstLineChars="200"/>
        <w:rPr>
          <w:sz w:val="24"/>
          <w:szCs w:val="24"/>
        </w:rPr>
      </w:pPr>
      <w:r>
        <w:rPr>
          <w:rFonts w:hint="eastAsia" w:ascii="宋体" w:hAnsi="宋体"/>
          <w:sz w:val="24"/>
          <w:szCs w:val="24"/>
        </w:rPr>
        <w:t>（二）技术响应偏离表</w:t>
      </w:r>
    </w:p>
    <w:p>
      <w:pPr>
        <w:pStyle w:val="6"/>
        <w:spacing w:before="0" w:after="0" w:line="360" w:lineRule="auto"/>
        <w:ind w:firstLine="482" w:firstLineChars="200"/>
        <w:rPr>
          <w:rFonts w:ascii="宋体" w:hAnsi="宋体"/>
          <w:sz w:val="24"/>
          <w:szCs w:val="24"/>
        </w:rPr>
      </w:pPr>
      <w:bookmarkStart w:id="112" w:name="_Toc89693275"/>
      <w:bookmarkStart w:id="113" w:name="_Toc164842636"/>
      <w:bookmarkStart w:id="114" w:name="_Toc129767689"/>
      <w:r>
        <w:rPr>
          <w:rFonts w:ascii="宋体" w:hAnsi="宋体"/>
          <w:sz w:val="24"/>
          <w:szCs w:val="24"/>
        </w:rPr>
        <w:t>三、商务部分</w:t>
      </w:r>
      <w:bookmarkEnd w:id="112"/>
      <w:bookmarkEnd w:id="113"/>
      <w:bookmarkEnd w:id="114"/>
    </w:p>
    <w:p>
      <w:pPr>
        <w:snapToGrid w:val="0"/>
        <w:spacing w:line="360" w:lineRule="auto"/>
        <w:ind w:firstLine="480" w:firstLineChars="200"/>
        <w:rPr>
          <w:sz w:val="24"/>
          <w:szCs w:val="24"/>
        </w:rPr>
      </w:pPr>
      <w:r>
        <w:rPr>
          <w:sz w:val="24"/>
          <w:szCs w:val="24"/>
        </w:rPr>
        <w:t>（一）</w:t>
      </w:r>
      <w:r>
        <w:rPr>
          <w:rFonts w:hint="eastAsia"/>
          <w:sz w:val="24"/>
          <w:szCs w:val="24"/>
        </w:rPr>
        <w:t>商务</w:t>
      </w:r>
      <w:r>
        <w:rPr>
          <w:rFonts w:hint="eastAsia" w:ascii="宋体" w:hAnsi="宋体"/>
          <w:sz w:val="24"/>
          <w:szCs w:val="24"/>
        </w:rPr>
        <w:t>响应偏离表</w:t>
      </w:r>
    </w:p>
    <w:p>
      <w:pPr>
        <w:snapToGrid w:val="0"/>
        <w:spacing w:line="360" w:lineRule="auto"/>
        <w:ind w:firstLine="480" w:firstLineChars="200"/>
        <w:rPr>
          <w:sz w:val="24"/>
          <w:szCs w:val="24"/>
        </w:rPr>
      </w:pPr>
      <w:r>
        <w:rPr>
          <w:sz w:val="24"/>
          <w:szCs w:val="24"/>
        </w:rPr>
        <w:t>（二）</w:t>
      </w:r>
      <w:r>
        <w:rPr>
          <w:rFonts w:hint="eastAsia"/>
          <w:sz w:val="24"/>
          <w:szCs w:val="24"/>
        </w:rPr>
        <w:t>其它优惠服务承诺</w:t>
      </w:r>
    </w:p>
    <w:p>
      <w:pPr>
        <w:pStyle w:val="6"/>
        <w:spacing w:before="0" w:after="0" w:line="360" w:lineRule="auto"/>
        <w:ind w:firstLine="482" w:firstLineChars="200"/>
        <w:rPr>
          <w:rFonts w:ascii="宋体" w:hAnsi="宋体"/>
          <w:sz w:val="24"/>
          <w:szCs w:val="24"/>
        </w:rPr>
      </w:pPr>
      <w:bookmarkStart w:id="115" w:name="_Toc129767690"/>
      <w:bookmarkStart w:id="116" w:name="_Toc89693276"/>
      <w:bookmarkStart w:id="117" w:name="_Toc164842637"/>
      <w:r>
        <w:rPr>
          <w:rFonts w:ascii="宋体" w:hAnsi="宋体"/>
          <w:sz w:val="24"/>
          <w:szCs w:val="24"/>
        </w:rPr>
        <w:t>四、资格条件及其他</w:t>
      </w:r>
      <w:bookmarkEnd w:id="115"/>
      <w:bookmarkEnd w:id="116"/>
      <w:bookmarkEnd w:id="117"/>
    </w:p>
    <w:p>
      <w:pPr>
        <w:snapToGrid w:val="0"/>
        <w:spacing w:line="360" w:lineRule="auto"/>
        <w:ind w:firstLine="480" w:firstLineChars="20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pPr>
        <w:snapToGrid w:val="0"/>
        <w:spacing w:line="360" w:lineRule="auto"/>
        <w:ind w:firstLine="480" w:firstLineChars="200"/>
        <w:rPr>
          <w:sz w:val="24"/>
          <w:szCs w:val="24"/>
        </w:rPr>
      </w:pPr>
      <w:r>
        <w:rPr>
          <w:rFonts w:hint="eastAsia"/>
          <w:sz w:val="24"/>
          <w:szCs w:val="24"/>
        </w:rPr>
        <w:t>（二）法定代表人身份证明书（格式）</w:t>
      </w:r>
    </w:p>
    <w:p>
      <w:pPr>
        <w:snapToGrid w:val="0"/>
        <w:spacing w:line="360" w:lineRule="auto"/>
        <w:ind w:firstLine="480" w:firstLineChars="200"/>
        <w:rPr>
          <w:sz w:val="24"/>
          <w:szCs w:val="24"/>
        </w:rPr>
      </w:pPr>
      <w:r>
        <w:rPr>
          <w:rFonts w:hint="eastAsia"/>
          <w:sz w:val="24"/>
          <w:szCs w:val="24"/>
        </w:rPr>
        <w:t>（三）法定代表人授权委托书（格式）</w:t>
      </w:r>
    </w:p>
    <w:p>
      <w:pPr>
        <w:snapToGrid w:val="0"/>
        <w:spacing w:line="360" w:lineRule="auto"/>
        <w:ind w:firstLine="480" w:firstLineChars="200"/>
        <w:rPr>
          <w:sz w:val="24"/>
          <w:szCs w:val="24"/>
        </w:rPr>
      </w:pPr>
      <w:r>
        <w:rPr>
          <w:rFonts w:hint="eastAsia"/>
          <w:sz w:val="24"/>
          <w:szCs w:val="24"/>
        </w:rPr>
        <w:t>（四）基本资格条件承诺函（格式）</w:t>
      </w:r>
    </w:p>
    <w:p>
      <w:pPr>
        <w:snapToGrid w:val="0"/>
        <w:spacing w:line="360" w:lineRule="auto"/>
        <w:ind w:firstLine="480" w:firstLineChars="200"/>
        <w:rPr>
          <w:sz w:val="24"/>
          <w:szCs w:val="24"/>
        </w:rPr>
      </w:pPr>
      <w:r>
        <w:rPr>
          <w:rFonts w:hint="eastAsia"/>
          <w:sz w:val="24"/>
          <w:szCs w:val="24"/>
        </w:rPr>
        <w:t>（五）特定资格条件证书或证明文件</w:t>
      </w:r>
    </w:p>
    <w:p>
      <w:pPr>
        <w:snapToGrid w:val="0"/>
        <w:spacing w:line="360" w:lineRule="auto"/>
        <w:ind w:firstLine="480" w:firstLineChars="200"/>
        <w:rPr>
          <w:sz w:val="24"/>
          <w:szCs w:val="24"/>
        </w:rPr>
      </w:pPr>
      <w:r>
        <w:rPr>
          <w:rFonts w:hint="eastAsia"/>
          <w:sz w:val="24"/>
          <w:szCs w:val="24"/>
        </w:rPr>
        <w:t>（六）其他应提供的资料</w:t>
      </w:r>
    </w:p>
    <w:p>
      <w:pPr>
        <w:snapToGrid w:val="0"/>
        <w:spacing w:line="360" w:lineRule="auto"/>
        <w:ind w:firstLine="480" w:firstLineChars="200"/>
        <w:rPr>
          <w:sz w:val="24"/>
          <w:szCs w:val="24"/>
        </w:rPr>
      </w:pPr>
      <w:r>
        <w:rPr>
          <w:rFonts w:hint="eastAsia"/>
          <w:sz w:val="24"/>
          <w:szCs w:val="24"/>
        </w:rPr>
        <w:t>1.中小企业声明函、监狱企业证明文件、残疾人福利性单位声明函</w:t>
      </w:r>
    </w:p>
    <w:p>
      <w:pPr>
        <w:snapToGrid w:val="0"/>
        <w:spacing w:line="360" w:lineRule="auto"/>
        <w:ind w:firstLine="480" w:firstLineChars="200"/>
        <w:rPr>
          <w:rFonts w:ascii="宋体" w:hAnsi="宋体"/>
          <w:sz w:val="24"/>
          <w:szCs w:val="24"/>
        </w:rPr>
      </w:pPr>
      <w:r>
        <w:rPr>
          <w:rFonts w:hint="eastAsia"/>
          <w:sz w:val="24"/>
          <w:szCs w:val="24"/>
        </w:rPr>
        <w:t>2.其他与项目有关的资料（自附）</w:t>
      </w:r>
    </w:p>
    <w:p>
      <w:pPr>
        <w:spacing w:line="440" w:lineRule="exact"/>
        <w:ind w:firstLine="480" w:firstLineChars="200"/>
        <w:rPr>
          <w:sz w:val="24"/>
          <w:szCs w:val="24"/>
        </w:rPr>
        <w:sectPr>
          <w:headerReference r:id="rId11" w:type="default"/>
          <w:pgSz w:w="11907" w:h="16840"/>
          <w:pgMar w:top="1134" w:right="1191" w:bottom="1134" w:left="1191" w:header="851" w:footer="992" w:gutter="0"/>
          <w:pgNumType w:fmt="numberInDash"/>
          <w:cols w:space="720" w:num="1"/>
          <w:docGrid w:linePitch="381" w:charSpace="-5735"/>
        </w:sectPr>
      </w:pPr>
    </w:p>
    <w:p>
      <w:pPr>
        <w:pageBreakBefore/>
        <w:tabs>
          <w:tab w:val="left" w:pos="6300"/>
        </w:tabs>
        <w:snapToGrid w:val="0"/>
        <w:spacing w:line="360" w:lineRule="auto"/>
        <w:rPr>
          <w:b/>
          <w:sz w:val="24"/>
          <w:szCs w:val="24"/>
        </w:rPr>
      </w:pPr>
      <w:bookmarkStart w:id="118" w:name="_Toc313888360"/>
      <w:bookmarkStart w:id="119" w:name="_Toc313008356"/>
      <w:bookmarkStart w:id="120" w:name="_Toc23764522"/>
      <w:bookmarkStart w:id="121" w:name="_Toc342913419"/>
      <w:bookmarkStart w:id="122" w:name="_Toc12789073"/>
      <w:bookmarkStart w:id="123" w:name="_Toc283382454"/>
      <w:r>
        <w:rPr>
          <w:rFonts w:hint="eastAsia"/>
          <w:b/>
          <w:sz w:val="24"/>
          <w:szCs w:val="24"/>
        </w:rPr>
        <w:t xml:space="preserve">    </w:t>
      </w:r>
      <w:r>
        <w:rPr>
          <w:b/>
          <w:sz w:val="24"/>
          <w:szCs w:val="24"/>
        </w:rPr>
        <w:t>一、经济部分</w:t>
      </w:r>
      <w:bookmarkEnd w:id="118"/>
      <w:bookmarkEnd w:id="119"/>
      <w:bookmarkEnd w:id="120"/>
      <w:bookmarkEnd w:id="121"/>
    </w:p>
    <w:bookmarkEnd w:id="122"/>
    <w:bookmarkEnd w:id="123"/>
    <w:p>
      <w:pPr>
        <w:tabs>
          <w:tab w:val="left" w:pos="6300"/>
        </w:tabs>
        <w:snapToGrid w:val="0"/>
        <w:spacing w:line="520" w:lineRule="exact"/>
        <w:ind w:firstLine="480" w:firstLineChars="200"/>
        <w:rPr>
          <w:sz w:val="24"/>
          <w:szCs w:val="24"/>
        </w:rPr>
      </w:pPr>
      <w:r>
        <w:rPr>
          <w:sz w:val="24"/>
          <w:szCs w:val="24"/>
        </w:rPr>
        <w:t>（一）竞争性比选报价函</w:t>
      </w:r>
    </w:p>
    <w:p>
      <w:pPr>
        <w:tabs>
          <w:tab w:val="left" w:pos="6300"/>
        </w:tabs>
        <w:snapToGrid w:val="0"/>
        <w:spacing w:line="520" w:lineRule="exact"/>
        <w:jc w:val="center"/>
        <w:outlineLvl w:val="0"/>
        <w:rPr>
          <w:b/>
          <w:szCs w:val="28"/>
        </w:rPr>
      </w:pPr>
      <w:r>
        <w:rPr>
          <w:b/>
          <w:szCs w:val="28"/>
        </w:rPr>
        <w:t>竞争性比选报价函</w:t>
      </w:r>
    </w:p>
    <w:p>
      <w:pPr>
        <w:tabs>
          <w:tab w:val="left" w:pos="6300"/>
        </w:tabs>
        <w:snapToGrid w:val="0"/>
        <w:spacing w:line="520" w:lineRule="exact"/>
        <w:rPr>
          <w:sz w:val="24"/>
          <w:szCs w:val="24"/>
        </w:rPr>
      </w:pPr>
      <w:r>
        <w:rPr>
          <w:sz w:val="24"/>
          <w:szCs w:val="24"/>
          <w:u w:val="single"/>
        </w:rPr>
        <w:t>（采购代理机构名称）</w:t>
      </w:r>
      <w:r>
        <w:rPr>
          <w:sz w:val="24"/>
          <w:szCs w:val="24"/>
        </w:rPr>
        <w:t>：</w:t>
      </w:r>
    </w:p>
    <w:p>
      <w:pPr>
        <w:tabs>
          <w:tab w:val="left" w:pos="6300"/>
        </w:tabs>
        <w:snapToGrid w:val="0"/>
        <w:spacing w:line="520" w:lineRule="exact"/>
        <w:ind w:firstLine="480" w:firstLineChars="200"/>
        <w:rPr>
          <w:sz w:val="24"/>
          <w:szCs w:val="24"/>
        </w:rPr>
      </w:pPr>
      <w:r>
        <w:rPr>
          <w:sz w:val="24"/>
          <w:szCs w:val="24"/>
        </w:rPr>
        <w:t>我方收到____________________________（项目名称）的竞争性比选文件，经详细研究，决定参加该项目的比选。</w:t>
      </w:r>
    </w:p>
    <w:p>
      <w:pPr>
        <w:tabs>
          <w:tab w:val="left" w:pos="6300"/>
        </w:tabs>
        <w:snapToGrid w:val="0"/>
        <w:spacing w:line="520" w:lineRule="exact"/>
        <w:ind w:firstLine="480" w:firstLineChars="200"/>
        <w:rPr>
          <w:sz w:val="24"/>
          <w:szCs w:val="24"/>
        </w:rPr>
      </w:pPr>
      <w:r>
        <w:rPr>
          <w:sz w:val="24"/>
          <w:szCs w:val="24"/>
        </w:rPr>
        <w:t>1.愿意按照竞争性比选文件中的一切要求，提供本项目的服务，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hint="eastAsia" w:ascii="宋体" w:hAnsi="宋体"/>
          <w:sz w:val="24"/>
          <w:szCs w:val="24"/>
        </w:rPr>
        <w:t>，电子文档</w:t>
      </w:r>
      <w:r>
        <w:rPr>
          <w:rFonts w:ascii="宋体" w:hAnsi="宋体"/>
          <w:sz w:val="24"/>
          <w:szCs w:val="24"/>
          <w:u w:val="single"/>
        </w:rPr>
        <w:t xml:space="preserve">   </w:t>
      </w:r>
      <w:r>
        <w:rPr>
          <w:rFonts w:ascii="宋体" w:hAnsi="宋体"/>
          <w:sz w:val="24"/>
          <w:szCs w:val="24"/>
        </w:rPr>
        <w:t>份 。</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3.我方承诺：本次比选的有效期为90天。</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7.我方同意按竞争性比选文件规定，交纳竞争性比选文件要求的比选保证金。如果我方成为成交供应商，保证在接到成交通知书后，</w:t>
      </w:r>
      <w:r>
        <w:rPr>
          <w:rFonts w:hint="eastAsia" w:ascii="宋体" w:hAnsi="宋体"/>
          <w:sz w:val="24"/>
          <w:szCs w:val="24"/>
        </w:rPr>
        <w:t>按</w:t>
      </w:r>
      <w:r>
        <w:rPr>
          <w:rFonts w:ascii="宋体" w:hAnsi="宋体"/>
          <w:sz w:val="24"/>
          <w:szCs w:val="24"/>
        </w:rPr>
        <w:t>竞争性比选文件规定</w:t>
      </w:r>
      <w:r>
        <w:rPr>
          <w:rFonts w:hint="eastAsia" w:ascii="宋体" w:hAnsi="宋体"/>
          <w:sz w:val="24"/>
          <w:szCs w:val="24"/>
        </w:rPr>
        <w:t>缴纳</w:t>
      </w:r>
      <w:r>
        <w:rPr>
          <w:rFonts w:ascii="宋体" w:hAnsi="宋体"/>
          <w:sz w:val="24"/>
          <w:szCs w:val="24"/>
        </w:rPr>
        <w:t>采购代理服务费。</w:t>
      </w:r>
    </w:p>
    <w:p>
      <w:pPr>
        <w:tabs>
          <w:tab w:val="left" w:pos="6300"/>
        </w:tabs>
        <w:snapToGrid w:val="0"/>
        <w:spacing w:line="520" w:lineRule="exact"/>
        <w:ind w:firstLine="480" w:firstLineChars="20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pPr>
        <w:tabs>
          <w:tab w:val="left" w:pos="6300"/>
        </w:tabs>
        <w:snapToGrid w:val="0"/>
        <w:spacing w:line="520" w:lineRule="exact"/>
        <w:ind w:firstLine="570"/>
        <w:rPr>
          <w:sz w:val="24"/>
          <w:szCs w:val="24"/>
        </w:rPr>
      </w:pPr>
      <w:r>
        <w:rPr>
          <w:sz w:val="24"/>
          <w:szCs w:val="24"/>
        </w:rPr>
        <w:t>供应商（公章）：</w:t>
      </w:r>
    </w:p>
    <w:p>
      <w:pPr>
        <w:tabs>
          <w:tab w:val="left" w:pos="6300"/>
        </w:tabs>
        <w:snapToGrid w:val="0"/>
        <w:spacing w:line="520" w:lineRule="exact"/>
        <w:ind w:firstLine="570"/>
        <w:rPr>
          <w:sz w:val="24"/>
          <w:szCs w:val="24"/>
        </w:rPr>
      </w:pPr>
      <w:r>
        <w:rPr>
          <w:sz w:val="24"/>
          <w:szCs w:val="24"/>
        </w:rPr>
        <w:t xml:space="preserve">地址：  </w:t>
      </w:r>
    </w:p>
    <w:p>
      <w:pPr>
        <w:tabs>
          <w:tab w:val="left" w:pos="6300"/>
        </w:tabs>
        <w:snapToGrid w:val="0"/>
        <w:spacing w:line="520" w:lineRule="exact"/>
        <w:ind w:firstLine="570"/>
        <w:rPr>
          <w:sz w:val="24"/>
          <w:szCs w:val="24"/>
        </w:rPr>
      </w:pPr>
      <w:r>
        <w:rPr>
          <w:sz w:val="24"/>
          <w:szCs w:val="24"/>
        </w:rPr>
        <w:t>电话：                                             传真：</w:t>
      </w:r>
    </w:p>
    <w:p>
      <w:pPr>
        <w:tabs>
          <w:tab w:val="left" w:pos="6300"/>
        </w:tabs>
        <w:snapToGrid w:val="0"/>
        <w:spacing w:line="520" w:lineRule="exact"/>
        <w:ind w:firstLine="570"/>
        <w:rPr>
          <w:sz w:val="24"/>
          <w:szCs w:val="24"/>
        </w:rPr>
      </w:pPr>
      <w:r>
        <w:rPr>
          <w:sz w:val="24"/>
          <w:szCs w:val="24"/>
        </w:rPr>
        <w:t>网址：                                             邮编：</w:t>
      </w:r>
    </w:p>
    <w:p>
      <w:pPr>
        <w:tabs>
          <w:tab w:val="left" w:pos="6300"/>
        </w:tabs>
        <w:snapToGrid w:val="0"/>
        <w:spacing w:line="520" w:lineRule="exact"/>
        <w:ind w:firstLine="570"/>
        <w:rPr>
          <w:sz w:val="24"/>
          <w:szCs w:val="24"/>
        </w:rPr>
      </w:pPr>
      <w:r>
        <w:rPr>
          <w:sz w:val="24"/>
          <w:szCs w:val="24"/>
        </w:rPr>
        <w:t>联系人：</w:t>
      </w:r>
    </w:p>
    <w:p>
      <w:pPr>
        <w:tabs>
          <w:tab w:val="left" w:pos="6300"/>
        </w:tabs>
        <w:snapToGrid w:val="0"/>
        <w:spacing w:line="520" w:lineRule="exact"/>
        <w:ind w:firstLine="570"/>
        <w:rPr>
          <w:sz w:val="24"/>
          <w:szCs w:val="24"/>
        </w:rPr>
      </w:pPr>
    </w:p>
    <w:p>
      <w:pPr>
        <w:snapToGrid w:val="0"/>
        <w:spacing w:line="520" w:lineRule="exact"/>
        <w:ind w:firstLine="480" w:firstLineChars="200"/>
        <w:rPr>
          <w:sz w:val="24"/>
          <w:szCs w:val="24"/>
        </w:rPr>
      </w:pPr>
      <w:r>
        <w:rPr>
          <w:sz w:val="24"/>
          <w:szCs w:val="24"/>
        </w:rPr>
        <w:t xml:space="preserve">                                                  年   月   日</w:t>
      </w:r>
    </w:p>
    <w:p>
      <w:pPr>
        <w:snapToGrid w:val="0"/>
        <w:spacing w:line="520" w:lineRule="exact"/>
        <w:ind w:firstLine="480" w:firstLineChars="200"/>
        <w:rPr>
          <w:sz w:val="24"/>
          <w:szCs w:val="24"/>
        </w:rPr>
      </w:pPr>
    </w:p>
    <w:p>
      <w:pPr>
        <w:snapToGrid w:val="0"/>
        <w:spacing w:line="520" w:lineRule="exact"/>
        <w:ind w:firstLine="480" w:firstLineChars="200"/>
        <w:rPr>
          <w:sz w:val="24"/>
          <w:szCs w:val="24"/>
        </w:rPr>
        <w:sectPr>
          <w:pgSz w:w="11907" w:h="16840"/>
          <w:pgMar w:top="1134" w:right="1191" w:bottom="1134" w:left="1191" w:header="851" w:footer="992" w:gutter="0"/>
          <w:pgNumType w:fmt="numberInDash"/>
          <w:cols w:space="720" w:num="1"/>
          <w:docGrid w:linePitch="380" w:charSpace="-5735"/>
        </w:sectPr>
      </w:pPr>
    </w:p>
    <w:p>
      <w:pPr>
        <w:pageBreakBefore/>
        <w:snapToGrid w:val="0"/>
        <w:spacing w:line="360" w:lineRule="auto"/>
        <w:ind w:firstLine="480" w:firstLineChars="200"/>
        <w:jc w:val="left"/>
        <w:rPr>
          <w:rFonts w:ascii="宋体" w:hAnsi="宋体"/>
          <w:sz w:val="24"/>
          <w:szCs w:val="24"/>
        </w:rPr>
      </w:pPr>
      <w:bookmarkStart w:id="124" w:name="_Toc23764523"/>
      <w:bookmarkStart w:id="125" w:name="_Toc342913420"/>
      <w:bookmarkStart w:id="126" w:name="_Toc313888361"/>
      <w:bookmarkStart w:id="127" w:name="_Toc313008357"/>
      <w:r>
        <w:rPr>
          <w:rFonts w:hint="eastAsia" w:ascii="宋体" w:hAnsi="宋体"/>
          <w:sz w:val="24"/>
          <w:szCs w:val="24"/>
        </w:rPr>
        <w:t>（二）分项报价明细表</w:t>
      </w:r>
    </w:p>
    <w:p>
      <w:pPr>
        <w:jc w:val="center"/>
        <w:rPr>
          <w:rFonts w:ascii="宋体" w:hAnsi="宋体"/>
          <w:b/>
          <w:szCs w:val="28"/>
        </w:rPr>
      </w:pPr>
      <w:r>
        <w:rPr>
          <w:rFonts w:hint="eastAsia" w:ascii="宋体" w:hAnsi="宋体"/>
          <w:b/>
          <w:szCs w:val="28"/>
        </w:rPr>
        <w:t>分项报价明细表</w:t>
      </w:r>
    </w:p>
    <w:p>
      <w:pPr>
        <w:snapToGrid w:val="0"/>
        <w:rPr>
          <w:rFonts w:ascii="宋体" w:hAnsi="宋体"/>
          <w:sz w:val="24"/>
          <w:szCs w:val="24"/>
        </w:rPr>
      </w:pPr>
      <w:r>
        <w:rPr>
          <w:rFonts w:hint="eastAsia" w:ascii="宋体" w:hAnsi="宋体"/>
          <w:sz w:val="24"/>
          <w:szCs w:val="24"/>
        </w:rPr>
        <w:t>项目号：</w:t>
      </w:r>
    </w:p>
    <w:p>
      <w:pPr>
        <w:snapToGrid w:val="0"/>
        <w:rPr>
          <w:rFonts w:ascii="宋体" w:hAnsi="宋体"/>
          <w:sz w:val="24"/>
          <w:szCs w:val="24"/>
        </w:rPr>
      </w:pPr>
      <w:r>
        <w:rPr>
          <w:rFonts w:hint="eastAsia" w:ascii="宋体" w:hAnsi="宋体"/>
          <w:sz w:val="24"/>
          <w:szCs w:val="24"/>
        </w:rPr>
        <w:t>项目名称：</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419"/>
        <w:gridCol w:w="2325"/>
        <w:gridCol w:w="1985"/>
        <w:gridCol w:w="127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86" w:type="dxa"/>
            <w:vAlign w:val="center"/>
          </w:tcPr>
          <w:p>
            <w:pPr>
              <w:jc w:val="center"/>
              <w:rPr>
                <w:b/>
                <w:sz w:val="21"/>
                <w:szCs w:val="21"/>
              </w:rPr>
            </w:pPr>
            <w:r>
              <w:rPr>
                <w:b/>
                <w:sz w:val="21"/>
                <w:szCs w:val="21"/>
              </w:rPr>
              <w:t>序号</w:t>
            </w:r>
          </w:p>
        </w:tc>
        <w:tc>
          <w:tcPr>
            <w:tcW w:w="1419" w:type="dxa"/>
            <w:vAlign w:val="center"/>
          </w:tcPr>
          <w:p>
            <w:pPr>
              <w:jc w:val="center"/>
              <w:rPr>
                <w:b/>
                <w:sz w:val="21"/>
                <w:szCs w:val="21"/>
              </w:rPr>
            </w:pPr>
            <w:r>
              <w:rPr>
                <w:rFonts w:hint="eastAsia"/>
                <w:b/>
                <w:sz w:val="21"/>
                <w:szCs w:val="21"/>
              </w:rPr>
              <w:t>分项名称</w:t>
            </w:r>
          </w:p>
        </w:tc>
        <w:tc>
          <w:tcPr>
            <w:tcW w:w="2325" w:type="dxa"/>
            <w:vAlign w:val="center"/>
          </w:tcPr>
          <w:p>
            <w:pPr>
              <w:jc w:val="center"/>
              <w:rPr>
                <w:b/>
                <w:sz w:val="21"/>
                <w:szCs w:val="21"/>
              </w:rPr>
            </w:pPr>
            <w:r>
              <w:rPr>
                <w:rFonts w:hint="eastAsia"/>
                <w:b/>
                <w:sz w:val="21"/>
                <w:szCs w:val="21"/>
              </w:rPr>
              <w:t>相关信息</w:t>
            </w:r>
          </w:p>
        </w:tc>
        <w:tc>
          <w:tcPr>
            <w:tcW w:w="1985" w:type="dxa"/>
            <w:vAlign w:val="center"/>
          </w:tcPr>
          <w:p>
            <w:pPr>
              <w:jc w:val="center"/>
              <w:rPr>
                <w:b/>
                <w:sz w:val="21"/>
                <w:szCs w:val="21"/>
              </w:rPr>
            </w:pPr>
            <w:r>
              <w:rPr>
                <w:b/>
                <w:sz w:val="21"/>
                <w:szCs w:val="21"/>
              </w:rPr>
              <w:t>数量</w:t>
            </w:r>
          </w:p>
        </w:tc>
        <w:tc>
          <w:tcPr>
            <w:tcW w:w="1275" w:type="dxa"/>
            <w:vAlign w:val="center"/>
          </w:tcPr>
          <w:p>
            <w:pPr>
              <w:jc w:val="center"/>
              <w:rPr>
                <w:b/>
                <w:sz w:val="21"/>
                <w:szCs w:val="21"/>
              </w:rPr>
            </w:pPr>
            <w:r>
              <w:rPr>
                <w:b/>
                <w:sz w:val="21"/>
                <w:szCs w:val="21"/>
              </w:rPr>
              <w:t>单价</w:t>
            </w:r>
          </w:p>
        </w:tc>
        <w:tc>
          <w:tcPr>
            <w:tcW w:w="1638" w:type="dxa"/>
            <w:vAlign w:val="center"/>
          </w:tcPr>
          <w:p>
            <w:pPr>
              <w:jc w:val="center"/>
              <w:rPr>
                <w:b/>
                <w:sz w:val="21"/>
                <w:szCs w:val="21"/>
              </w:rPr>
            </w:pPr>
            <w:r>
              <w:rPr>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1</w:t>
            </w:r>
          </w:p>
        </w:tc>
        <w:tc>
          <w:tcPr>
            <w:tcW w:w="1419" w:type="dxa"/>
            <w:vAlign w:val="center"/>
          </w:tcPr>
          <w:p>
            <w:pPr>
              <w:jc w:val="center"/>
              <w:rPr>
                <w:sz w:val="21"/>
                <w:szCs w:val="21"/>
              </w:rPr>
            </w:pPr>
          </w:p>
        </w:tc>
        <w:tc>
          <w:tcPr>
            <w:tcW w:w="2325"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2</w:t>
            </w:r>
          </w:p>
        </w:tc>
        <w:tc>
          <w:tcPr>
            <w:tcW w:w="1419" w:type="dxa"/>
            <w:vAlign w:val="center"/>
          </w:tcPr>
          <w:p>
            <w:pPr>
              <w:jc w:val="center"/>
              <w:rPr>
                <w:sz w:val="21"/>
                <w:szCs w:val="21"/>
              </w:rPr>
            </w:pPr>
          </w:p>
        </w:tc>
        <w:tc>
          <w:tcPr>
            <w:tcW w:w="2325"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3</w:t>
            </w:r>
          </w:p>
        </w:tc>
        <w:tc>
          <w:tcPr>
            <w:tcW w:w="1419" w:type="dxa"/>
            <w:vAlign w:val="center"/>
          </w:tcPr>
          <w:p>
            <w:pPr>
              <w:jc w:val="center"/>
              <w:rPr>
                <w:bCs/>
                <w:kern w:val="0"/>
                <w:sz w:val="22"/>
              </w:rPr>
            </w:pPr>
          </w:p>
        </w:tc>
        <w:tc>
          <w:tcPr>
            <w:tcW w:w="2325"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4</w:t>
            </w:r>
          </w:p>
        </w:tc>
        <w:tc>
          <w:tcPr>
            <w:tcW w:w="1419" w:type="dxa"/>
            <w:vAlign w:val="center"/>
          </w:tcPr>
          <w:p>
            <w:pPr>
              <w:jc w:val="center"/>
              <w:rPr>
                <w:bCs/>
                <w:kern w:val="0"/>
                <w:sz w:val="22"/>
              </w:rPr>
            </w:pPr>
          </w:p>
        </w:tc>
        <w:tc>
          <w:tcPr>
            <w:tcW w:w="2325"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5</w:t>
            </w:r>
          </w:p>
        </w:tc>
        <w:tc>
          <w:tcPr>
            <w:tcW w:w="1419" w:type="dxa"/>
            <w:vAlign w:val="center"/>
          </w:tcPr>
          <w:p>
            <w:pPr>
              <w:jc w:val="center"/>
              <w:rPr>
                <w:sz w:val="21"/>
                <w:szCs w:val="21"/>
              </w:rPr>
            </w:pPr>
          </w:p>
        </w:tc>
        <w:tc>
          <w:tcPr>
            <w:tcW w:w="2325"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6</w:t>
            </w:r>
          </w:p>
        </w:tc>
        <w:tc>
          <w:tcPr>
            <w:tcW w:w="1419" w:type="dxa"/>
            <w:vAlign w:val="center"/>
          </w:tcPr>
          <w:p>
            <w:pPr>
              <w:jc w:val="center"/>
              <w:rPr>
                <w:sz w:val="21"/>
                <w:szCs w:val="21"/>
              </w:rPr>
            </w:pPr>
          </w:p>
        </w:tc>
        <w:tc>
          <w:tcPr>
            <w:tcW w:w="2325"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7</w:t>
            </w:r>
          </w:p>
        </w:tc>
        <w:tc>
          <w:tcPr>
            <w:tcW w:w="1419" w:type="dxa"/>
            <w:vAlign w:val="center"/>
          </w:tcPr>
          <w:p>
            <w:pPr>
              <w:jc w:val="center"/>
              <w:rPr>
                <w:b/>
                <w:sz w:val="21"/>
                <w:szCs w:val="21"/>
              </w:rPr>
            </w:pPr>
          </w:p>
        </w:tc>
        <w:tc>
          <w:tcPr>
            <w:tcW w:w="2325" w:type="dxa"/>
            <w:vAlign w:val="center"/>
          </w:tcPr>
          <w:p>
            <w:pPr>
              <w:jc w:val="center"/>
              <w:rPr>
                <w:b/>
                <w:sz w:val="21"/>
                <w:szCs w:val="21"/>
              </w:rPr>
            </w:pPr>
            <w:r>
              <w:rPr>
                <w:b/>
                <w:sz w:val="21"/>
                <w:szCs w:val="21"/>
              </w:rPr>
              <w:t>……</w:t>
            </w: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p>
        </w:tc>
        <w:tc>
          <w:tcPr>
            <w:tcW w:w="5729" w:type="dxa"/>
            <w:gridSpan w:val="3"/>
            <w:vAlign w:val="center"/>
          </w:tcPr>
          <w:p>
            <w:pPr>
              <w:jc w:val="center"/>
              <w:rPr>
                <w:b/>
                <w:sz w:val="21"/>
                <w:szCs w:val="21"/>
              </w:rPr>
            </w:pPr>
            <w:r>
              <w:rPr>
                <w:b/>
                <w:sz w:val="21"/>
                <w:szCs w:val="21"/>
              </w:rPr>
              <w:t>总计</w:t>
            </w:r>
          </w:p>
        </w:tc>
        <w:tc>
          <w:tcPr>
            <w:tcW w:w="2913" w:type="dxa"/>
            <w:gridSpan w:val="2"/>
          </w:tcPr>
          <w:p>
            <w:pPr>
              <w:rPr>
                <w:sz w:val="21"/>
                <w:szCs w:val="21"/>
              </w:rPr>
            </w:pPr>
          </w:p>
        </w:tc>
      </w:tr>
    </w:tbl>
    <w:p>
      <w:pPr>
        <w:spacing w:line="360" w:lineRule="auto"/>
        <w:ind w:firstLine="600" w:firstLineChars="250"/>
        <w:rPr>
          <w:rFonts w:ascii="宋体" w:hAnsi="宋体"/>
          <w:sz w:val="24"/>
          <w:szCs w:val="28"/>
        </w:rPr>
      </w:pP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供应商：                     法定代表人（或法定代表人授权代表）或自然人：</w:t>
      </w:r>
    </w:p>
    <w:p>
      <w:pPr>
        <w:spacing w:line="360" w:lineRule="auto"/>
        <w:rPr>
          <w:rFonts w:ascii="宋体" w:hAnsi="宋体"/>
          <w:sz w:val="24"/>
          <w:szCs w:val="28"/>
        </w:rPr>
      </w:pPr>
      <w:r>
        <w:rPr>
          <w:rFonts w:hint="eastAsia" w:ascii="宋体" w:hAnsi="宋体"/>
          <w:sz w:val="24"/>
          <w:szCs w:val="28"/>
        </w:rPr>
        <w:t xml:space="preserve">   </w:t>
      </w:r>
    </w:p>
    <w:p>
      <w:pPr>
        <w:spacing w:line="360" w:lineRule="auto"/>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snapToGrid w:val="0"/>
        <w:spacing w:line="500" w:lineRule="exact"/>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r>
        <w:rPr>
          <w:rFonts w:hint="eastAsia" w:ascii="宋体" w:hAnsi="宋体"/>
          <w:sz w:val="24"/>
          <w:szCs w:val="28"/>
        </w:rPr>
        <w:t>注：</w:t>
      </w:r>
    </w:p>
    <w:p>
      <w:pPr>
        <w:snapToGrid w:val="0"/>
        <w:spacing w:line="360" w:lineRule="auto"/>
        <w:ind w:firstLine="480" w:firstLineChars="200"/>
        <w:rPr>
          <w:rFonts w:ascii="宋体" w:hAnsi="宋体"/>
          <w:sz w:val="24"/>
          <w:szCs w:val="28"/>
        </w:rPr>
      </w:pPr>
      <w:r>
        <w:rPr>
          <w:rFonts w:hint="eastAsia" w:ascii="宋体" w:hAnsi="宋体"/>
          <w:sz w:val="24"/>
          <w:szCs w:val="28"/>
        </w:rPr>
        <w:t>1.供应商可自行设计表格格式，分项内容应当完整；</w:t>
      </w:r>
    </w:p>
    <w:p>
      <w:pPr>
        <w:snapToGrid w:val="0"/>
        <w:spacing w:line="360" w:lineRule="auto"/>
        <w:ind w:firstLine="480" w:firstLineChars="200"/>
        <w:rPr>
          <w:rFonts w:ascii="宋体" w:hAnsi="宋体"/>
          <w:sz w:val="24"/>
          <w:szCs w:val="28"/>
        </w:rPr>
      </w:pPr>
      <w:r>
        <w:rPr>
          <w:rFonts w:hint="eastAsia" w:ascii="宋体" w:hAnsi="宋体"/>
          <w:sz w:val="24"/>
          <w:szCs w:val="28"/>
        </w:rPr>
        <w:t>2.该表可扩展；</w:t>
      </w: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pageBreakBefore/>
        <w:tabs>
          <w:tab w:val="left" w:pos="6300"/>
        </w:tabs>
        <w:snapToGrid w:val="0"/>
        <w:spacing w:line="360" w:lineRule="auto"/>
        <w:rPr>
          <w:b/>
          <w:sz w:val="24"/>
          <w:szCs w:val="24"/>
        </w:rPr>
      </w:pPr>
      <w:r>
        <w:rPr>
          <w:rFonts w:hint="eastAsia"/>
          <w:b/>
          <w:sz w:val="24"/>
          <w:szCs w:val="24"/>
        </w:rPr>
        <w:t xml:space="preserve">    </w:t>
      </w:r>
      <w:r>
        <w:rPr>
          <w:b/>
          <w:sz w:val="24"/>
          <w:szCs w:val="24"/>
        </w:rPr>
        <w:t>二、</w:t>
      </w:r>
      <w:r>
        <w:rPr>
          <w:rFonts w:hint="eastAsia"/>
          <w:b/>
          <w:sz w:val="24"/>
          <w:szCs w:val="24"/>
        </w:rPr>
        <w:t>技术</w:t>
      </w:r>
      <w:r>
        <w:rPr>
          <w:b/>
          <w:sz w:val="24"/>
          <w:szCs w:val="24"/>
        </w:rPr>
        <w:t>部分</w:t>
      </w:r>
      <w:bookmarkEnd w:id="124"/>
      <w:bookmarkEnd w:id="125"/>
      <w:bookmarkEnd w:id="126"/>
      <w:bookmarkEnd w:id="127"/>
    </w:p>
    <w:p>
      <w:pPr>
        <w:snapToGrid w:val="0"/>
        <w:spacing w:line="360" w:lineRule="auto"/>
        <w:rPr>
          <w:rFonts w:ascii="宋体" w:hAnsi="宋体"/>
          <w:sz w:val="24"/>
          <w:szCs w:val="24"/>
        </w:rPr>
      </w:pPr>
      <w:r>
        <w:rPr>
          <w:rFonts w:hint="eastAsia"/>
          <w:sz w:val="24"/>
          <w:szCs w:val="24"/>
        </w:rPr>
        <w:t xml:space="preserve">    </w:t>
      </w:r>
      <w:r>
        <w:rPr>
          <w:rFonts w:hint="eastAsia" w:ascii="宋体" w:hAnsi="宋体"/>
          <w:sz w:val="24"/>
          <w:szCs w:val="24"/>
        </w:rPr>
        <w:t>（一）服务方案</w:t>
      </w:r>
    </w:p>
    <w:p>
      <w:pPr>
        <w:snapToGrid w:val="0"/>
        <w:spacing w:line="360" w:lineRule="auto"/>
        <w:rPr>
          <w:rFonts w:ascii="宋体" w:hAnsi="宋体"/>
          <w:sz w:val="24"/>
          <w:szCs w:val="24"/>
        </w:rPr>
      </w:pPr>
      <w:r>
        <w:rPr>
          <w:rFonts w:hint="eastAsia" w:ascii="宋体" w:hAnsi="宋体"/>
          <w:sz w:val="24"/>
          <w:szCs w:val="24"/>
        </w:rPr>
        <w:t xml:space="preserve">    （二）技术响应偏离表</w:t>
      </w:r>
    </w:p>
    <w:p>
      <w:pPr>
        <w:tabs>
          <w:tab w:val="left" w:pos="6300"/>
        </w:tabs>
        <w:snapToGrid w:val="0"/>
        <w:spacing w:line="360" w:lineRule="auto"/>
        <w:jc w:val="center"/>
        <w:rPr>
          <w:rFonts w:ascii="宋体" w:hAnsi="宋体"/>
          <w:szCs w:val="24"/>
        </w:rPr>
      </w:pPr>
      <w:r>
        <w:rPr>
          <w:rFonts w:hint="eastAsia" w:ascii="宋体" w:hAnsi="宋体"/>
          <w:szCs w:val="24"/>
        </w:rPr>
        <w:t>技术响应偏离表</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项目号：</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65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759"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633"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bl>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r>
        <w:rPr>
          <w:rFonts w:hint="eastAsia" w:ascii="宋体" w:hAnsi="宋体"/>
          <w:sz w:val="24"/>
          <w:szCs w:val="28"/>
        </w:rPr>
        <w:t>供应商：             法定代表人（或法定代表人授权代表）或自然人：</w:t>
      </w: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 xml:space="preserve">   （供应商公章）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360" w:lineRule="auto"/>
        <w:ind w:firstLine="480" w:firstLineChars="200"/>
        <w:rPr>
          <w:rFonts w:ascii="宋体" w:hAnsi="宋体"/>
          <w:sz w:val="24"/>
        </w:rPr>
      </w:pPr>
      <w:r>
        <w:rPr>
          <w:rFonts w:hint="eastAsia" w:ascii="宋体" w:hAnsi="宋体"/>
          <w:sz w:val="24"/>
        </w:rPr>
        <w:t>注：</w:t>
      </w:r>
    </w:p>
    <w:p>
      <w:pPr>
        <w:tabs>
          <w:tab w:val="left" w:pos="6300"/>
        </w:tabs>
        <w:snapToGrid w:val="0"/>
        <w:spacing w:line="360" w:lineRule="auto"/>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.本表即为对本项目“第二篇 采购技术和服务需求”中所列技术要求进行比较和响应；</w:t>
      </w:r>
    </w:p>
    <w:p>
      <w:pPr>
        <w:tabs>
          <w:tab w:val="left" w:pos="6300"/>
        </w:tabs>
        <w:snapToGrid w:val="0"/>
        <w:spacing w:line="360" w:lineRule="auto"/>
        <w:ind w:firstLine="480" w:firstLineChars="200"/>
        <w:rPr>
          <w:rFonts w:ascii="宋体" w:hAnsi="宋体"/>
          <w:sz w:val="24"/>
        </w:rPr>
      </w:pPr>
      <w:r>
        <w:rPr>
          <w:rFonts w:hint="eastAsia" w:ascii="宋体" w:hAnsi="宋体"/>
          <w:sz w:val="24"/>
        </w:rPr>
        <w:t>2.该表必须按照招标要求逐条如实填写，根据响应情况在“差异说明”项填写正偏离或负偏离及原因，完全符合的填写“无差异”；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rPr>
      </w:pPr>
      <w:r>
        <w:rPr>
          <w:rFonts w:hint="eastAsia" w:ascii="宋体" w:hAnsi="宋体"/>
          <w:sz w:val="24"/>
        </w:rPr>
        <w:t>3.该表可扩展；</w:t>
      </w:r>
    </w:p>
    <w:p>
      <w:pPr>
        <w:pageBreakBefore/>
        <w:tabs>
          <w:tab w:val="left" w:pos="6300"/>
        </w:tabs>
        <w:snapToGrid w:val="0"/>
        <w:spacing w:line="360" w:lineRule="auto"/>
        <w:rPr>
          <w:b/>
          <w:sz w:val="24"/>
          <w:szCs w:val="24"/>
        </w:rPr>
      </w:pPr>
      <w:bookmarkStart w:id="128" w:name="_Toc342913421"/>
      <w:bookmarkStart w:id="129" w:name="_Toc313008358"/>
      <w:bookmarkStart w:id="130" w:name="_Toc23764524"/>
      <w:bookmarkStart w:id="131" w:name="_Toc313888362"/>
      <w:r>
        <w:rPr>
          <w:rFonts w:hint="eastAsia"/>
          <w:sz w:val="24"/>
          <w:szCs w:val="24"/>
        </w:rPr>
        <w:t xml:space="preserve">   </w:t>
      </w:r>
      <w:r>
        <w:rPr>
          <w:rFonts w:hint="eastAsia"/>
          <w:b/>
          <w:sz w:val="24"/>
          <w:szCs w:val="24"/>
        </w:rPr>
        <w:t xml:space="preserve"> </w:t>
      </w:r>
      <w:r>
        <w:rPr>
          <w:b/>
          <w:sz w:val="24"/>
          <w:szCs w:val="24"/>
        </w:rPr>
        <w:t>三、商务部分</w:t>
      </w:r>
      <w:bookmarkEnd w:id="128"/>
      <w:bookmarkEnd w:id="129"/>
      <w:bookmarkEnd w:id="130"/>
      <w:bookmarkEnd w:id="131"/>
    </w:p>
    <w:p>
      <w:pPr>
        <w:tabs>
          <w:tab w:val="left" w:pos="6300"/>
        </w:tabs>
        <w:snapToGrid w:val="0"/>
        <w:spacing w:line="360" w:lineRule="auto"/>
        <w:rPr>
          <w:sz w:val="24"/>
          <w:szCs w:val="24"/>
        </w:rPr>
      </w:pPr>
      <w:r>
        <w:rPr>
          <w:rFonts w:hint="eastAsia"/>
          <w:sz w:val="24"/>
          <w:szCs w:val="24"/>
        </w:rPr>
        <w:t xml:space="preserve">    （一）商务要求响应情况（格式自定）：</w:t>
      </w:r>
    </w:p>
    <w:p>
      <w:pPr>
        <w:tabs>
          <w:tab w:val="left" w:pos="6300"/>
        </w:tabs>
        <w:snapToGrid w:val="0"/>
        <w:spacing w:line="360" w:lineRule="auto"/>
        <w:rPr>
          <w:rFonts w:ascii="宋体" w:hAnsi="宋体"/>
          <w:sz w:val="24"/>
          <w:szCs w:val="24"/>
        </w:rPr>
      </w:pPr>
      <w:r>
        <w:rPr>
          <w:rFonts w:hint="eastAsia"/>
          <w:sz w:val="24"/>
          <w:szCs w:val="24"/>
        </w:rPr>
        <w:t xml:space="preserve">    （二）商务响应偏离表</w:t>
      </w:r>
    </w:p>
    <w:p>
      <w:pPr>
        <w:tabs>
          <w:tab w:val="left" w:pos="6300"/>
        </w:tabs>
        <w:snapToGrid w:val="0"/>
        <w:spacing w:line="360" w:lineRule="auto"/>
        <w:jc w:val="center"/>
        <w:rPr>
          <w:rFonts w:ascii="宋体" w:hAnsi="宋体"/>
          <w:szCs w:val="28"/>
        </w:rPr>
      </w:pPr>
      <w:r>
        <w:rPr>
          <w:rFonts w:hint="eastAsia" w:ascii="宋体" w:hAnsi="宋体"/>
          <w:szCs w:val="28"/>
        </w:rPr>
        <w:t>商务响应偏离表</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项目号：</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428"/>
        <w:gridCol w:w="252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8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42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52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416"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bl>
    <w:p>
      <w:pPr>
        <w:spacing w:line="360" w:lineRule="auto"/>
        <w:ind w:firstLine="480" w:firstLineChars="200"/>
        <w:rPr>
          <w:rFonts w:ascii="宋体" w:hAnsi="宋体"/>
          <w:sz w:val="24"/>
          <w:szCs w:val="28"/>
        </w:rPr>
      </w:pPr>
      <w:r>
        <w:rPr>
          <w:rFonts w:hint="eastAsia" w:ascii="宋体" w:hAnsi="宋体"/>
          <w:sz w:val="24"/>
          <w:szCs w:val="28"/>
        </w:rPr>
        <w:t xml:space="preserve">供应商：                         </w:t>
      </w:r>
      <w:r>
        <w:rPr>
          <w:rFonts w:ascii="宋体" w:hAnsi="宋体"/>
          <w:sz w:val="24"/>
          <w:szCs w:val="28"/>
        </w:rPr>
        <w:t xml:space="preserve"> </w:t>
      </w:r>
      <w:r>
        <w:rPr>
          <w:rFonts w:hint="eastAsia" w:ascii="宋体" w:hAnsi="宋体"/>
          <w:sz w:val="24"/>
          <w:szCs w:val="28"/>
        </w:rPr>
        <w:t>法定代表人（或法定代表人授权代表）或自然人：</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（供应商公章）                          （签字或盖章）</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注：1.本表即为对本项目“第三篇 项目商务要求”中所列商务条款进行比较和响应；</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2.该表必须按照采购文件要求逐条如实填写，根据投标情况在“差异说明”项填写正偏离或负偏离及原因，完全符合的填写“无差异”。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3.该表可扩展。</w:t>
      </w: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500" w:lineRule="exact"/>
        <w:ind w:firstLine="480" w:firstLineChars="200"/>
        <w:rPr>
          <w:rFonts w:ascii="宋体" w:hAnsi="宋体"/>
          <w:sz w:val="24"/>
          <w:szCs w:val="24"/>
        </w:rPr>
      </w:pPr>
      <w:r>
        <w:rPr>
          <w:rFonts w:hint="eastAsia" w:ascii="宋体" w:hAnsi="宋体"/>
          <w:sz w:val="24"/>
          <w:szCs w:val="24"/>
        </w:rPr>
        <w:t>（三）其它优惠承诺（格式自定）</w:t>
      </w:r>
    </w:p>
    <w:p>
      <w:pPr>
        <w:pStyle w:val="2"/>
      </w:pPr>
    </w:p>
    <w:p>
      <w:pPr>
        <w:pageBreakBefore/>
        <w:tabs>
          <w:tab w:val="left" w:pos="6300"/>
        </w:tabs>
        <w:snapToGrid w:val="0"/>
        <w:spacing w:line="360" w:lineRule="auto"/>
        <w:rPr>
          <w:b/>
          <w:sz w:val="24"/>
          <w:szCs w:val="24"/>
        </w:rPr>
      </w:pPr>
      <w:bookmarkStart w:id="132" w:name="_Toc23764525"/>
      <w:bookmarkStart w:id="133" w:name="_Toc313888363"/>
      <w:bookmarkStart w:id="134" w:name="_Toc342913422"/>
      <w:bookmarkStart w:id="135" w:name="_Toc313008359"/>
      <w:r>
        <w:rPr>
          <w:rFonts w:hint="eastAsia"/>
          <w:b/>
          <w:sz w:val="24"/>
          <w:szCs w:val="24"/>
        </w:rPr>
        <w:t xml:space="preserve">    </w:t>
      </w:r>
      <w:r>
        <w:rPr>
          <w:b/>
          <w:sz w:val="24"/>
          <w:szCs w:val="24"/>
        </w:rPr>
        <w:t>四、资格条件及其他</w:t>
      </w:r>
      <w:bookmarkEnd w:id="132"/>
      <w:bookmarkEnd w:id="133"/>
      <w:bookmarkEnd w:id="134"/>
      <w:bookmarkEnd w:id="135"/>
    </w:p>
    <w:p>
      <w:pPr>
        <w:tabs>
          <w:tab w:val="left" w:pos="6300"/>
        </w:tabs>
        <w:snapToGrid w:val="0"/>
        <w:spacing w:line="360" w:lineRule="auto"/>
        <w:ind w:firstLine="570"/>
        <w:rPr>
          <w:rFonts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60" w:lineRule="auto"/>
        <w:rPr>
          <w:rFonts w:ascii="宋体" w:hAnsi="宋体"/>
          <w:sz w:val="24"/>
          <w:szCs w:val="24"/>
        </w:rPr>
      </w:pPr>
    </w:p>
    <w:p>
      <w:pPr>
        <w:widowControl/>
        <w:snapToGrid w:val="0"/>
        <w:spacing w:line="360" w:lineRule="auto"/>
        <w:ind w:firstLine="600" w:firstLineChars="250"/>
        <w:jc w:val="left"/>
        <w:rPr>
          <w:rFonts w:ascii="宋体" w:hAnsi="宋体"/>
          <w:sz w:val="24"/>
          <w:szCs w:val="24"/>
        </w:rPr>
      </w:pPr>
      <w:r>
        <w:rPr>
          <w:rFonts w:hint="eastAsia" w:ascii="宋体" w:hAnsi="宋体"/>
          <w:sz w:val="24"/>
          <w:szCs w:val="24"/>
        </w:rPr>
        <w:t>（二）</w:t>
      </w:r>
      <w:r>
        <w:rPr>
          <w:rFonts w:ascii="宋体" w:hAnsi="宋体"/>
          <w:sz w:val="24"/>
          <w:szCs w:val="24"/>
        </w:rPr>
        <w:t>法定代表人身份证明书（格式）</w:t>
      </w:r>
    </w:p>
    <w:p>
      <w:pPr>
        <w:tabs>
          <w:tab w:val="left" w:pos="6300"/>
        </w:tabs>
        <w:snapToGrid w:val="0"/>
        <w:spacing w:line="500" w:lineRule="exact"/>
        <w:jc w:val="center"/>
        <w:rPr>
          <w:rFonts w:ascii="宋体" w:hAnsi="宋体"/>
        </w:rPr>
      </w:pPr>
      <w:r>
        <w:rPr>
          <w:rFonts w:ascii="宋体" w:hAnsi="宋体"/>
        </w:rPr>
        <w:t>法定代表人身份证明书</w:t>
      </w:r>
    </w:p>
    <w:p>
      <w:pPr>
        <w:tabs>
          <w:tab w:val="left" w:pos="6300"/>
        </w:tabs>
        <w:snapToGrid w:val="0"/>
        <w:spacing w:line="500" w:lineRule="exact"/>
        <w:jc w:val="center"/>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项目名称：</w:t>
      </w:r>
      <w:r>
        <w:rPr>
          <w:rFonts w:ascii="宋体" w:hAnsi="宋体"/>
          <w:sz w:val="24"/>
          <w:szCs w:val="24"/>
          <w:u w:val="single"/>
        </w:rPr>
        <w:t xml:space="preserve">                                                </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（供应商公章）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年   月   日</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（附：法定代表人身份证正反面复印件）</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480" w:firstLineChars="200"/>
        <w:rPr>
          <w:rFonts w:ascii="宋体" w:hAnsi="宋体"/>
          <w:sz w:val="24"/>
          <w:szCs w:val="24"/>
        </w:rPr>
      </w:pPr>
    </w:p>
    <w:p>
      <w:pPr>
        <w:pageBreakBefore/>
        <w:tabs>
          <w:tab w:val="left" w:pos="6300"/>
        </w:tabs>
        <w:snapToGrid w:val="0"/>
        <w:spacing w:line="360" w:lineRule="auto"/>
        <w:ind w:firstLine="480" w:firstLineChars="200"/>
        <w:rPr>
          <w:sz w:val="24"/>
          <w:szCs w:val="24"/>
        </w:rPr>
      </w:pPr>
      <w:r>
        <w:rPr>
          <w:rFonts w:hint="eastAsia" w:ascii="宋体" w:hAnsi="宋体"/>
          <w:sz w:val="24"/>
          <w:szCs w:val="24"/>
        </w:rPr>
        <w:t>（三）</w:t>
      </w:r>
      <w:r>
        <w:rPr>
          <w:rFonts w:ascii="宋体" w:hAnsi="宋体"/>
          <w:sz w:val="24"/>
          <w:szCs w:val="24"/>
        </w:rPr>
        <w:t>法定</w:t>
      </w:r>
      <w:r>
        <w:rPr>
          <w:sz w:val="24"/>
          <w:szCs w:val="24"/>
        </w:rPr>
        <w:t>代表人授权委托书（格式）</w:t>
      </w:r>
    </w:p>
    <w:p>
      <w:pPr>
        <w:tabs>
          <w:tab w:val="left" w:pos="6300"/>
        </w:tabs>
        <w:snapToGrid w:val="0"/>
        <w:spacing w:line="500" w:lineRule="exact"/>
        <w:jc w:val="center"/>
      </w:pPr>
      <w:r>
        <w:t>法定代表人授权委托书</w:t>
      </w:r>
    </w:p>
    <w:p>
      <w:pPr>
        <w:tabs>
          <w:tab w:val="left" w:pos="6300"/>
        </w:tabs>
        <w:snapToGrid w:val="0"/>
        <w:spacing w:line="500" w:lineRule="exact"/>
        <w:jc w:val="center"/>
        <w:rPr>
          <w:sz w:val="24"/>
          <w:szCs w:val="24"/>
        </w:rPr>
      </w:pPr>
    </w:p>
    <w:p>
      <w:pPr>
        <w:tabs>
          <w:tab w:val="left" w:pos="6300"/>
        </w:tabs>
        <w:snapToGrid w:val="0"/>
        <w:spacing w:line="500" w:lineRule="exact"/>
        <w:ind w:firstLine="480" w:firstLineChars="200"/>
        <w:rPr>
          <w:sz w:val="24"/>
          <w:szCs w:val="24"/>
        </w:rPr>
      </w:pPr>
      <w:r>
        <w:rPr>
          <w:sz w:val="24"/>
          <w:szCs w:val="24"/>
        </w:rPr>
        <w:t>项目名称：</w:t>
      </w:r>
      <w:r>
        <w:rPr>
          <w:sz w:val="24"/>
          <w:szCs w:val="24"/>
          <w:u w:val="single"/>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480" w:firstLineChars="200"/>
        <w:rPr>
          <w:sz w:val="24"/>
          <w:szCs w:val="24"/>
        </w:rPr>
      </w:pPr>
      <w:r>
        <w:rPr>
          <w:sz w:val="24"/>
          <w:szCs w:val="24"/>
        </w:rPr>
        <w:t>致：</w:t>
      </w:r>
      <w:r>
        <w:rPr>
          <w:sz w:val="24"/>
          <w:szCs w:val="24"/>
          <w:u w:val="single"/>
        </w:rPr>
        <w:t xml:space="preserve">                     </w:t>
      </w:r>
      <w:r>
        <w:rPr>
          <w:sz w:val="24"/>
          <w:szCs w:val="24"/>
        </w:rPr>
        <w:t>（采购代理机构名称）：</w:t>
      </w:r>
    </w:p>
    <w:p>
      <w:pPr>
        <w:tabs>
          <w:tab w:val="left" w:pos="6300"/>
        </w:tabs>
        <w:snapToGrid w:val="0"/>
        <w:spacing w:line="500" w:lineRule="exact"/>
        <w:ind w:firstLine="480" w:firstLineChars="200"/>
        <w:rPr>
          <w:sz w:val="24"/>
          <w:szCs w:val="24"/>
        </w:rPr>
      </w:pPr>
      <w:r>
        <w:rPr>
          <w:sz w:val="24"/>
          <w:szCs w:val="24"/>
          <w:u w:val="single"/>
        </w:rPr>
        <w:t xml:space="preserve">            </w:t>
      </w:r>
      <w:r>
        <w:rPr>
          <w:sz w:val="24"/>
          <w:szCs w:val="24"/>
        </w:rPr>
        <w:t>（供应商法定代表人名称）是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sz w:val="24"/>
          <w:szCs w:val="24"/>
        </w:rPr>
      </w:pPr>
      <w:r>
        <w:rPr>
          <w:sz w:val="24"/>
          <w:szCs w:val="24"/>
        </w:rPr>
        <w:t>我单位对被授权人的签字负全部责任。</w:t>
      </w:r>
    </w:p>
    <w:p>
      <w:pPr>
        <w:tabs>
          <w:tab w:val="left" w:pos="6300"/>
        </w:tabs>
        <w:snapToGrid w:val="0"/>
        <w:spacing w:line="500" w:lineRule="exact"/>
        <w:ind w:firstLine="480" w:firstLineChars="200"/>
        <w:rPr>
          <w:sz w:val="24"/>
          <w:szCs w:val="24"/>
        </w:rPr>
      </w:pPr>
      <w:r>
        <w:rPr>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被授权人：                                 供应商法定代表人：</w:t>
      </w:r>
    </w:p>
    <w:p>
      <w:pPr>
        <w:tabs>
          <w:tab w:val="left" w:pos="6300"/>
        </w:tabs>
        <w:snapToGrid w:val="0"/>
        <w:spacing w:line="500" w:lineRule="exact"/>
        <w:ind w:firstLine="570"/>
        <w:rPr>
          <w:sz w:val="24"/>
          <w:szCs w:val="24"/>
        </w:rPr>
      </w:pPr>
      <w:r>
        <w:rPr>
          <w:sz w:val="24"/>
          <w:szCs w:val="24"/>
        </w:rPr>
        <w:t>（签字或盖章）                                （签字或盖章）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（附：被授权人身份证正反面复印件）</w:t>
      </w:r>
    </w:p>
    <w:p>
      <w:pPr>
        <w:tabs>
          <w:tab w:val="left" w:pos="6300"/>
        </w:tabs>
        <w:snapToGrid w:val="0"/>
        <w:spacing w:line="500" w:lineRule="exact"/>
        <w:ind w:firstLine="570"/>
        <w:rPr>
          <w:sz w:val="24"/>
          <w:szCs w:val="24"/>
        </w:rPr>
      </w:pPr>
      <w:r>
        <w:rPr>
          <w:sz w:val="24"/>
          <w:szCs w:val="24"/>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right="480" w:firstLine="570"/>
        <w:jc w:val="right"/>
        <w:rPr>
          <w:sz w:val="24"/>
          <w:szCs w:val="24"/>
        </w:rPr>
      </w:pPr>
      <w:r>
        <w:rPr>
          <w:sz w:val="24"/>
          <w:szCs w:val="24"/>
        </w:rPr>
        <w:t>（供应商公章）</w:t>
      </w:r>
    </w:p>
    <w:p>
      <w:pPr>
        <w:tabs>
          <w:tab w:val="left" w:pos="6300"/>
        </w:tabs>
        <w:snapToGrid w:val="0"/>
        <w:spacing w:line="500" w:lineRule="exact"/>
        <w:ind w:right="480" w:firstLine="570"/>
        <w:jc w:val="right"/>
        <w:rPr>
          <w:sz w:val="24"/>
          <w:szCs w:val="24"/>
        </w:rPr>
      </w:pPr>
      <w:r>
        <w:rPr>
          <w:sz w:val="24"/>
          <w:szCs w:val="24"/>
        </w:rPr>
        <w:t>年   月   日</w:t>
      </w:r>
    </w:p>
    <w:p>
      <w:pPr>
        <w:tabs>
          <w:tab w:val="left" w:pos="6300"/>
        </w:tabs>
        <w:snapToGrid w:val="0"/>
        <w:spacing w:line="500" w:lineRule="exact"/>
        <w:ind w:right="480" w:firstLine="570"/>
        <w:jc w:val="right"/>
        <w:rPr>
          <w:sz w:val="24"/>
          <w:szCs w:val="24"/>
        </w:rPr>
      </w:pPr>
    </w:p>
    <w:p>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pPr>
        <w:tabs>
          <w:tab w:val="left" w:pos="6300"/>
        </w:tabs>
        <w:snapToGrid w:val="0"/>
        <w:spacing w:line="360" w:lineRule="auto"/>
        <w:ind w:firstLine="560" w:firstLineChars="200"/>
        <w:rPr>
          <w:rFonts w:ascii="宋体" w:hAnsi="宋体"/>
          <w:color w:val="000000"/>
          <w:sz w:val="24"/>
        </w:rPr>
      </w:pPr>
      <w:r>
        <w:rPr>
          <w:rFonts w:ascii="宋体" w:hAnsi="宋体"/>
        </w:rPr>
        <w:br w:type="column"/>
      </w:r>
      <w:r>
        <w:rPr>
          <w:rFonts w:hint="eastAsia" w:ascii="宋体" w:hAnsi="宋体"/>
          <w:color w:val="000000"/>
          <w:sz w:val="24"/>
        </w:rPr>
        <w:t>（四）基本资格条件承诺函（格式）</w:t>
      </w:r>
    </w:p>
    <w:p>
      <w:pPr>
        <w:tabs>
          <w:tab w:val="left" w:pos="6300"/>
        </w:tabs>
        <w:snapToGrid w:val="0"/>
        <w:spacing w:line="360" w:lineRule="auto"/>
        <w:jc w:val="center"/>
        <w:rPr>
          <w:rFonts w:ascii="宋体" w:hAnsi="宋体"/>
          <w:sz w:val="36"/>
          <w:szCs w:val="36"/>
        </w:rPr>
      </w:pPr>
      <w:r>
        <w:rPr>
          <w:rFonts w:hint="eastAsia" w:ascii="宋体" w:hAnsi="宋体"/>
          <w:sz w:val="36"/>
          <w:szCs w:val="36"/>
        </w:rPr>
        <w:t>基本资格条件承诺函</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（采购代理机构名称）：</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（供应商名称）郑重承诺：</w:t>
      </w:r>
    </w:p>
    <w:p>
      <w:pPr>
        <w:spacing w:line="360" w:lineRule="auto"/>
        <w:ind w:firstLine="480" w:firstLineChars="200"/>
        <w:rPr>
          <w:rFonts w:ascii="宋体" w:hAnsi="宋体"/>
          <w:sz w:val="24"/>
          <w:szCs w:val="24"/>
        </w:rPr>
      </w:pPr>
      <w:r>
        <w:rPr>
          <w:rFonts w:hint="eastAsia" w:ascii="宋体" w:hAnsi="宋体"/>
          <w:sz w:val="24"/>
          <w:szCs w:val="24"/>
        </w:rPr>
        <w:t>1.我方具有良好的商业信誉和健全的财务会计制度，具有履行合同所必需的设备和专业技术能力，具</w:t>
      </w:r>
      <w:r>
        <w:rPr>
          <w:rFonts w:hint="eastAsia" w:ascii="宋体" w:hAnsi="宋体" w:cs="仿宋_GB2312"/>
          <w:sz w:val="24"/>
          <w:szCs w:val="24"/>
          <w:lang w:val="zh-CN"/>
        </w:rPr>
        <w:t>有依法缴纳税收和社会保障金的良好记录</w:t>
      </w:r>
      <w:r>
        <w:rPr>
          <w:rFonts w:hint="eastAsia" w:ascii="宋体" w:hAnsi="宋体" w:cs="仿宋_GB2312"/>
          <w:sz w:val="24"/>
          <w:szCs w:val="24"/>
        </w:rPr>
        <w:t>，</w:t>
      </w:r>
      <w:r>
        <w:rPr>
          <w:rFonts w:hint="eastAsia" w:ascii="宋体" w:hAnsi="宋体"/>
          <w:sz w:val="24"/>
          <w:szCs w:val="24"/>
        </w:rPr>
        <w:t>参加本项目采购活动前三年内无重大违法活动记录。</w:t>
      </w:r>
    </w:p>
    <w:p>
      <w:pPr>
        <w:spacing w:line="360" w:lineRule="auto"/>
        <w:ind w:firstLine="480" w:firstLineChars="200"/>
        <w:rPr>
          <w:rFonts w:ascii="宋体" w:hAnsi="宋体"/>
          <w:sz w:val="24"/>
          <w:szCs w:val="24"/>
        </w:rPr>
      </w:pPr>
      <w:r>
        <w:rPr>
          <w:rFonts w:hint="eastAsia" w:ascii="宋体" w:hAnsi="宋体"/>
          <w:sz w:val="24"/>
          <w:szCs w:val="24"/>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480" w:firstLineChars="200"/>
        <w:rPr>
          <w:rFonts w:ascii="宋体" w:hAnsi="宋体"/>
          <w:sz w:val="24"/>
          <w:szCs w:val="24"/>
        </w:rPr>
      </w:pPr>
      <w:r>
        <w:rPr>
          <w:rFonts w:hint="eastAsia" w:ascii="宋体" w:hAnsi="宋体"/>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我方对以上承诺负全部法律责任。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特此承诺。</w:t>
      </w:r>
    </w:p>
    <w:p>
      <w:pPr>
        <w:tabs>
          <w:tab w:val="left" w:pos="6300"/>
        </w:tabs>
        <w:snapToGrid w:val="0"/>
        <w:spacing w:line="360" w:lineRule="auto"/>
        <w:rPr>
          <w:rFonts w:ascii="宋体" w:hAnsi="宋体"/>
          <w:sz w:val="24"/>
          <w:szCs w:val="24"/>
        </w:rPr>
      </w:pPr>
    </w:p>
    <w:p>
      <w:pPr>
        <w:tabs>
          <w:tab w:val="left" w:pos="6300"/>
        </w:tabs>
        <w:snapToGrid w:val="0"/>
        <w:spacing w:line="360" w:lineRule="auto"/>
        <w:ind w:right="424" w:firstLine="570"/>
        <w:jc w:val="right"/>
        <w:rPr>
          <w:rFonts w:ascii="宋体" w:hAnsi="宋体"/>
          <w:sz w:val="24"/>
          <w:szCs w:val="24"/>
        </w:rPr>
      </w:pPr>
      <w:r>
        <w:rPr>
          <w:rFonts w:hint="eastAsia" w:ascii="宋体" w:hAnsi="宋体"/>
          <w:sz w:val="24"/>
          <w:szCs w:val="24"/>
        </w:rPr>
        <w:t>（供应商公章）</w:t>
      </w:r>
    </w:p>
    <w:p>
      <w:pPr>
        <w:tabs>
          <w:tab w:val="left" w:pos="6300"/>
        </w:tabs>
        <w:snapToGrid w:val="0"/>
        <w:spacing w:line="360" w:lineRule="auto"/>
        <w:ind w:right="480" w:firstLine="570"/>
        <w:jc w:val="right"/>
        <w:rPr>
          <w:rFonts w:ascii="宋体" w:hAnsi="宋体"/>
          <w:sz w:val="24"/>
          <w:szCs w:val="24"/>
        </w:rPr>
      </w:pPr>
      <w:r>
        <w:rPr>
          <w:rFonts w:hint="eastAsia" w:ascii="宋体" w:hAnsi="宋体"/>
          <w:sz w:val="24"/>
          <w:szCs w:val="24"/>
        </w:rPr>
        <w:t>年   月   日</w:t>
      </w:r>
    </w:p>
    <w:p>
      <w:pPr>
        <w:spacing w:line="360" w:lineRule="auto"/>
      </w:pPr>
    </w:p>
    <w:p>
      <w:pPr>
        <w:tabs>
          <w:tab w:val="left" w:pos="6300"/>
        </w:tabs>
        <w:snapToGrid w:val="0"/>
        <w:spacing w:line="360" w:lineRule="auto"/>
        <w:ind w:firstLine="480" w:firstLineChars="200"/>
        <w:rPr>
          <w:rFonts w:ascii="宋体" w:hAnsi="宋体"/>
          <w:color w:val="000000"/>
          <w:sz w:val="24"/>
        </w:rPr>
      </w:pPr>
      <w:r>
        <w:rPr>
          <w:rFonts w:hint="eastAsia" w:ascii="宋体" w:hAnsi="宋体"/>
          <w:color w:val="000000"/>
          <w:sz w:val="24"/>
        </w:rPr>
        <w:t>（五）特定资格条件证书或证明文件</w:t>
      </w:r>
    </w:p>
    <w:p>
      <w:pPr>
        <w:tabs>
          <w:tab w:val="left" w:pos="6300"/>
        </w:tabs>
        <w:snapToGrid w:val="0"/>
        <w:spacing w:line="360" w:lineRule="auto"/>
        <w:ind w:firstLine="573"/>
        <w:rPr>
          <w:sz w:val="24"/>
          <w:szCs w:val="24"/>
        </w:rPr>
      </w:pPr>
      <w:r>
        <w:rPr>
          <w:rFonts w:hint="eastAsia"/>
          <w:sz w:val="24"/>
          <w:szCs w:val="24"/>
        </w:rPr>
        <w:t xml:space="preserve">    </w:t>
      </w:r>
    </w:p>
    <w:p>
      <w:pPr>
        <w:tabs>
          <w:tab w:val="left" w:pos="6300"/>
        </w:tabs>
        <w:snapToGrid w:val="0"/>
        <w:spacing w:line="360" w:lineRule="auto"/>
        <w:ind w:firstLine="560" w:firstLineChars="200"/>
        <w:rPr>
          <w:rFonts w:ascii="宋体" w:hAnsi="宋体"/>
          <w:color w:val="000000"/>
          <w:sz w:val="24"/>
        </w:rPr>
      </w:pPr>
      <w:r>
        <w:br w:type="page"/>
      </w:r>
      <w:r>
        <w:rPr>
          <w:rFonts w:ascii="宋体" w:hAnsi="宋体"/>
          <w:color w:val="000000"/>
          <w:sz w:val="24"/>
        </w:rPr>
        <w:t>（</w:t>
      </w:r>
      <w:r>
        <w:rPr>
          <w:rFonts w:hint="eastAsia" w:ascii="宋体" w:hAnsi="宋体"/>
          <w:color w:val="000000"/>
          <w:sz w:val="24"/>
        </w:rPr>
        <w:t>六</w:t>
      </w:r>
      <w:r>
        <w:rPr>
          <w:rFonts w:ascii="宋体" w:hAnsi="宋体"/>
          <w:color w:val="000000"/>
          <w:sz w:val="24"/>
        </w:rPr>
        <w:t>）其他应提供的资料</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1.中小企业声明函、监狱企业证明文件、残疾人福利性单位声明函</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w:t>
      </w:r>
    </w:p>
    <w:p>
      <w:pPr>
        <w:snapToGrid w:val="0"/>
        <w:spacing w:line="500" w:lineRule="exact"/>
        <w:jc w:val="center"/>
        <w:rPr>
          <w:rFonts w:ascii="宋体" w:hAnsi="宋体"/>
          <w:szCs w:val="28"/>
        </w:rPr>
      </w:pPr>
      <w:r>
        <w:rPr>
          <w:rFonts w:hint="eastAsia" w:ascii="宋体" w:hAnsi="宋体"/>
        </w:rPr>
        <w:t>中小企业声明函</w:t>
      </w:r>
    </w:p>
    <w:p>
      <w:pPr>
        <w:spacing w:line="400" w:lineRule="exact"/>
        <w:ind w:firstLine="480" w:firstLineChars="200"/>
        <w:rPr>
          <w:rFonts w:ascii="宋体" w:hAnsi="宋体"/>
          <w:sz w:val="24"/>
          <w:szCs w:val="24"/>
        </w:rPr>
      </w:pPr>
      <w:r>
        <w:rPr>
          <w:rFonts w:hint="eastAsia" w:ascii="宋体" w:hAnsi="宋体" w:cs="微软雅黑"/>
          <w:sz w:val="24"/>
          <w:szCs w:val="24"/>
        </w:rPr>
        <w:t>本公司郑重声明，根据《政府采购促进中小企业发展管理办法》（财</w:t>
      </w:r>
      <w:r>
        <w:rPr>
          <w:rFonts w:hint="eastAsia" w:ascii="宋体" w:hAnsi="宋体"/>
          <w:sz w:val="24"/>
          <w:szCs w:val="24"/>
        </w:rPr>
        <w:t>库﹝</w:t>
      </w:r>
      <w:r>
        <w:rPr>
          <w:rFonts w:hint="eastAsia" w:ascii="宋体" w:hAnsi="宋体" w:cs="微软雅黑"/>
          <w:sz w:val="24"/>
          <w:szCs w:val="24"/>
        </w:rPr>
        <w:t>2020</w:t>
      </w:r>
      <w:r>
        <w:rPr>
          <w:rFonts w:hint="eastAsia" w:ascii="宋体" w:hAnsi="宋体"/>
          <w:sz w:val="24"/>
          <w:szCs w:val="24"/>
        </w:rPr>
        <w:t>﹞4</w:t>
      </w:r>
      <w:r>
        <w:rPr>
          <w:rFonts w:ascii="宋体" w:hAnsi="宋体"/>
          <w:sz w:val="24"/>
          <w:szCs w:val="24"/>
        </w:rPr>
        <w:t xml:space="preserve"> </w:t>
      </w:r>
      <w:r>
        <w:rPr>
          <w:rFonts w:hint="eastAsia" w:ascii="宋体" w:hAnsi="宋体" w:cs="微软雅黑"/>
          <w:sz w:val="24"/>
          <w:szCs w:val="24"/>
        </w:rPr>
        <w:t>6号）的规定，本公司参加</w:t>
      </w:r>
      <w:r>
        <w:rPr>
          <w:rFonts w:hint="eastAsia" w:ascii="宋体" w:hAnsi="宋体" w:cs="微软雅黑"/>
          <w:sz w:val="24"/>
          <w:szCs w:val="24"/>
          <w:u w:val="single" w:color="000000"/>
        </w:rPr>
        <w:t>(</w:t>
      </w:r>
      <w:r>
        <w:rPr>
          <w:rFonts w:hint="eastAsia" w:ascii="宋体" w:hAnsi="宋体"/>
          <w:sz w:val="24"/>
          <w:szCs w:val="24"/>
          <w:u w:val="single" w:color="000000"/>
        </w:rPr>
        <w:t>单位名称)</w:t>
      </w:r>
      <w:r>
        <w:rPr>
          <w:rFonts w:hint="eastAsia" w:ascii="宋体" w:hAnsi="宋体" w:cs="微软雅黑"/>
          <w:sz w:val="24"/>
          <w:szCs w:val="24"/>
        </w:rPr>
        <w:t>采购活动，服务</w:t>
      </w:r>
      <w:r>
        <w:rPr>
          <w:rFonts w:hint="eastAsia" w:ascii="宋体" w:hAnsi="宋体"/>
          <w:sz w:val="24"/>
          <w:szCs w:val="24"/>
        </w:rPr>
        <w:t>全部</w:t>
      </w:r>
      <w:r>
        <w:rPr>
          <w:rFonts w:hint="eastAsia" w:ascii="宋体" w:hAnsi="宋体" w:cs="微软雅黑"/>
          <w:sz w:val="24"/>
          <w:szCs w:val="24"/>
        </w:rPr>
        <w:t>由符合政策要求的中小企业承接。相关企业的具体情况如下：</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1.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w:t>
      </w:r>
      <w:r>
        <w:rPr>
          <w:rFonts w:hint="eastAsia" w:ascii="宋体" w:hAnsi="宋体" w:cs="微软雅黑"/>
          <w:sz w:val="24"/>
          <w:szCs w:val="24"/>
        </w:rPr>
        <w:t>承接企业为</w:t>
      </w:r>
      <w:r>
        <w:rPr>
          <w:rFonts w:hint="eastAsia" w:ascii="宋体" w:hAnsi="宋体" w:cs="微软雅黑"/>
          <w:sz w:val="24"/>
          <w:szCs w:val="24"/>
          <w:u w:val="single" w:color="000000"/>
        </w:rPr>
        <w:t>(企</w:t>
      </w:r>
      <w:r>
        <w:rPr>
          <w:rFonts w:hint="eastAsia" w:ascii="宋体" w:hAnsi="宋体"/>
          <w:sz w:val="24"/>
          <w:szCs w:val="24"/>
          <w:u w:val="single" w:color="000000"/>
        </w:rPr>
        <w:t>业名</w:t>
      </w:r>
      <w:r>
        <w:rPr>
          <w:rFonts w:hint="eastAsia" w:ascii="宋体" w:hAnsi="宋体" w:cs="微软雅黑"/>
          <w:sz w:val="24"/>
          <w:szCs w:val="24"/>
          <w:u w:val="single" w:color="000000"/>
        </w:rPr>
        <w:t>称)</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万元，属于</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2.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；承接企业为</w:t>
      </w:r>
      <w:r>
        <w:rPr>
          <w:rFonts w:hint="eastAsia" w:ascii="宋体" w:hAnsi="宋体"/>
          <w:sz w:val="24"/>
          <w:szCs w:val="24"/>
          <w:u w:val="single"/>
        </w:rPr>
        <w:t>（企业名称）</w:t>
      </w:r>
      <w:r>
        <w:rPr>
          <w:rFonts w:hint="eastAsia" w:ascii="宋体" w:hAnsi="宋体"/>
          <w:sz w:val="24"/>
          <w:szCs w:val="24"/>
        </w:rPr>
        <w:t>，</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 xml:space="preserve">万元，属于 </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480" w:firstLineChars="200"/>
        <w:rPr>
          <w:rFonts w:ascii="宋体" w:hAnsi="宋体" w:cs="微软雅黑"/>
          <w:sz w:val="24"/>
          <w:szCs w:val="24"/>
        </w:rPr>
      </w:pPr>
      <w:r>
        <w:rPr>
          <w:rFonts w:hint="eastAsia" w:ascii="宋体" w:hAnsi="宋体" w:cs="微软雅黑"/>
          <w:sz w:val="24"/>
          <w:szCs w:val="24"/>
        </w:rPr>
        <w:t>……</w:t>
      </w:r>
    </w:p>
    <w:p>
      <w:pPr>
        <w:spacing w:line="400" w:lineRule="exact"/>
        <w:ind w:firstLine="696"/>
        <w:rPr>
          <w:rFonts w:ascii="宋体" w:hAnsi="宋体"/>
          <w:sz w:val="24"/>
          <w:szCs w:val="24"/>
        </w:rPr>
      </w:pPr>
      <w:r>
        <w:rPr>
          <w:rFonts w:hint="eastAsia" w:ascii="宋体" w:hAnsi="宋体" w:cs="微软雅黑"/>
          <w:sz w:val="24"/>
          <w:szCs w:val="24"/>
        </w:rPr>
        <w:t>以上企业，不属于大企业的分支机构，不存在控股股东为大企业的情形，也不存在与大企业的负责人为同一人的情形。</w:t>
      </w:r>
    </w:p>
    <w:p>
      <w:pPr>
        <w:spacing w:line="400" w:lineRule="exact"/>
        <w:ind w:firstLine="619"/>
        <w:rPr>
          <w:rFonts w:ascii="宋体" w:hAnsi="宋体"/>
          <w:sz w:val="24"/>
          <w:szCs w:val="24"/>
        </w:rPr>
      </w:pPr>
      <w:r>
        <w:rPr>
          <w:rFonts w:hint="eastAsia" w:ascii="宋体" w:hAnsi="宋体" w:cs="微软雅黑"/>
          <w:sz w:val="24"/>
          <w:szCs w:val="24"/>
        </w:rPr>
        <w:t>本企业对上述声明内容的真实性负责。如有虚假，将依法承担相应责任。</w:t>
      </w:r>
    </w:p>
    <w:p>
      <w:pPr>
        <w:spacing w:line="400" w:lineRule="exact"/>
        <w:ind w:firstLine="3120" w:firstLineChars="1300"/>
        <w:rPr>
          <w:rFonts w:ascii="宋体" w:hAnsi="宋体" w:cs="微软雅黑"/>
          <w:sz w:val="24"/>
          <w:szCs w:val="24"/>
        </w:rPr>
      </w:pPr>
    </w:p>
    <w:p>
      <w:pPr>
        <w:spacing w:line="400" w:lineRule="exact"/>
        <w:ind w:firstLine="3120" w:firstLineChars="1300"/>
        <w:jc w:val="right"/>
        <w:rPr>
          <w:rFonts w:ascii="宋体" w:hAnsi="宋体"/>
          <w:sz w:val="24"/>
          <w:szCs w:val="24"/>
        </w:rPr>
      </w:pPr>
      <w:r>
        <w:rPr>
          <w:rFonts w:hint="eastAsia" w:ascii="宋体" w:hAnsi="宋体" w:cs="微软雅黑"/>
          <w:sz w:val="24"/>
          <w:szCs w:val="24"/>
        </w:rPr>
        <w:t>企业名称（盖章）：</w:t>
      </w:r>
    </w:p>
    <w:p>
      <w:pPr>
        <w:spacing w:line="400" w:lineRule="exact"/>
        <w:ind w:firstLine="3120" w:firstLineChars="1300"/>
        <w:jc w:val="right"/>
        <w:rPr>
          <w:rFonts w:ascii="宋体" w:hAnsi="宋体"/>
          <w:sz w:val="24"/>
          <w:szCs w:val="24"/>
        </w:rPr>
      </w:pPr>
      <w:r>
        <w:rPr>
          <w:rFonts w:hint="eastAsia" w:ascii="宋体" w:hAnsi="宋体" w:cs="微软雅黑"/>
          <w:sz w:val="24"/>
          <w:szCs w:val="24"/>
        </w:rPr>
        <w:t>日 期：</w:t>
      </w:r>
    </w:p>
    <w:p>
      <w:pPr>
        <w:snapToGrid w:val="0"/>
        <w:spacing w:line="500" w:lineRule="exact"/>
        <w:ind w:firstLine="480" w:firstLineChars="200"/>
        <w:rPr>
          <w:rFonts w:ascii="宋体" w:hAnsi="宋体"/>
          <w:sz w:val="24"/>
          <w:szCs w:val="24"/>
        </w:rPr>
      </w:pPr>
      <w:r>
        <w:rPr>
          <w:rFonts w:hint="eastAsia" w:ascii="宋体" w:hAnsi="宋体"/>
          <w:sz w:val="24"/>
          <w:szCs w:val="24"/>
        </w:rPr>
        <w:t xml:space="preserve">                                        </w:t>
      </w:r>
    </w:p>
    <w:p>
      <w:pPr>
        <w:snapToGrid w:val="0"/>
        <w:spacing w:line="420" w:lineRule="exact"/>
        <w:rPr>
          <w:rFonts w:ascii="宋体" w:hAnsi="宋体" w:cs="宋体"/>
          <w:kern w:val="0"/>
          <w:sz w:val="21"/>
          <w:szCs w:val="21"/>
        </w:rPr>
      </w:pPr>
      <w:r>
        <w:rPr>
          <w:rFonts w:hint="eastAsia" w:ascii="宋体" w:hAnsi="宋体" w:cs="宋体"/>
          <w:kern w:val="0"/>
          <w:sz w:val="21"/>
          <w:szCs w:val="21"/>
        </w:rPr>
        <w:t>填写时应注意以下事项：</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3.中小企业应当按照《中小企业划型标准规定》（工信部联企业〔2011〕300号），如实填写并提交《中小企业声明函》。</w:t>
      </w:r>
    </w:p>
    <w:p>
      <w:pPr>
        <w:snapToGrid w:val="0"/>
        <w:spacing w:line="420" w:lineRule="exact"/>
        <w:ind w:firstLine="422" w:firstLineChars="200"/>
        <w:jc w:val="left"/>
        <w:rPr>
          <w:rFonts w:ascii="宋体" w:hAnsi="宋体"/>
          <w:b/>
          <w:bCs/>
          <w:sz w:val="21"/>
          <w:szCs w:val="21"/>
        </w:rPr>
      </w:pPr>
      <w:r>
        <w:rPr>
          <w:rFonts w:hint="eastAsia" w:ascii="宋体" w:hAnsi="宋体"/>
          <w:b/>
          <w:bCs/>
          <w:sz w:val="21"/>
          <w:szCs w:val="21"/>
        </w:rPr>
        <w:t>注：各行业划型标准：</w:t>
      </w:r>
    </w:p>
    <w:p>
      <w:pPr>
        <w:tabs>
          <w:tab w:val="left" w:pos="6300"/>
        </w:tabs>
        <w:snapToGrid w:val="0"/>
        <w:spacing w:line="400" w:lineRule="exact"/>
        <w:ind w:firstLine="420" w:firstLineChars="200"/>
        <w:jc w:val="left"/>
        <w:rPr>
          <w:rFonts w:ascii="宋体" w:hAnsi="宋体"/>
          <w:sz w:val="21"/>
          <w:szCs w:val="21"/>
        </w:rPr>
      </w:pPr>
      <w:bookmarkStart w:id="136" w:name="_Hlk80349109"/>
      <w:r>
        <w:rPr>
          <w:rFonts w:hint="eastAsia" w:ascii="宋体" w:hAnsi="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bookmarkEnd w:id="136"/>
    <w:p>
      <w:pPr>
        <w:tabs>
          <w:tab w:val="left" w:pos="6300"/>
        </w:tabs>
        <w:snapToGrid w:val="0"/>
        <w:spacing w:line="400" w:lineRule="exact"/>
        <w:jc w:val="left"/>
        <w:rPr>
          <w:rFonts w:ascii="宋体" w:hAnsi="宋体"/>
          <w:sz w:val="21"/>
          <w:szCs w:val="21"/>
        </w:rPr>
      </w:pPr>
    </w:p>
    <w:p>
      <w:pPr>
        <w:tabs>
          <w:tab w:val="left" w:pos="6300"/>
        </w:tabs>
        <w:snapToGrid w:val="0"/>
        <w:spacing w:line="360" w:lineRule="auto"/>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（2）监狱企业证明文件</w:t>
      </w:r>
    </w:p>
    <w:p>
      <w:pPr>
        <w:tabs>
          <w:tab w:val="left" w:pos="6300"/>
        </w:tabs>
        <w:snapToGrid w:val="0"/>
        <w:spacing w:line="360" w:lineRule="auto"/>
        <w:ind w:firstLine="480" w:firstLineChars="200"/>
        <w:rPr>
          <w:rFonts w:ascii="宋体" w:hAnsi="宋体"/>
          <w:sz w:val="29"/>
          <w:szCs w:val="29"/>
        </w:rPr>
      </w:pPr>
      <w:r>
        <w:rPr>
          <w:rFonts w:hint="eastAsia" w:ascii="宋体" w:hAnsi="宋体"/>
          <w:sz w:val="24"/>
          <w:szCs w:val="24"/>
        </w:rPr>
        <w:t>以省级以上监狱管理局、戒毒管理局（含新疆生产建设兵团）出具的属于监狱企业的证明文件为准</w:t>
      </w:r>
      <w:r>
        <w:rPr>
          <w:rFonts w:hint="eastAsia" w:ascii="宋体" w:hAnsi="宋体"/>
          <w:sz w:val="29"/>
          <w:szCs w:val="29"/>
        </w:rPr>
        <w:t>。</w:t>
      </w: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（3）残疾人福利性单位声明函（格式）</w:t>
      </w:r>
    </w:p>
    <w:p>
      <w:pPr>
        <w:tabs>
          <w:tab w:val="left" w:pos="6300"/>
        </w:tabs>
        <w:snapToGrid w:val="0"/>
        <w:spacing w:line="360" w:lineRule="auto"/>
        <w:ind w:firstLine="560" w:firstLineChars="200"/>
        <w:jc w:val="center"/>
        <w:rPr>
          <w:rFonts w:ascii="宋体" w:hAnsi="宋体"/>
          <w:szCs w:val="28"/>
        </w:rPr>
      </w:pPr>
      <w:r>
        <w:rPr>
          <w:rFonts w:hint="eastAsia" w:ascii="宋体" w:hAnsi="宋体"/>
          <w:szCs w:val="28"/>
        </w:rPr>
        <w:t>残疾人福利性单位声明函</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r>
        <w:rPr>
          <w:rFonts w:hint="eastAsia" w:ascii="宋体" w:hAnsi="宋体"/>
          <w:sz w:val="24"/>
        </w:rPr>
        <w:t xml:space="preserve">                                                  供应商名称（盖章）：</w:t>
      </w:r>
    </w:p>
    <w:p>
      <w:pPr>
        <w:tabs>
          <w:tab w:val="left" w:pos="6300"/>
        </w:tabs>
        <w:snapToGrid w:val="0"/>
        <w:spacing w:line="360" w:lineRule="auto"/>
        <w:ind w:firstLine="570"/>
        <w:jc w:val="left"/>
        <w:rPr>
          <w:rFonts w:ascii="宋体" w:hAnsi="宋体"/>
        </w:rPr>
      </w:pPr>
      <w:r>
        <w:rPr>
          <w:rFonts w:hint="eastAsia" w:ascii="宋体" w:hAnsi="宋体"/>
          <w:sz w:val="24"/>
        </w:rPr>
        <w:t xml:space="preserve">                                                  日  期：</w:t>
      </w:r>
    </w:p>
    <w:p>
      <w:pPr>
        <w:tabs>
          <w:tab w:val="left" w:pos="6300"/>
        </w:tabs>
        <w:snapToGrid w:val="0"/>
        <w:spacing w:line="500" w:lineRule="exact"/>
        <w:jc w:val="left"/>
        <w:rPr>
          <w:rFonts w:ascii="宋体" w:hAnsi="宋体"/>
        </w:rPr>
      </w:pP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若成交供应商为残疾人福利性单位的，将在结果公告时公告其《残疾人福利性单位声明函》。</w:t>
      </w:r>
    </w:p>
    <w:p>
      <w:pPr>
        <w:tabs>
          <w:tab w:val="left" w:pos="6300"/>
        </w:tabs>
        <w:snapToGrid w:val="0"/>
        <w:spacing w:line="500" w:lineRule="exact"/>
        <w:jc w:val="left"/>
        <w:rPr>
          <w:rFonts w:ascii="宋体" w:hAnsi="宋体"/>
        </w:rPr>
      </w:pPr>
    </w:p>
    <w:p>
      <w:pPr>
        <w:tabs>
          <w:tab w:val="left" w:pos="6300"/>
        </w:tabs>
        <w:snapToGrid w:val="0"/>
        <w:spacing w:line="500" w:lineRule="exact"/>
        <w:jc w:val="left"/>
        <w:rPr>
          <w:rFonts w:ascii="宋体" w:hAnsi="宋体"/>
        </w:rPr>
      </w:pPr>
    </w:p>
    <w:p>
      <w:pPr>
        <w:ind w:firstLine="480" w:firstLineChars="200"/>
        <w:jc w:val="left"/>
        <w:rPr>
          <w:rFonts w:ascii="宋体" w:hAnsi="宋体"/>
          <w:sz w:val="24"/>
          <w:szCs w:val="24"/>
        </w:rPr>
      </w:pPr>
      <w:r>
        <w:rPr>
          <w:rFonts w:hint="eastAsia" w:ascii="宋体" w:hAnsi="宋体"/>
          <w:sz w:val="24"/>
          <w:szCs w:val="24"/>
        </w:rPr>
        <w:t>2.其他与项目有关的资料（自附）</w:t>
      </w: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jc w:val="lef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jc w:val="center"/>
        <w:rPr>
          <w:sz w:val="24"/>
          <w:szCs w:val="24"/>
        </w:rPr>
      </w:pPr>
      <w:r>
        <w:rPr>
          <w:sz w:val="24"/>
          <w:szCs w:val="24"/>
        </w:rPr>
        <w:t>（结束）</w:t>
      </w:r>
    </w:p>
    <w:sectPr>
      <w:headerReference r:id="rId12" w:type="default"/>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p>
  <w:p>
    <w:pPr>
      <w:pStyle w:val="3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jc w:val="center"/>
      <w:rPr>
        <w:rStyle w:val="62"/>
        <w:rFonts w:ascii="宋体"/>
        <w:sz w:val="21"/>
        <w:szCs w:val="21"/>
      </w:rPr>
    </w:pPr>
    <w:r>
      <w:rPr>
        <w:rFonts w:ascii="宋体"/>
        <w:sz w:val="21"/>
        <w:szCs w:val="21"/>
      </w:rPr>
      <w:fldChar w:fldCharType="begin"/>
    </w:r>
    <w:r>
      <w:rPr>
        <w:rStyle w:val="62"/>
        <w:rFonts w:ascii="宋体"/>
        <w:sz w:val="21"/>
        <w:szCs w:val="21"/>
      </w:rPr>
      <w:instrText xml:space="preserve">PAGE  </w:instrText>
    </w:r>
    <w:r>
      <w:rPr>
        <w:rFonts w:ascii="宋体"/>
        <w:sz w:val="21"/>
        <w:szCs w:val="21"/>
      </w:rPr>
      <w:fldChar w:fldCharType="separate"/>
    </w:r>
    <w:r>
      <w:rPr>
        <w:rStyle w:val="62"/>
        <w:rFonts w:ascii="宋体"/>
        <w:sz w:val="21"/>
        <w:szCs w:val="21"/>
      </w:rPr>
      <w:t>- 2 -</w:t>
    </w:r>
    <w:r>
      <w:rPr>
        <w:rFonts w:ascii="宋体"/>
        <w:sz w:val="21"/>
        <w:szCs w:val="21"/>
      </w:rPr>
      <w:fldChar w:fldCharType="end"/>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- 10 -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竞争性比选文件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8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5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21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237"/>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46"/>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5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2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13"/>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8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5"/>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91"/>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9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88"/>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10"/>
  </w:num>
  <w:num w:numId="3">
    <w:abstractNumId w:val="13"/>
  </w:num>
  <w:num w:numId="4">
    <w:abstractNumId w:val="3"/>
  </w:num>
  <w:num w:numId="5">
    <w:abstractNumId w:val="6"/>
  </w:num>
  <w:num w:numId="6">
    <w:abstractNumId w:val="4"/>
  </w:num>
  <w:num w:numId="7">
    <w:abstractNumId w:val="0"/>
  </w:num>
  <w:num w:numId="8">
    <w:abstractNumId w:val="8"/>
  </w:num>
  <w:num w:numId="9">
    <w:abstractNumId w:val="11"/>
  </w:num>
  <w:num w:numId="10">
    <w:abstractNumId w:val="12"/>
  </w:num>
  <w:num w:numId="11">
    <w:abstractNumId w:val="7"/>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0Njg3ZGVkMDQzYWIwMzZkMDFlNGJjZmU5OTlmNjEifQ=="/>
  </w:docVars>
  <w:rsids>
    <w:rsidRoot w:val="00172A27"/>
    <w:rsid w:val="000002B4"/>
    <w:rsid w:val="00000498"/>
    <w:rsid w:val="00001E90"/>
    <w:rsid w:val="000040DE"/>
    <w:rsid w:val="00004CA8"/>
    <w:rsid w:val="00006F86"/>
    <w:rsid w:val="00006FAA"/>
    <w:rsid w:val="000075E8"/>
    <w:rsid w:val="0000767A"/>
    <w:rsid w:val="00007E86"/>
    <w:rsid w:val="000106E5"/>
    <w:rsid w:val="00011B4B"/>
    <w:rsid w:val="00012920"/>
    <w:rsid w:val="000134F9"/>
    <w:rsid w:val="00013F82"/>
    <w:rsid w:val="00015A5E"/>
    <w:rsid w:val="00016B79"/>
    <w:rsid w:val="00017816"/>
    <w:rsid w:val="00017DDB"/>
    <w:rsid w:val="000202A5"/>
    <w:rsid w:val="00021BFC"/>
    <w:rsid w:val="00023349"/>
    <w:rsid w:val="00023B94"/>
    <w:rsid w:val="00024976"/>
    <w:rsid w:val="00026234"/>
    <w:rsid w:val="000276F9"/>
    <w:rsid w:val="00031122"/>
    <w:rsid w:val="000314C7"/>
    <w:rsid w:val="0003184C"/>
    <w:rsid w:val="000318FF"/>
    <w:rsid w:val="000328D9"/>
    <w:rsid w:val="00033F9C"/>
    <w:rsid w:val="0003422B"/>
    <w:rsid w:val="00034302"/>
    <w:rsid w:val="0003632F"/>
    <w:rsid w:val="00036B6E"/>
    <w:rsid w:val="0003748C"/>
    <w:rsid w:val="00037681"/>
    <w:rsid w:val="00040B3F"/>
    <w:rsid w:val="0004198A"/>
    <w:rsid w:val="00042A5D"/>
    <w:rsid w:val="000431AF"/>
    <w:rsid w:val="000432E7"/>
    <w:rsid w:val="0004348E"/>
    <w:rsid w:val="000435C0"/>
    <w:rsid w:val="00043E9D"/>
    <w:rsid w:val="00044FB5"/>
    <w:rsid w:val="000451C6"/>
    <w:rsid w:val="000451E0"/>
    <w:rsid w:val="000468E0"/>
    <w:rsid w:val="00047ACE"/>
    <w:rsid w:val="00047E3F"/>
    <w:rsid w:val="00047EF0"/>
    <w:rsid w:val="00051015"/>
    <w:rsid w:val="00051383"/>
    <w:rsid w:val="0005298B"/>
    <w:rsid w:val="000529F4"/>
    <w:rsid w:val="000533A5"/>
    <w:rsid w:val="00053AFB"/>
    <w:rsid w:val="0005417C"/>
    <w:rsid w:val="000552F4"/>
    <w:rsid w:val="000568F9"/>
    <w:rsid w:val="000574AB"/>
    <w:rsid w:val="00057688"/>
    <w:rsid w:val="000576E1"/>
    <w:rsid w:val="00057B29"/>
    <w:rsid w:val="00061192"/>
    <w:rsid w:val="00061D77"/>
    <w:rsid w:val="0006248D"/>
    <w:rsid w:val="00063981"/>
    <w:rsid w:val="00063B06"/>
    <w:rsid w:val="000645F1"/>
    <w:rsid w:val="000653C6"/>
    <w:rsid w:val="0006556C"/>
    <w:rsid w:val="0007233F"/>
    <w:rsid w:val="00075C5F"/>
    <w:rsid w:val="00077795"/>
    <w:rsid w:val="00080519"/>
    <w:rsid w:val="0008070D"/>
    <w:rsid w:val="00080A20"/>
    <w:rsid w:val="0008102B"/>
    <w:rsid w:val="000818A1"/>
    <w:rsid w:val="00083B84"/>
    <w:rsid w:val="0008426E"/>
    <w:rsid w:val="000850F5"/>
    <w:rsid w:val="0008593E"/>
    <w:rsid w:val="00085F90"/>
    <w:rsid w:val="00086033"/>
    <w:rsid w:val="000868BD"/>
    <w:rsid w:val="00086D6B"/>
    <w:rsid w:val="00086F80"/>
    <w:rsid w:val="00087004"/>
    <w:rsid w:val="00087882"/>
    <w:rsid w:val="00087B92"/>
    <w:rsid w:val="00090C5A"/>
    <w:rsid w:val="00091B1C"/>
    <w:rsid w:val="000921A8"/>
    <w:rsid w:val="000923FA"/>
    <w:rsid w:val="00092576"/>
    <w:rsid w:val="0009265E"/>
    <w:rsid w:val="0009269D"/>
    <w:rsid w:val="00094140"/>
    <w:rsid w:val="000943FB"/>
    <w:rsid w:val="00094BFA"/>
    <w:rsid w:val="00094D17"/>
    <w:rsid w:val="00096E3E"/>
    <w:rsid w:val="00097FF6"/>
    <w:rsid w:val="000A04AA"/>
    <w:rsid w:val="000A164E"/>
    <w:rsid w:val="000A5754"/>
    <w:rsid w:val="000A58D1"/>
    <w:rsid w:val="000A5D17"/>
    <w:rsid w:val="000A5F16"/>
    <w:rsid w:val="000A7241"/>
    <w:rsid w:val="000A72C0"/>
    <w:rsid w:val="000B0272"/>
    <w:rsid w:val="000B22A6"/>
    <w:rsid w:val="000B2811"/>
    <w:rsid w:val="000B3A9B"/>
    <w:rsid w:val="000B42F4"/>
    <w:rsid w:val="000B4B56"/>
    <w:rsid w:val="000B4BD9"/>
    <w:rsid w:val="000B4DA2"/>
    <w:rsid w:val="000B621E"/>
    <w:rsid w:val="000B6523"/>
    <w:rsid w:val="000B6A62"/>
    <w:rsid w:val="000B6A82"/>
    <w:rsid w:val="000B7377"/>
    <w:rsid w:val="000B749C"/>
    <w:rsid w:val="000B7F54"/>
    <w:rsid w:val="000C1461"/>
    <w:rsid w:val="000C14D1"/>
    <w:rsid w:val="000C23E6"/>
    <w:rsid w:val="000C3A1D"/>
    <w:rsid w:val="000C4773"/>
    <w:rsid w:val="000C4FD2"/>
    <w:rsid w:val="000C6472"/>
    <w:rsid w:val="000C6EB2"/>
    <w:rsid w:val="000C7C24"/>
    <w:rsid w:val="000D01D9"/>
    <w:rsid w:val="000D10E9"/>
    <w:rsid w:val="000D213D"/>
    <w:rsid w:val="000D2216"/>
    <w:rsid w:val="000D5453"/>
    <w:rsid w:val="000D5701"/>
    <w:rsid w:val="000D68FF"/>
    <w:rsid w:val="000D6B20"/>
    <w:rsid w:val="000D781A"/>
    <w:rsid w:val="000D79BB"/>
    <w:rsid w:val="000E01C9"/>
    <w:rsid w:val="000E05BC"/>
    <w:rsid w:val="000E0769"/>
    <w:rsid w:val="000E09C1"/>
    <w:rsid w:val="000E24E5"/>
    <w:rsid w:val="000E2673"/>
    <w:rsid w:val="000E3259"/>
    <w:rsid w:val="000E3454"/>
    <w:rsid w:val="000E5DF8"/>
    <w:rsid w:val="000E6005"/>
    <w:rsid w:val="000E601E"/>
    <w:rsid w:val="000E7236"/>
    <w:rsid w:val="000E746A"/>
    <w:rsid w:val="000E783A"/>
    <w:rsid w:val="000E7AE4"/>
    <w:rsid w:val="000F1172"/>
    <w:rsid w:val="000F12F0"/>
    <w:rsid w:val="000F135E"/>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237E"/>
    <w:rsid w:val="00102544"/>
    <w:rsid w:val="0010266D"/>
    <w:rsid w:val="0010286A"/>
    <w:rsid w:val="00103954"/>
    <w:rsid w:val="001040CE"/>
    <w:rsid w:val="001042C7"/>
    <w:rsid w:val="00105650"/>
    <w:rsid w:val="00106CD4"/>
    <w:rsid w:val="00107149"/>
    <w:rsid w:val="00107445"/>
    <w:rsid w:val="001100DA"/>
    <w:rsid w:val="001113BE"/>
    <w:rsid w:val="00111939"/>
    <w:rsid w:val="00112547"/>
    <w:rsid w:val="00115FE4"/>
    <w:rsid w:val="001167CA"/>
    <w:rsid w:val="00116856"/>
    <w:rsid w:val="00117C75"/>
    <w:rsid w:val="00117CDC"/>
    <w:rsid w:val="00117DF9"/>
    <w:rsid w:val="0012006D"/>
    <w:rsid w:val="00120259"/>
    <w:rsid w:val="0012069A"/>
    <w:rsid w:val="001230D8"/>
    <w:rsid w:val="001234BD"/>
    <w:rsid w:val="0012398A"/>
    <w:rsid w:val="00123B94"/>
    <w:rsid w:val="00124818"/>
    <w:rsid w:val="00124D09"/>
    <w:rsid w:val="001253FF"/>
    <w:rsid w:val="00125DBA"/>
    <w:rsid w:val="001266BF"/>
    <w:rsid w:val="001277DB"/>
    <w:rsid w:val="00127F11"/>
    <w:rsid w:val="0013085B"/>
    <w:rsid w:val="00131521"/>
    <w:rsid w:val="001330DD"/>
    <w:rsid w:val="00133D16"/>
    <w:rsid w:val="00135FF6"/>
    <w:rsid w:val="0013601C"/>
    <w:rsid w:val="00136D2B"/>
    <w:rsid w:val="0013794A"/>
    <w:rsid w:val="00137EB6"/>
    <w:rsid w:val="00142491"/>
    <w:rsid w:val="001426F8"/>
    <w:rsid w:val="001429F3"/>
    <w:rsid w:val="00143186"/>
    <w:rsid w:val="00143675"/>
    <w:rsid w:val="0014474A"/>
    <w:rsid w:val="00145999"/>
    <w:rsid w:val="001460CF"/>
    <w:rsid w:val="001460FA"/>
    <w:rsid w:val="001464CE"/>
    <w:rsid w:val="00146BB2"/>
    <w:rsid w:val="00147FB4"/>
    <w:rsid w:val="0015011C"/>
    <w:rsid w:val="00150429"/>
    <w:rsid w:val="00150E1E"/>
    <w:rsid w:val="00151661"/>
    <w:rsid w:val="00151887"/>
    <w:rsid w:val="00151F3B"/>
    <w:rsid w:val="001537C6"/>
    <w:rsid w:val="00153F29"/>
    <w:rsid w:val="0015429E"/>
    <w:rsid w:val="0015489A"/>
    <w:rsid w:val="00154B3C"/>
    <w:rsid w:val="00154DCD"/>
    <w:rsid w:val="00154FB4"/>
    <w:rsid w:val="001554BE"/>
    <w:rsid w:val="00156D10"/>
    <w:rsid w:val="00157E6F"/>
    <w:rsid w:val="00160A1A"/>
    <w:rsid w:val="00160D3D"/>
    <w:rsid w:val="00161270"/>
    <w:rsid w:val="00165715"/>
    <w:rsid w:val="001661E0"/>
    <w:rsid w:val="0016657A"/>
    <w:rsid w:val="0016725B"/>
    <w:rsid w:val="00167825"/>
    <w:rsid w:val="001702C2"/>
    <w:rsid w:val="001717BA"/>
    <w:rsid w:val="00171A7B"/>
    <w:rsid w:val="00172A27"/>
    <w:rsid w:val="00172DC6"/>
    <w:rsid w:val="001730D7"/>
    <w:rsid w:val="00173F80"/>
    <w:rsid w:val="00174DC3"/>
    <w:rsid w:val="0017529A"/>
    <w:rsid w:val="001758A7"/>
    <w:rsid w:val="00175C6C"/>
    <w:rsid w:val="00177836"/>
    <w:rsid w:val="00177E4C"/>
    <w:rsid w:val="00180413"/>
    <w:rsid w:val="00180A61"/>
    <w:rsid w:val="00180ACB"/>
    <w:rsid w:val="001810EA"/>
    <w:rsid w:val="001826C7"/>
    <w:rsid w:val="0018396D"/>
    <w:rsid w:val="00185891"/>
    <w:rsid w:val="001862A1"/>
    <w:rsid w:val="00186623"/>
    <w:rsid w:val="00186970"/>
    <w:rsid w:val="001872E3"/>
    <w:rsid w:val="001879FD"/>
    <w:rsid w:val="00187CBA"/>
    <w:rsid w:val="00187FE3"/>
    <w:rsid w:val="00190D77"/>
    <w:rsid w:val="00190DA3"/>
    <w:rsid w:val="00190E36"/>
    <w:rsid w:val="001929B6"/>
    <w:rsid w:val="001937A9"/>
    <w:rsid w:val="00193D98"/>
    <w:rsid w:val="001940F1"/>
    <w:rsid w:val="00195091"/>
    <w:rsid w:val="00195549"/>
    <w:rsid w:val="00195D48"/>
    <w:rsid w:val="00196543"/>
    <w:rsid w:val="00197CD0"/>
    <w:rsid w:val="001A0DF4"/>
    <w:rsid w:val="001A1025"/>
    <w:rsid w:val="001A152C"/>
    <w:rsid w:val="001A1572"/>
    <w:rsid w:val="001A24BA"/>
    <w:rsid w:val="001A3732"/>
    <w:rsid w:val="001A43A9"/>
    <w:rsid w:val="001A5897"/>
    <w:rsid w:val="001A5CFD"/>
    <w:rsid w:val="001A6632"/>
    <w:rsid w:val="001A6DCC"/>
    <w:rsid w:val="001B2523"/>
    <w:rsid w:val="001B3DBD"/>
    <w:rsid w:val="001B418D"/>
    <w:rsid w:val="001B4377"/>
    <w:rsid w:val="001B6EEA"/>
    <w:rsid w:val="001B74F5"/>
    <w:rsid w:val="001B7861"/>
    <w:rsid w:val="001B7942"/>
    <w:rsid w:val="001B7BB4"/>
    <w:rsid w:val="001C0E58"/>
    <w:rsid w:val="001C1FC7"/>
    <w:rsid w:val="001C23E7"/>
    <w:rsid w:val="001C4803"/>
    <w:rsid w:val="001C4C9F"/>
    <w:rsid w:val="001C6F1E"/>
    <w:rsid w:val="001C6FA3"/>
    <w:rsid w:val="001C7ABE"/>
    <w:rsid w:val="001C7CD2"/>
    <w:rsid w:val="001D100C"/>
    <w:rsid w:val="001D1A56"/>
    <w:rsid w:val="001D212D"/>
    <w:rsid w:val="001D2321"/>
    <w:rsid w:val="001D2402"/>
    <w:rsid w:val="001D25D6"/>
    <w:rsid w:val="001D2DCD"/>
    <w:rsid w:val="001D5055"/>
    <w:rsid w:val="001D58BC"/>
    <w:rsid w:val="001D59A3"/>
    <w:rsid w:val="001D629E"/>
    <w:rsid w:val="001D630C"/>
    <w:rsid w:val="001D64EE"/>
    <w:rsid w:val="001D65AE"/>
    <w:rsid w:val="001E086A"/>
    <w:rsid w:val="001E1837"/>
    <w:rsid w:val="001E18C3"/>
    <w:rsid w:val="001E1B34"/>
    <w:rsid w:val="001E201B"/>
    <w:rsid w:val="001E20B0"/>
    <w:rsid w:val="001E210A"/>
    <w:rsid w:val="001E233D"/>
    <w:rsid w:val="001E2708"/>
    <w:rsid w:val="001E272B"/>
    <w:rsid w:val="001E2B42"/>
    <w:rsid w:val="001E2B6A"/>
    <w:rsid w:val="001E309B"/>
    <w:rsid w:val="001E38F9"/>
    <w:rsid w:val="001E4717"/>
    <w:rsid w:val="001E479D"/>
    <w:rsid w:val="001E5CAC"/>
    <w:rsid w:val="001E68DF"/>
    <w:rsid w:val="001E6EC1"/>
    <w:rsid w:val="001E725F"/>
    <w:rsid w:val="001E7A23"/>
    <w:rsid w:val="001F0738"/>
    <w:rsid w:val="001F0B34"/>
    <w:rsid w:val="001F1336"/>
    <w:rsid w:val="001F13DA"/>
    <w:rsid w:val="001F1AF7"/>
    <w:rsid w:val="001F1DAB"/>
    <w:rsid w:val="001F2104"/>
    <w:rsid w:val="001F2882"/>
    <w:rsid w:val="001F2F9C"/>
    <w:rsid w:val="001F3A3C"/>
    <w:rsid w:val="001F3BA0"/>
    <w:rsid w:val="001F4964"/>
    <w:rsid w:val="001F7063"/>
    <w:rsid w:val="001F7652"/>
    <w:rsid w:val="00200571"/>
    <w:rsid w:val="00200A34"/>
    <w:rsid w:val="00202B04"/>
    <w:rsid w:val="00202C55"/>
    <w:rsid w:val="002048EF"/>
    <w:rsid w:val="00204936"/>
    <w:rsid w:val="00204DA3"/>
    <w:rsid w:val="00204F16"/>
    <w:rsid w:val="002053C4"/>
    <w:rsid w:val="00206C70"/>
    <w:rsid w:val="002100EE"/>
    <w:rsid w:val="00210F5A"/>
    <w:rsid w:val="002111DD"/>
    <w:rsid w:val="0021305C"/>
    <w:rsid w:val="00215057"/>
    <w:rsid w:val="0021704D"/>
    <w:rsid w:val="00217564"/>
    <w:rsid w:val="002208B1"/>
    <w:rsid w:val="00220EE5"/>
    <w:rsid w:val="00222097"/>
    <w:rsid w:val="0022270C"/>
    <w:rsid w:val="002228BA"/>
    <w:rsid w:val="0022543D"/>
    <w:rsid w:val="00225E2A"/>
    <w:rsid w:val="00226419"/>
    <w:rsid w:val="00226EB8"/>
    <w:rsid w:val="00226F04"/>
    <w:rsid w:val="00227734"/>
    <w:rsid w:val="00227D53"/>
    <w:rsid w:val="00227EF7"/>
    <w:rsid w:val="00231660"/>
    <w:rsid w:val="00233099"/>
    <w:rsid w:val="00233421"/>
    <w:rsid w:val="002348E0"/>
    <w:rsid w:val="00236B3E"/>
    <w:rsid w:val="00237015"/>
    <w:rsid w:val="00237C93"/>
    <w:rsid w:val="00241034"/>
    <w:rsid w:val="00241148"/>
    <w:rsid w:val="002415EF"/>
    <w:rsid w:val="00241D18"/>
    <w:rsid w:val="002422DA"/>
    <w:rsid w:val="00242E9E"/>
    <w:rsid w:val="00243306"/>
    <w:rsid w:val="002437FD"/>
    <w:rsid w:val="00244353"/>
    <w:rsid w:val="0024491C"/>
    <w:rsid w:val="0024641F"/>
    <w:rsid w:val="00246C53"/>
    <w:rsid w:val="00247A03"/>
    <w:rsid w:val="00247A95"/>
    <w:rsid w:val="00247EE9"/>
    <w:rsid w:val="002503AD"/>
    <w:rsid w:val="00252228"/>
    <w:rsid w:val="0025309E"/>
    <w:rsid w:val="00253AC1"/>
    <w:rsid w:val="00253B46"/>
    <w:rsid w:val="002545DA"/>
    <w:rsid w:val="0025490D"/>
    <w:rsid w:val="002561E6"/>
    <w:rsid w:val="00257F64"/>
    <w:rsid w:val="00260332"/>
    <w:rsid w:val="00261083"/>
    <w:rsid w:val="0026109C"/>
    <w:rsid w:val="00262839"/>
    <w:rsid w:val="00263E6C"/>
    <w:rsid w:val="002643C1"/>
    <w:rsid w:val="0026486E"/>
    <w:rsid w:val="00264BB5"/>
    <w:rsid w:val="00265203"/>
    <w:rsid w:val="00265498"/>
    <w:rsid w:val="0026695A"/>
    <w:rsid w:val="0026699C"/>
    <w:rsid w:val="0026720A"/>
    <w:rsid w:val="00270AEA"/>
    <w:rsid w:val="00271D47"/>
    <w:rsid w:val="002721D9"/>
    <w:rsid w:val="002721EA"/>
    <w:rsid w:val="00272E62"/>
    <w:rsid w:val="00274DF0"/>
    <w:rsid w:val="002750A5"/>
    <w:rsid w:val="0027649D"/>
    <w:rsid w:val="0027735B"/>
    <w:rsid w:val="002805AA"/>
    <w:rsid w:val="00280D70"/>
    <w:rsid w:val="00280E8A"/>
    <w:rsid w:val="00281F3D"/>
    <w:rsid w:val="00282059"/>
    <w:rsid w:val="00282E12"/>
    <w:rsid w:val="002835BF"/>
    <w:rsid w:val="00285066"/>
    <w:rsid w:val="00285164"/>
    <w:rsid w:val="002859B4"/>
    <w:rsid w:val="00286491"/>
    <w:rsid w:val="00287DFF"/>
    <w:rsid w:val="00290E60"/>
    <w:rsid w:val="00291597"/>
    <w:rsid w:val="00293B0B"/>
    <w:rsid w:val="00294AD2"/>
    <w:rsid w:val="002952B5"/>
    <w:rsid w:val="002956DF"/>
    <w:rsid w:val="00295B8C"/>
    <w:rsid w:val="00295EA4"/>
    <w:rsid w:val="00296026"/>
    <w:rsid w:val="00297317"/>
    <w:rsid w:val="00297357"/>
    <w:rsid w:val="00297C93"/>
    <w:rsid w:val="002A061E"/>
    <w:rsid w:val="002A06E7"/>
    <w:rsid w:val="002A072B"/>
    <w:rsid w:val="002A1232"/>
    <w:rsid w:val="002A226C"/>
    <w:rsid w:val="002A2590"/>
    <w:rsid w:val="002A3C7C"/>
    <w:rsid w:val="002A4956"/>
    <w:rsid w:val="002A63E5"/>
    <w:rsid w:val="002A65D6"/>
    <w:rsid w:val="002A6615"/>
    <w:rsid w:val="002A6710"/>
    <w:rsid w:val="002A722C"/>
    <w:rsid w:val="002B0725"/>
    <w:rsid w:val="002B1D66"/>
    <w:rsid w:val="002B590B"/>
    <w:rsid w:val="002B71A5"/>
    <w:rsid w:val="002B7501"/>
    <w:rsid w:val="002B780C"/>
    <w:rsid w:val="002B7904"/>
    <w:rsid w:val="002C2136"/>
    <w:rsid w:val="002C2507"/>
    <w:rsid w:val="002C2E6E"/>
    <w:rsid w:val="002C3A48"/>
    <w:rsid w:val="002C3DFD"/>
    <w:rsid w:val="002C4781"/>
    <w:rsid w:val="002C5403"/>
    <w:rsid w:val="002C5DE2"/>
    <w:rsid w:val="002C5FF2"/>
    <w:rsid w:val="002C6EF6"/>
    <w:rsid w:val="002D081E"/>
    <w:rsid w:val="002D49AE"/>
    <w:rsid w:val="002D4D51"/>
    <w:rsid w:val="002D6696"/>
    <w:rsid w:val="002D7707"/>
    <w:rsid w:val="002D7725"/>
    <w:rsid w:val="002E0770"/>
    <w:rsid w:val="002E0A13"/>
    <w:rsid w:val="002E0A25"/>
    <w:rsid w:val="002E13A6"/>
    <w:rsid w:val="002E167C"/>
    <w:rsid w:val="002E19DE"/>
    <w:rsid w:val="002E1BD1"/>
    <w:rsid w:val="002E391B"/>
    <w:rsid w:val="002E40BB"/>
    <w:rsid w:val="002E4386"/>
    <w:rsid w:val="002E4F37"/>
    <w:rsid w:val="002E69BB"/>
    <w:rsid w:val="002F1DBB"/>
    <w:rsid w:val="002F228B"/>
    <w:rsid w:val="002F3DE3"/>
    <w:rsid w:val="002F459D"/>
    <w:rsid w:val="002F4996"/>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F01"/>
    <w:rsid w:val="00303655"/>
    <w:rsid w:val="00303B63"/>
    <w:rsid w:val="00307859"/>
    <w:rsid w:val="00310438"/>
    <w:rsid w:val="00310AF9"/>
    <w:rsid w:val="00313635"/>
    <w:rsid w:val="00313F79"/>
    <w:rsid w:val="003141B3"/>
    <w:rsid w:val="0031465E"/>
    <w:rsid w:val="00315274"/>
    <w:rsid w:val="0031557E"/>
    <w:rsid w:val="00315742"/>
    <w:rsid w:val="003160F7"/>
    <w:rsid w:val="003163B3"/>
    <w:rsid w:val="00317F28"/>
    <w:rsid w:val="00317F74"/>
    <w:rsid w:val="003202F5"/>
    <w:rsid w:val="0032163E"/>
    <w:rsid w:val="00322A7A"/>
    <w:rsid w:val="00323542"/>
    <w:rsid w:val="00324734"/>
    <w:rsid w:val="00324A00"/>
    <w:rsid w:val="00325296"/>
    <w:rsid w:val="0032568A"/>
    <w:rsid w:val="00326213"/>
    <w:rsid w:val="00331002"/>
    <w:rsid w:val="00331E07"/>
    <w:rsid w:val="00332BE1"/>
    <w:rsid w:val="003344F6"/>
    <w:rsid w:val="00334FDA"/>
    <w:rsid w:val="003355B5"/>
    <w:rsid w:val="00335CD5"/>
    <w:rsid w:val="003369C5"/>
    <w:rsid w:val="00337753"/>
    <w:rsid w:val="00340873"/>
    <w:rsid w:val="00340ADC"/>
    <w:rsid w:val="0034102D"/>
    <w:rsid w:val="00341D1D"/>
    <w:rsid w:val="00341DEB"/>
    <w:rsid w:val="00342B0C"/>
    <w:rsid w:val="00342B14"/>
    <w:rsid w:val="003450DE"/>
    <w:rsid w:val="0034591F"/>
    <w:rsid w:val="0034639B"/>
    <w:rsid w:val="0034664F"/>
    <w:rsid w:val="0034697B"/>
    <w:rsid w:val="00346A3D"/>
    <w:rsid w:val="00347A4A"/>
    <w:rsid w:val="00347F6B"/>
    <w:rsid w:val="00350C20"/>
    <w:rsid w:val="003518A4"/>
    <w:rsid w:val="003524B8"/>
    <w:rsid w:val="00352864"/>
    <w:rsid w:val="00352F95"/>
    <w:rsid w:val="003530F8"/>
    <w:rsid w:val="0035347A"/>
    <w:rsid w:val="003548FA"/>
    <w:rsid w:val="00354DE5"/>
    <w:rsid w:val="00354F48"/>
    <w:rsid w:val="003551F3"/>
    <w:rsid w:val="0035560B"/>
    <w:rsid w:val="00355A74"/>
    <w:rsid w:val="00356B83"/>
    <w:rsid w:val="00356C32"/>
    <w:rsid w:val="00356F69"/>
    <w:rsid w:val="0035742F"/>
    <w:rsid w:val="00357D6C"/>
    <w:rsid w:val="0036013B"/>
    <w:rsid w:val="003606CD"/>
    <w:rsid w:val="00361266"/>
    <w:rsid w:val="00361427"/>
    <w:rsid w:val="00361985"/>
    <w:rsid w:val="0036458B"/>
    <w:rsid w:val="003645D7"/>
    <w:rsid w:val="00365521"/>
    <w:rsid w:val="00367266"/>
    <w:rsid w:val="00371D2F"/>
    <w:rsid w:val="0037257D"/>
    <w:rsid w:val="00373217"/>
    <w:rsid w:val="003734C2"/>
    <w:rsid w:val="003748AD"/>
    <w:rsid w:val="00376B94"/>
    <w:rsid w:val="00376E7B"/>
    <w:rsid w:val="0038033A"/>
    <w:rsid w:val="00380447"/>
    <w:rsid w:val="0038274F"/>
    <w:rsid w:val="00384161"/>
    <w:rsid w:val="003846FE"/>
    <w:rsid w:val="0038626A"/>
    <w:rsid w:val="00387610"/>
    <w:rsid w:val="0039076D"/>
    <w:rsid w:val="00391C7C"/>
    <w:rsid w:val="00391DC2"/>
    <w:rsid w:val="00393369"/>
    <w:rsid w:val="00394922"/>
    <w:rsid w:val="00395C2F"/>
    <w:rsid w:val="00396D43"/>
    <w:rsid w:val="003973D3"/>
    <w:rsid w:val="003A01E5"/>
    <w:rsid w:val="003A0892"/>
    <w:rsid w:val="003A0CAB"/>
    <w:rsid w:val="003A117E"/>
    <w:rsid w:val="003A1674"/>
    <w:rsid w:val="003A1931"/>
    <w:rsid w:val="003A19D4"/>
    <w:rsid w:val="003A449E"/>
    <w:rsid w:val="003A567D"/>
    <w:rsid w:val="003A63A2"/>
    <w:rsid w:val="003A6B70"/>
    <w:rsid w:val="003A6BF3"/>
    <w:rsid w:val="003A71F3"/>
    <w:rsid w:val="003B13E4"/>
    <w:rsid w:val="003B17A4"/>
    <w:rsid w:val="003B19F5"/>
    <w:rsid w:val="003B227C"/>
    <w:rsid w:val="003B286E"/>
    <w:rsid w:val="003B2FDB"/>
    <w:rsid w:val="003B5E9C"/>
    <w:rsid w:val="003B63C5"/>
    <w:rsid w:val="003B6590"/>
    <w:rsid w:val="003B6BBE"/>
    <w:rsid w:val="003B764A"/>
    <w:rsid w:val="003C27CC"/>
    <w:rsid w:val="003C2A17"/>
    <w:rsid w:val="003C3A7F"/>
    <w:rsid w:val="003C3DD8"/>
    <w:rsid w:val="003C41F9"/>
    <w:rsid w:val="003C4A44"/>
    <w:rsid w:val="003C565D"/>
    <w:rsid w:val="003C6E36"/>
    <w:rsid w:val="003D07F3"/>
    <w:rsid w:val="003D0E0A"/>
    <w:rsid w:val="003D2401"/>
    <w:rsid w:val="003D24B4"/>
    <w:rsid w:val="003D2D09"/>
    <w:rsid w:val="003D3B22"/>
    <w:rsid w:val="003D4272"/>
    <w:rsid w:val="003D4503"/>
    <w:rsid w:val="003D48CE"/>
    <w:rsid w:val="003D4EF3"/>
    <w:rsid w:val="003D613D"/>
    <w:rsid w:val="003E0F85"/>
    <w:rsid w:val="003E153E"/>
    <w:rsid w:val="003E170A"/>
    <w:rsid w:val="003E1D0F"/>
    <w:rsid w:val="003E4851"/>
    <w:rsid w:val="003E4EAB"/>
    <w:rsid w:val="003E58D9"/>
    <w:rsid w:val="003E63CD"/>
    <w:rsid w:val="003E6488"/>
    <w:rsid w:val="003E7109"/>
    <w:rsid w:val="003F08FA"/>
    <w:rsid w:val="003F09AB"/>
    <w:rsid w:val="003F0F58"/>
    <w:rsid w:val="003F1363"/>
    <w:rsid w:val="003F1742"/>
    <w:rsid w:val="003F24B5"/>
    <w:rsid w:val="003F61A0"/>
    <w:rsid w:val="003F6859"/>
    <w:rsid w:val="003F6882"/>
    <w:rsid w:val="003F7A1C"/>
    <w:rsid w:val="00400859"/>
    <w:rsid w:val="004009E8"/>
    <w:rsid w:val="00400A7F"/>
    <w:rsid w:val="00400F9C"/>
    <w:rsid w:val="00401C5D"/>
    <w:rsid w:val="00401D58"/>
    <w:rsid w:val="004021E6"/>
    <w:rsid w:val="00402B32"/>
    <w:rsid w:val="00405076"/>
    <w:rsid w:val="00405FB2"/>
    <w:rsid w:val="0040638D"/>
    <w:rsid w:val="00406647"/>
    <w:rsid w:val="004067A5"/>
    <w:rsid w:val="00407E02"/>
    <w:rsid w:val="00410AFE"/>
    <w:rsid w:val="00410C34"/>
    <w:rsid w:val="00410C93"/>
    <w:rsid w:val="00410D9A"/>
    <w:rsid w:val="00411B4A"/>
    <w:rsid w:val="0041250D"/>
    <w:rsid w:val="00413472"/>
    <w:rsid w:val="00413C81"/>
    <w:rsid w:val="0041597E"/>
    <w:rsid w:val="00415FB9"/>
    <w:rsid w:val="0041741A"/>
    <w:rsid w:val="00417E99"/>
    <w:rsid w:val="00422467"/>
    <w:rsid w:val="004225C6"/>
    <w:rsid w:val="00422B84"/>
    <w:rsid w:val="00423570"/>
    <w:rsid w:val="00423870"/>
    <w:rsid w:val="0042744F"/>
    <w:rsid w:val="0042756B"/>
    <w:rsid w:val="0042763A"/>
    <w:rsid w:val="00427DFB"/>
    <w:rsid w:val="00427E1E"/>
    <w:rsid w:val="004311DD"/>
    <w:rsid w:val="00431BA1"/>
    <w:rsid w:val="00432024"/>
    <w:rsid w:val="004323D3"/>
    <w:rsid w:val="0043395E"/>
    <w:rsid w:val="004349C4"/>
    <w:rsid w:val="00434CCF"/>
    <w:rsid w:val="00435671"/>
    <w:rsid w:val="00437210"/>
    <w:rsid w:val="00437978"/>
    <w:rsid w:val="0044095A"/>
    <w:rsid w:val="00441109"/>
    <w:rsid w:val="004414CF"/>
    <w:rsid w:val="00441BC8"/>
    <w:rsid w:val="00443D18"/>
    <w:rsid w:val="00443F18"/>
    <w:rsid w:val="004454AC"/>
    <w:rsid w:val="00447BBB"/>
    <w:rsid w:val="004519B6"/>
    <w:rsid w:val="00452E53"/>
    <w:rsid w:val="0045377A"/>
    <w:rsid w:val="00453B41"/>
    <w:rsid w:val="004558C7"/>
    <w:rsid w:val="0045751F"/>
    <w:rsid w:val="004610ED"/>
    <w:rsid w:val="0046119B"/>
    <w:rsid w:val="00461B53"/>
    <w:rsid w:val="0046242A"/>
    <w:rsid w:val="00462878"/>
    <w:rsid w:val="00463522"/>
    <w:rsid w:val="0046369E"/>
    <w:rsid w:val="0046485D"/>
    <w:rsid w:val="00465B7A"/>
    <w:rsid w:val="00465F6D"/>
    <w:rsid w:val="00466749"/>
    <w:rsid w:val="00467750"/>
    <w:rsid w:val="00467D56"/>
    <w:rsid w:val="00470AD0"/>
    <w:rsid w:val="00471630"/>
    <w:rsid w:val="00471D38"/>
    <w:rsid w:val="00472944"/>
    <w:rsid w:val="00472AA2"/>
    <w:rsid w:val="0047404D"/>
    <w:rsid w:val="00474640"/>
    <w:rsid w:val="004751F6"/>
    <w:rsid w:val="00475265"/>
    <w:rsid w:val="00475525"/>
    <w:rsid w:val="00476638"/>
    <w:rsid w:val="00477255"/>
    <w:rsid w:val="00480A9E"/>
    <w:rsid w:val="00481371"/>
    <w:rsid w:val="00482630"/>
    <w:rsid w:val="00483DFD"/>
    <w:rsid w:val="00484133"/>
    <w:rsid w:val="00484915"/>
    <w:rsid w:val="0048510F"/>
    <w:rsid w:val="00485137"/>
    <w:rsid w:val="00485D16"/>
    <w:rsid w:val="00485FB5"/>
    <w:rsid w:val="004873A7"/>
    <w:rsid w:val="00490B2F"/>
    <w:rsid w:val="00490F78"/>
    <w:rsid w:val="004911E7"/>
    <w:rsid w:val="004920AB"/>
    <w:rsid w:val="00492C53"/>
    <w:rsid w:val="00494F23"/>
    <w:rsid w:val="004953EC"/>
    <w:rsid w:val="00495DFF"/>
    <w:rsid w:val="00496A05"/>
    <w:rsid w:val="004A04BC"/>
    <w:rsid w:val="004A0C58"/>
    <w:rsid w:val="004A0D29"/>
    <w:rsid w:val="004A0DE1"/>
    <w:rsid w:val="004A1022"/>
    <w:rsid w:val="004A2410"/>
    <w:rsid w:val="004A27AC"/>
    <w:rsid w:val="004A2CA3"/>
    <w:rsid w:val="004A35C8"/>
    <w:rsid w:val="004A39C4"/>
    <w:rsid w:val="004A5D69"/>
    <w:rsid w:val="004A66E6"/>
    <w:rsid w:val="004B0706"/>
    <w:rsid w:val="004B32A2"/>
    <w:rsid w:val="004B4073"/>
    <w:rsid w:val="004B714C"/>
    <w:rsid w:val="004B7859"/>
    <w:rsid w:val="004C1DD0"/>
    <w:rsid w:val="004C1EB2"/>
    <w:rsid w:val="004C1F32"/>
    <w:rsid w:val="004C2517"/>
    <w:rsid w:val="004C2CF6"/>
    <w:rsid w:val="004C3FBF"/>
    <w:rsid w:val="004C4070"/>
    <w:rsid w:val="004C448E"/>
    <w:rsid w:val="004C460F"/>
    <w:rsid w:val="004C64E4"/>
    <w:rsid w:val="004C710D"/>
    <w:rsid w:val="004D0CD6"/>
    <w:rsid w:val="004D1016"/>
    <w:rsid w:val="004D3A62"/>
    <w:rsid w:val="004D7D78"/>
    <w:rsid w:val="004E12D8"/>
    <w:rsid w:val="004E156F"/>
    <w:rsid w:val="004E204B"/>
    <w:rsid w:val="004E55DB"/>
    <w:rsid w:val="004E5F53"/>
    <w:rsid w:val="004E6781"/>
    <w:rsid w:val="004E6A84"/>
    <w:rsid w:val="004E7146"/>
    <w:rsid w:val="004E7695"/>
    <w:rsid w:val="004F3025"/>
    <w:rsid w:val="004F36B8"/>
    <w:rsid w:val="004F38AF"/>
    <w:rsid w:val="004F38E0"/>
    <w:rsid w:val="004F4CA0"/>
    <w:rsid w:val="004F68B1"/>
    <w:rsid w:val="004F75E9"/>
    <w:rsid w:val="00500904"/>
    <w:rsid w:val="00500FEB"/>
    <w:rsid w:val="0050123A"/>
    <w:rsid w:val="00501656"/>
    <w:rsid w:val="00501E53"/>
    <w:rsid w:val="00501F66"/>
    <w:rsid w:val="00502B2F"/>
    <w:rsid w:val="0050304F"/>
    <w:rsid w:val="0050350B"/>
    <w:rsid w:val="005035D0"/>
    <w:rsid w:val="0050408E"/>
    <w:rsid w:val="00504261"/>
    <w:rsid w:val="00505CD8"/>
    <w:rsid w:val="005062DC"/>
    <w:rsid w:val="0050632D"/>
    <w:rsid w:val="00506CEF"/>
    <w:rsid w:val="00506ECD"/>
    <w:rsid w:val="00507A3A"/>
    <w:rsid w:val="005100B2"/>
    <w:rsid w:val="005106C5"/>
    <w:rsid w:val="005106C9"/>
    <w:rsid w:val="00511123"/>
    <w:rsid w:val="00511829"/>
    <w:rsid w:val="005118AA"/>
    <w:rsid w:val="00512015"/>
    <w:rsid w:val="00512D00"/>
    <w:rsid w:val="00514179"/>
    <w:rsid w:val="005141D6"/>
    <w:rsid w:val="00514E1B"/>
    <w:rsid w:val="00515FFB"/>
    <w:rsid w:val="005164F8"/>
    <w:rsid w:val="00520037"/>
    <w:rsid w:val="00520075"/>
    <w:rsid w:val="00520230"/>
    <w:rsid w:val="0052293F"/>
    <w:rsid w:val="005237B2"/>
    <w:rsid w:val="00523C6A"/>
    <w:rsid w:val="00524203"/>
    <w:rsid w:val="005242A4"/>
    <w:rsid w:val="00524693"/>
    <w:rsid w:val="0052505D"/>
    <w:rsid w:val="005251A3"/>
    <w:rsid w:val="00525C92"/>
    <w:rsid w:val="00525E4E"/>
    <w:rsid w:val="00526206"/>
    <w:rsid w:val="0052628F"/>
    <w:rsid w:val="005309E0"/>
    <w:rsid w:val="00530AD6"/>
    <w:rsid w:val="0053139B"/>
    <w:rsid w:val="00532C25"/>
    <w:rsid w:val="00532F67"/>
    <w:rsid w:val="00534BDF"/>
    <w:rsid w:val="0053607B"/>
    <w:rsid w:val="00536A00"/>
    <w:rsid w:val="0053749A"/>
    <w:rsid w:val="00537AFE"/>
    <w:rsid w:val="00537DAE"/>
    <w:rsid w:val="005404D9"/>
    <w:rsid w:val="00542CEF"/>
    <w:rsid w:val="00542D04"/>
    <w:rsid w:val="005431DD"/>
    <w:rsid w:val="005435AD"/>
    <w:rsid w:val="00543C71"/>
    <w:rsid w:val="0054470E"/>
    <w:rsid w:val="00544933"/>
    <w:rsid w:val="00544BEA"/>
    <w:rsid w:val="0054525E"/>
    <w:rsid w:val="005460D5"/>
    <w:rsid w:val="00552C49"/>
    <w:rsid w:val="0055348E"/>
    <w:rsid w:val="00556067"/>
    <w:rsid w:val="00556630"/>
    <w:rsid w:val="00556913"/>
    <w:rsid w:val="00557912"/>
    <w:rsid w:val="00557F14"/>
    <w:rsid w:val="00561590"/>
    <w:rsid w:val="0056241D"/>
    <w:rsid w:val="0056623E"/>
    <w:rsid w:val="00566A85"/>
    <w:rsid w:val="00566CF8"/>
    <w:rsid w:val="00566EB3"/>
    <w:rsid w:val="00567161"/>
    <w:rsid w:val="00567733"/>
    <w:rsid w:val="00567ABA"/>
    <w:rsid w:val="005707AA"/>
    <w:rsid w:val="00571F99"/>
    <w:rsid w:val="0057247C"/>
    <w:rsid w:val="00572E10"/>
    <w:rsid w:val="00573987"/>
    <w:rsid w:val="00573AE3"/>
    <w:rsid w:val="005743D5"/>
    <w:rsid w:val="00574613"/>
    <w:rsid w:val="00574D27"/>
    <w:rsid w:val="00575438"/>
    <w:rsid w:val="00577A40"/>
    <w:rsid w:val="00577F44"/>
    <w:rsid w:val="005806F6"/>
    <w:rsid w:val="00580E9C"/>
    <w:rsid w:val="005902D9"/>
    <w:rsid w:val="00590D2B"/>
    <w:rsid w:val="00590FFC"/>
    <w:rsid w:val="00591C5B"/>
    <w:rsid w:val="00591CC6"/>
    <w:rsid w:val="00592557"/>
    <w:rsid w:val="00592E10"/>
    <w:rsid w:val="00593925"/>
    <w:rsid w:val="005951C4"/>
    <w:rsid w:val="00596015"/>
    <w:rsid w:val="0059605E"/>
    <w:rsid w:val="00596AB7"/>
    <w:rsid w:val="00596D7C"/>
    <w:rsid w:val="005A144C"/>
    <w:rsid w:val="005A1EA7"/>
    <w:rsid w:val="005A217B"/>
    <w:rsid w:val="005A2300"/>
    <w:rsid w:val="005A23E1"/>
    <w:rsid w:val="005A2995"/>
    <w:rsid w:val="005A3929"/>
    <w:rsid w:val="005A3B26"/>
    <w:rsid w:val="005A762D"/>
    <w:rsid w:val="005A7EDA"/>
    <w:rsid w:val="005B0724"/>
    <w:rsid w:val="005B0B0E"/>
    <w:rsid w:val="005B0DD6"/>
    <w:rsid w:val="005B10BA"/>
    <w:rsid w:val="005B1351"/>
    <w:rsid w:val="005B1948"/>
    <w:rsid w:val="005B1E46"/>
    <w:rsid w:val="005B3357"/>
    <w:rsid w:val="005B3431"/>
    <w:rsid w:val="005B3D78"/>
    <w:rsid w:val="005B523A"/>
    <w:rsid w:val="005B7761"/>
    <w:rsid w:val="005C00A8"/>
    <w:rsid w:val="005C04A5"/>
    <w:rsid w:val="005C10F7"/>
    <w:rsid w:val="005C156C"/>
    <w:rsid w:val="005C20E5"/>
    <w:rsid w:val="005C2854"/>
    <w:rsid w:val="005C36AE"/>
    <w:rsid w:val="005C42AC"/>
    <w:rsid w:val="005C496E"/>
    <w:rsid w:val="005C4BFA"/>
    <w:rsid w:val="005C4F84"/>
    <w:rsid w:val="005C5903"/>
    <w:rsid w:val="005C5ACC"/>
    <w:rsid w:val="005C5E78"/>
    <w:rsid w:val="005C6AF5"/>
    <w:rsid w:val="005D01C6"/>
    <w:rsid w:val="005D1909"/>
    <w:rsid w:val="005D1DE8"/>
    <w:rsid w:val="005D1EF4"/>
    <w:rsid w:val="005D2489"/>
    <w:rsid w:val="005D37D0"/>
    <w:rsid w:val="005D4CBC"/>
    <w:rsid w:val="005D703E"/>
    <w:rsid w:val="005D7278"/>
    <w:rsid w:val="005D73C5"/>
    <w:rsid w:val="005D77A3"/>
    <w:rsid w:val="005E0478"/>
    <w:rsid w:val="005E0972"/>
    <w:rsid w:val="005E1171"/>
    <w:rsid w:val="005E1C29"/>
    <w:rsid w:val="005E32B2"/>
    <w:rsid w:val="005E40E1"/>
    <w:rsid w:val="005E4194"/>
    <w:rsid w:val="005E5525"/>
    <w:rsid w:val="005E5E03"/>
    <w:rsid w:val="005E5FDA"/>
    <w:rsid w:val="005E6014"/>
    <w:rsid w:val="005E657B"/>
    <w:rsid w:val="005F01AC"/>
    <w:rsid w:val="005F0D88"/>
    <w:rsid w:val="005F11E2"/>
    <w:rsid w:val="005F120C"/>
    <w:rsid w:val="005F14CC"/>
    <w:rsid w:val="005F21B6"/>
    <w:rsid w:val="005F2632"/>
    <w:rsid w:val="005F2756"/>
    <w:rsid w:val="005F311C"/>
    <w:rsid w:val="005F3566"/>
    <w:rsid w:val="005F5712"/>
    <w:rsid w:val="005F5ED1"/>
    <w:rsid w:val="005F6BA9"/>
    <w:rsid w:val="005F7FA6"/>
    <w:rsid w:val="00600AFC"/>
    <w:rsid w:val="00600D7C"/>
    <w:rsid w:val="0060240C"/>
    <w:rsid w:val="00604CF8"/>
    <w:rsid w:val="00605547"/>
    <w:rsid w:val="00606613"/>
    <w:rsid w:val="0060680C"/>
    <w:rsid w:val="006069D4"/>
    <w:rsid w:val="00607416"/>
    <w:rsid w:val="006076ED"/>
    <w:rsid w:val="00607AE1"/>
    <w:rsid w:val="00610069"/>
    <w:rsid w:val="006104BE"/>
    <w:rsid w:val="00610EA6"/>
    <w:rsid w:val="00611A5B"/>
    <w:rsid w:val="00613410"/>
    <w:rsid w:val="00613E29"/>
    <w:rsid w:val="0061427D"/>
    <w:rsid w:val="00614E4B"/>
    <w:rsid w:val="00615008"/>
    <w:rsid w:val="00617986"/>
    <w:rsid w:val="00622D51"/>
    <w:rsid w:val="006230A6"/>
    <w:rsid w:val="00623B74"/>
    <w:rsid w:val="00623BE2"/>
    <w:rsid w:val="00623F6C"/>
    <w:rsid w:val="0062480E"/>
    <w:rsid w:val="006254A0"/>
    <w:rsid w:val="00625B1D"/>
    <w:rsid w:val="00626206"/>
    <w:rsid w:val="0062709B"/>
    <w:rsid w:val="006321D7"/>
    <w:rsid w:val="0063450D"/>
    <w:rsid w:val="00634C9C"/>
    <w:rsid w:val="00634D6B"/>
    <w:rsid w:val="006350CE"/>
    <w:rsid w:val="0063569A"/>
    <w:rsid w:val="00636637"/>
    <w:rsid w:val="00636A07"/>
    <w:rsid w:val="006420D2"/>
    <w:rsid w:val="006428C7"/>
    <w:rsid w:val="006435E9"/>
    <w:rsid w:val="006438D3"/>
    <w:rsid w:val="00646291"/>
    <w:rsid w:val="006463C6"/>
    <w:rsid w:val="006467F5"/>
    <w:rsid w:val="00650E95"/>
    <w:rsid w:val="00654179"/>
    <w:rsid w:val="00654A48"/>
    <w:rsid w:val="00655009"/>
    <w:rsid w:val="0065651B"/>
    <w:rsid w:val="00656AD7"/>
    <w:rsid w:val="00656F10"/>
    <w:rsid w:val="00657A21"/>
    <w:rsid w:val="00657D7A"/>
    <w:rsid w:val="00660E71"/>
    <w:rsid w:val="00662544"/>
    <w:rsid w:val="00662FB2"/>
    <w:rsid w:val="006634D7"/>
    <w:rsid w:val="006640BE"/>
    <w:rsid w:val="00664358"/>
    <w:rsid w:val="0066459F"/>
    <w:rsid w:val="00664607"/>
    <w:rsid w:val="006646B7"/>
    <w:rsid w:val="0066533E"/>
    <w:rsid w:val="00666958"/>
    <w:rsid w:val="00670089"/>
    <w:rsid w:val="0067013B"/>
    <w:rsid w:val="00670675"/>
    <w:rsid w:val="00670803"/>
    <w:rsid w:val="006716A7"/>
    <w:rsid w:val="00671F17"/>
    <w:rsid w:val="006721AA"/>
    <w:rsid w:val="00672DAA"/>
    <w:rsid w:val="00672E9D"/>
    <w:rsid w:val="006731E7"/>
    <w:rsid w:val="006734E7"/>
    <w:rsid w:val="006753C2"/>
    <w:rsid w:val="006757FE"/>
    <w:rsid w:val="00675A98"/>
    <w:rsid w:val="00675C59"/>
    <w:rsid w:val="00675DA1"/>
    <w:rsid w:val="00676483"/>
    <w:rsid w:val="00676D36"/>
    <w:rsid w:val="0067719A"/>
    <w:rsid w:val="0067773C"/>
    <w:rsid w:val="00677F90"/>
    <w:rsid w:val="00680278"/>
    <w:rsid w:val="00680317"/>
    <w:rsid w:val="00680AE4"/>
    <w:rsid w:val="00680D3D"/>
    <w:rsid w:val="00680F54"/>
    <w:rsid w:val="00681274"/>
    <w:rsid w:val="0068330D"/>
    <w:rsid w:val="00683435"/>
    <w:rsid w:val="00683A4D"/>
    <w:rsid w:val="00684E51"/>
    <w:rsid w:val="006917A1"/>
    <w:rsid w:val="00692FDE"/>
    <w:rsid w:val="006937CB"/>
    <w:rsid w:val="00694263"/>
    <w:rsid w:val="0069443F"/>
    <w:rsid w:val="0069490F"/>
    <w:rsid w:val="00694DF8"/>
    <w:rsid w:val="00697F6A"/>
    <w:rsid w:val="006A100B"/>
    <w:rsid w:val="006A143A"/>
    <w:rsid w:val="006A22DE"/>
    <w:rsid w:val="006A3285"/>
    <w:rsid w:val="006A35C6"/>
    <w:rsid w:val="006A4A07"/>
    <w:rsid w:val="006A511B"/>
    <w:rsid w:val="006A523C"/>
    <w:rsid w:val="006A7395"/>
    <w:rsid w:val="006A756E"/>
    <w:rsid w:val="006B2530"/>
    <w:rsid w:val="006B3321"/>
    <w:rsid w:val="006B4899"/>
    <w:rsid w:val="006B56BA"/>
    <w:rsid w:val="006B5BED"/>
    <w:rsid w:val="006B6F91"/>
    <w:rsid w:val="006B72DE"/>
    <w:rsid w:val="006B7837"/>
    <w:rsid w:val="006B7EFF"/>
    <w:rsid w:val="006C1D37"/>
    <w:rsid w:val="006C3449"/>
    <w:rsid w:val="006C5D17"/>
    <w:rsid w:val="006C5FC1"/>
    <w:rsid w:val="006C6D1C"/>
    <w:rsid w:val="006C772C"/>
    <w:rsid w:val="006C7984"/>
    <w:rsid w:val="006D01B5"/>
    <w:rsid w:val="006D06FD"/>
    <w:rsid w:val="006D1153"/>
    <w:rsid w:val="006D19D4"/>
    <w:rsid w:val="006D1B9E"/>
    <w:rsid w:val="006D27B1"/>
    <w:rsid w:val="006D29EB"/>
    <w:rsid w:val="006D35A7"/>
    <w:rsid w:val="006D44E1"/>
    <w:rsid w:val="006D657D"/>
    <w:rsid w:val="006E0490"/>
    <w:rsid w:val="006E1823"/>
    <w:rsid w:val="006E21FA"/>
    <w:rsid w:val="006E2D6D"/>
    <w:rsid w:val="006E3197"/>
    <w:rsid w:val="006E3DDF"/>
    <w:rsid w:val="006E3FE8"/>
    <w:rsid w:val="006E412F"/>
    <w:rsid w:val="006E4F5E"/>
    <w:rsid w:val="006F0190"/>
    <w:rsid w:val="006F0A64"/>
    <w:rsid w:val="006F0FB7"/>
    <w:rsid w:val="006F2359"/>
    <w:rsid w:val="006F272D"/>
    <w:rsid w:val="006F34E9"/>
    <w:rsid w:val="006F3A0E"/>
    <w:rsid w:val="006F5290"/>
    <w:rsid w:val="006F533E"/>
    <w:rsid w:val="006F55B3"/>
    <w:rsid w:val="006F5A07"/>
    <w:rsid w:val="006F792E"/>
    <w:rsid w:val="007001FA"/>
    <w:rsid w:val="007007B1"/>
    <w:rsid w:val="0070091A"/>
    <w:rsid w:val="00700D1B"/>
    <w:rsid w:val="007010CF"/>
    <w:rsid w:val="007024B8"/>
    <w:rsid w:val="0070317A"/>
    <w:rsid w:val="00703636"/>
    <w:rsid w:val="00704645"/>
    <w:rsid w:val="007049D8"/>
    <w:rsid w:val="00704E5D"/>
    <w:rsid w:val="00705292"/>
    <w:rsid w:val="00705739"/>
    <w:rsid w:val="00705B42"/>
    <w:rsid w:val="00706335"/>
    <w:rsid w:val="00706802"/>
    <w:rsid w:val="00707988"/>
    <w:rsid w:val="00710548"/>
    <w:rsid w:val="00710E3C"/>
    <w:rsid w:val="00711109"/>
    <w:rsid w:val="0071316F"/>
    <w:rsid w:val="00713A16"/>
    <w:rsid w:val="00713F21"/>
    <w:rsid w:val="0071469E"/>
    <w:rsid w:val="00715FB5"/>
    <w:rsid w:val="00716C93"/>
    <w:rsid w:val="007171A6"/>
    <w:rsid w:val="00717300"/>
    <w:rsid w:val="0071799D"/>
    <w:rsid w:val="00717BD0"/>
    <w:rsid w:val="00717CFB"/>
    <w:rsid w:val="00723BB2"/>
    <w:rsid w:val="00726088"/>
    <w:rsid w:val="00726240"/>
    <w:rsid w:val="00727775"/>
    <w:rsid w:val="00727965"/>
    <w:rsid w:val="00730921"/>
    <w:rsid w:val="00730B6A"/>
    <w:rsid w:val="007332DF"/>
    <w:rsid w:val="00733E36"/>
    <w:rsid w:val="00734476"/>
    <w:rsid w:val="00735A84"/>
    <w:rsid w:val="00736D88"/>
    <w:rsid w:val="00736DD2"/>
    <w:rsid w:val="007371E8"/>
    <w:rsid w:val="00740385"/>
    <w:rsid w:val="0074046C"/>
    <w:rsid w:val="00741B65"/>
    <w:rsid w:val="0074243B"/>
    <w:rsid w:val="00742EC4"/>
    <w:rsid w:val="00743227"/>
    <w:rsid w:val="007436B5"/>
    <w:rsid w:val="0074681C"/>
    <w:rsid w:val="00746EC2"/>
    <w:rsid w:val="0074786F"/>
    <w:rsid w:val="00747EB5"/>
    <w:rsid w:val="00750592"/>
    <w:rsid w:val="00750666"/>
    <w:rsid w:val="00750AA9"/>
    <w:rsid w:val="00751DFD"/>
    <w:rsid w:val="007535A3"/>
    <w:rsid w:val="0075426B"/>
    <w:rsid w:val="00755648"/>
    <w:rsid w:val="00757324"/>
    <w:rsid w:val="00757641"/>
    <w:rsid w:val="00760BE7"/>
    <w:rsid w:val="00760E0E"/>
    <w:rsid w:val="007623C0"/>
    <w:rsid w:val="00764955"/>
    <w:rsid w:val="00765743"/>
    <w:rsid w:val="00767998"/>
    <w:rsid w:val="00770713"/>
    <w:rsid w:val="00770AB5"/>
    <w:rsid w:val="007716CD"/>
    <w:rsid w:val="00771AFC"/>
    <w:rsid w:val="00771D8D"/>
    <w:rsid w:val="00772398"/>
    <w:rsid w:val="007726AA"/>
    <w:rsid w:val="00772F47"/>
    <w:rsid w:val="00774392"/>
    <w:rsid w:val="007748E5"/>
    <w:rsid w:val="0077590F"/>
    <w:rsid w:val="00775E09"/>
    <w:rsid w:val="00775EAF"/>
    <w:rsid w:val="00775FDF"/>
    <w:rsid w:val="00777024"/>
    <w:rsid w:val="0078000F"/>
    <w:rsid w:val="00780829"/>
    <w:rsid w:val="0078095E"/>
    <w:rsid w:val="00781626"/>
    <w:rsid w:val="00781AFA"/>
    <w:rsid w:val="00781B2D"/>
    <w:rsid w:val="00781BA3"/>
    <w:rsid w:val="00782D67"/>
    <w:rsid w:val="00783BD0"/>
    <w:rsid w:val="00784042"/>
    <w:rsid w:val="007869F0"/>
    <w:rsid w:val="00786DB5"/>
    <w:rsid w:val="0079019C"/>
    <w:rsid w:val="0079051B"/>
    <w:rsid w:val="00790F9F"/>
    <w:rsid w:val="00791DC6"/>
    <w:rsid w:val="0079288D"/>
    <w:rsid w:val="00792CD2"/>
    <w:rsid w:val="007931C8"/>
    <w:rsid w:val="007937B6"/>
    <w:rsid w:val="00794D1E"/>
    <w:rsid w:val="007959AC"/>
    <w:rsid w:val="00796723"/>
    <w:rsid w:val="0079726B"/>
    <w:rsid w:val="00797841"/>
    <w:rsid w:val="007A1846"/>
    <w:rsid w:val="007A1919"/>
    <w:rsid w:val="007A20E0"/>
    <w:rsid w:val="007A2DA6"/>
    <w:rsid w:val="007A3A3A"/>
    <w:rsid w:val="007A4430"/>
    <w:rsid w:val="007A4D61"/>
    <w:rsid w:val="007A67A7"/>
    <w:rsid w:val="007A68CA"/>
    <w:rsid w:val="007A73AD"/>
    <w:rsid w:val="007B02B9"/>
    <w:rsid w:val="007B2204"/>
    <w:rsid w:val="007B4B60"/>
    <w:rsid w:val="007B4E1B"/>
    <w:rsid w:val="007B5581"/>
    <w:rsid w:val="007B6D79"/>
    <w:rsid w:val="007B7037"/>
    <w:rsid w:val="007C0124"/>
    <w:rsid w:val="007C04D9"/>
    <w:rsid w:val="007C0842"/>
    <w:rsid w:val="007C08AD"/>
    <w:rsid w:val="007C0F78"/>
    <w:rsid w:val="007C1B6E"/>
    <w:rsid w:val="007C20BD"/>
    <w:rsid w:val="007C29B0"/>
    <w:rsid w:val="007C3750"/>
    <w:rsid w:val="007C3DBA"/>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248"/>
    <w:rsid w:val="007E0ADF"/>
    <w:rsid w:val="007E181E"/>
    <w:rsid w:val="007E1FB5"/>
    <w:rsid w:val="007E2B3E"/>
    <w:rsid w:val="007E30AE"/>
    <w:rsid w:val="007E3173"/>
    <w:rsid w:val="007E3498"/>
    <w:rsid w:val="007E3571"/>
    <w:rsid w:val="007E418B"/>
    <w:rsid w:val="007E43E0"/>
    <w:rsid w:val="007E56FA"/>
    <w:rsid w:val="007E5F58"/>
    <w:rsid w:val="007E6305"/>
    <w:rsid w:val="007E63CE"/>
    <w:rsid w:val="007F029F"/>
    <w:rsid w:val="007F17FC"/>
    <w:rsid w:val="007F2690"/>
    <w:rsid w:val="007F2B97"/>
    <w:rsid w:val="007F3377"/>
    <w:rsid w:val="007F541D"/>
    <w:rsid w:val="007F6999"/>
    <w:rsid w:val="007F6CB3"/>
    <w:rsid w:val="007F7139"/>
    <w:rsid w:val="008020D2"/>
    <w:rsid w:val="008024F5"/>
    <w:rsid w:val="00802DF1"/>
    <w:rsid w:val="00802EB2"/>
    <w:rsid w:val="008033CB"/>
    <w:rsid w:val="00803898"/>
    <w:rsid w:val="00803C6C"/>
    <w:rsid w:val="00803C89"/>
    <w:rsid w:val="008041D4"/>
    <w:rsid w:val="008044FF"/>
    <w:rsid w:val="0080533C"/>
    <w:rsid w:val="00806A0B"/>
    <w:rsid w:val="00807318"/>
    <w:rsid w:val="00807662"/>
    <w:rsid w:val="00807954"/>
    <w:rsid w:val="00810C1B"/>
    <w:rsid w:val="00810C60"/>
    <w:rsid w:val="00810F79"/>
    <w:rsid w:val="0081156A"/>
    <w:rsid w:val="00811CDC"/>
    <w:rsid w:val="00813C0C"/>
    <w:rsid w:val="00813FE1"/>
    <w:rsid w:val="00814772"/>
    <w:rsid w:val="00814F49"/>
    <w:rsid w:val="00816923"/>
    <w:rsid w:val="00816F77"/>
    <w:rsid w:val="0081734A"/>
    <w:rsid w:val="008176A0"/>
    <w:rsid w:val="0082079B"/>
    <w:rsid w:val="00820ED6"/>
    <w:rsid w:val="0082155D"/>
    <w:rsid w:val="008215D5"/>
    <w:rsid w:val="00821EFD"/>
    <w:rsid w:val="00823F36"/>
    <w:rsid w:val="008242F5"/>
    <w:rsid w:val="008247D9"/>
    <w:rsid w:val="00825C46"/>
    <w:rsid w:val="00825D94"/>
    <w:rsid w:val="008264A7"/>
    <w:rsid w:val="008266A6"/>
    <w:rsid w:val="00826D42"/>
    <w:rsid w:val="00827398"/>
    <w:rsid w:val="008278CB"/>
    <w:rsid w:val="00830F57"/>
    <w:rsid w:val="00831D86"/>
    <w:rsid w:val="00833AEF"/>
    <w:rsid w:val="008342AF"/>
    <w:rsid w:val="008342C3"/>
    <w:rsid w:val="008346F6"/>
    <w:rsid w:val="00835A22"/>
    <w:rsid w:val="00835F02"/>
    <w:rsid w:val="00836E30"/>
    <w:rsid w:val="00840446"/>
    <w:rsid w:val="00842273"/>
    <w:rsid w:val="00842974"/>
    <w:rsid w:val="00843966"/>
    <w:rsid w:val="00844366"/>
    <w:rsid w:val="00844436"/>
    <w:rsid w:val="008452FF"/>
    <w:rsid w:val="008468A9"/>
    <w:rsid w:val="008473C7"/>
    <w:rsid w:val="00847A83"/>
    <w:rsid w:val="00850BF5"/>
    <w:rsid w:val="00852814"/>
    <w:rsid w:val="00852DB7"/>
    <w:rsid w:val="00853D80"/>
    <w:rsid w:val="00853F55"/>
    <w:rsid w:val="00854195"/>
    <w:rsid w:val="00854936"/>
    <w:rsid w:val="0085550A"/>
    <w:rsid w:val="008566B6"/>
    <w:rsid w:val="0085707D"/>
    <w:rsid w:val="00857C4E"/>
    <w:rsid w:val="008616EF"/>
    <w:rsid w:val="00861A7E"/>
    <w:rsid w:val="0086209C"/>
    <w:rsid w:val="00862BE3"/>
    <w:rsid w:val="008639FF"/>
    <w:rsid w:val="00863C25"/>
    <w:rsid w:val="008641A4"/>
    <w:rsid w:val="0086432B"/>
    <w:rsid w:val="00865616"/>
    <w:rsid w:val="008662A7"/>
    <w:rsid w:val="0086729A"/>
    <w:rsid w:val="00867C84"/>
    <w:rsid w:val="008705BC"/>
    <w:rsid w:val="0087107F"/>
    <w:rsid w:val="00871139"/>
    <w:rsid w:val="00874AFC"/>
    <w:rsid w:val="00874E31"/>
    <w:rsid w:val="00875667"/>
    <w:rsid w:val="00875A42"/>
    <w:rsid w:val="00875F81"/>
    <w:rsid w:val="00876CEE"/>
    <w:rsid w:val="00880BDF"/>
    <w:rsid w:val="0088114C"/>
    <w:rsid w:val="00881E28"/>
    <w:rsid w:val="00882BE2"/>
    <w:rsid w:val="008904A8"/>
    <w:rsid w:val="00890A0E"/>
    <w:rsid w:val="00892103"/>
    <w:rsid w:val="0089236E"/>
    <w:rsid w:val="00894190"/>
    <w:rsid w:val="0089454D"/>
    <w:rsid w:val="00894863"/>
    <w:rsid w:val="00894AAF"/>
    <w:rsid w:val="00894B38"/>
    <w:rsid w:val="008A06EC"/>
    <w:rsid w:val="008A18C0"/>
    <w:rsid w:val="008A2865"/>
    <w:rsid w:val="008A2F96"/>
    <w:rsid w:val="008A3133"/>
    <w:rsid w:val="008A3612"/>
    <w:rsid w:val="008A3D79"/>
    <w:rsid w:val="008A4057"/>
    <w:rsid w:val="008A4A6A"/>
    <w:rsid w:val="008A50D7"/>
    <w:rsid w:val="008A53C7"/>
    <w:rsid w:val="008A5E65"/>
    <w:rsid w:val="008A638D"/>
    <w:rsid w:val="008A6480"/>
    <w:rsid w:val="008A663E"/>
    <w:rsid w:val="008A66AD"/>
    <w:rsid w:val="008A722D"/>
    <w:rsid w:val="008B1BA8"/>
    <w:rsid w:val="008B2198"/>
    <w:rsid w:val="008B5CFA"/>
    <w:rsid w:val="008B6E63"/>
    <w:rsid w:val="008B782A"/>
    <w:rsid w:val="008C02FD"/>
    <w:rsid w:val="008C11DB"/>
    <w:rsid w:val="008C144E"/>
    <w:rsid w:val="008C1A47"/>
    <w:rsid w:val="008C299C"/>
    <w:rsid w:val="008C3244"/>
    <w:rsid w:val="008C341F"/>
    <w:rsid w:val="008C4934"/>
    <w:rsid w:val="008C499D"/>
    <w:rsid w:val="008C4A46"/>
    <w:rsid w:val="008C510F"/>
    <w:rsid w:val="008C56FE"/>
    <w:rsid w:val="008C5AAB"/>
    <w:rsid w:val="008C6586"/>
    <w:rsid w:val="008C6769"/>
    <w:rsid w:val="008D027C"/>
    <w:rsid w:val="008D0550"/>
    <w:rsid w:val="008D0FC7"/>
    <w:rsid w:val="008D2351"/>
    <w:rsid w:val="008D2D66"/>
    <w:rsid w:val="008D44A0"/>
    <w:rsid w:val="008D49F3"/>
    <w:rsid w:val="008D4A23"/>
    <w:rsid w:val="008D54A7"/>
    <w:rsid w:val="008E151E"/>
    <w:rsid w:val="008E1DDC"/>
    <w:rsid w:val="008E2A27"/>
    <w:rsid w:val="008E3B3E"/>
    <w:rsid w:val="008E3F17"/>
    <w:rsid w:val="008E41E0"/>
    <w:rsid w:val="008E4808"/>
    <w:rsid w:val="008E512F"/>
    <w:rsid w:val="008E596B"/>
    <w:rsid w:val="008E66B8"/>
    <w:rsid w:val="008E75FA"/>
    <w:rsid w:val="008F01C1"/>
    <w:rsid w:val="008F109F"/>
    <w:rsid w:val="008F1483"/>
    <w:rsid w:val="008F1988"/>
    <w:rsid w:val="008F450F"/>
    <w:rsid w:val="008F57DF"/>
    <w:rsid w:val="008F6252"/>
    <w:rsid w:val="008F6D8C"/>
    <w:rsid w:val="008F78E2"/>
    <w:rsid w:val="009023F3"/>
    <w:rsid w:val="00902AB9"/>
    <w:rsid w:val="00902D27"/>
    <w:rsid w:val="0090383C"/>
    <w:rsid w:val="009039EC"/>
    <w:rsid w:val="00906019"/>
    <w:rsid w:val="00906A8A"/>
    <w:rsid w:val="00907AB7"/>
    <w:rsid w:val="00910541"/>
    <w:rsid w:val="00910578"/>
    <w:rsid w:val="00910DE7"/>
    <w:rsid w:val="00912132"/>
    <w:rsid w:val="009129CA"/>
    <w:rsid w:val="00912AEC"/>
    <w:rsid w:val="00912E07"/>
    <w:rsid w:val="009130B2"/>
    <w:rsid w:val="00914277"/>
    <w:rsid w:val="009142CF"/>
    <w:rsid w:val="00914C75"/>
    <w:rsid w:val="009159AB"/>
    <w:rsid w:val="00915C4F"/>
    <w:rsid w:val="009161E5"/>
    <w:rsid w:val="009165AE"/>
    <w:rsid w:val="009174D6"/>
    <w:rsid w:val="0092035F"/>
    <w:rsid w:val="00920FFA"/>
    <w:rsid w:val="009227B8"/>
    <w:rsid w:val="00922F48"/>
    <w:rsid w:val="00922FAD"/>
    <w:rsid w:val="00923708"/>
    <w:rsid w:val="009248A4"/>
    <w:rsid w:val="00924F0A"/>
    <w:rsid w:val="00925037"/>
    <w:rsid w:val="00925681"/>
    <w:rsid w:val="00925C89"/>
    <w:rsid w:val="00925D5C"/>
    <w:rsid w:val="00926E80"/>
    <w:rsid w:val="0092708B"/>
    <w:rsid w:val="009270EA"/>
    <w:rsid w:val="009271F5"/>
    <w:rsid w:val="0093049D"/>
    <w:rsid w:val="00931AD1"/>
    <w:rsid w:val="00932004"/>
    <w:rsid w:val="00935625"/>
    <w:rsid w:val="00936F66"/>
    <w:rsid w:val="00937713"/>
    <w:rsid w:val="0093771B"/>
    <w:rsid w:val="00937D8C"/>
    <w:rsid w:val="00940235"/>
    <w:rsid w:val="0094051B"/>
    <w:rsid w:val="00940BEC"/>
    <w:rsid w:val="00940EA9"/>
    <w:rsid w:val="009410D8"/>
    <w:rsid w:val="00942E54"/>
    <w:rsid w:val="00943CE3"/>
    <w:rsid w:val="00943D8D"/>
    <w:rsid w:val="00944592"/>
    <w:rsid w:val="0094485C"/>
    <w:rsid w:val="00944CC1"/>
    <w:rsid w:val="00945839"/>
    <w:rsid w:val="00945A4A"/>
    <w:rsid w:val="00945A80"/>
    <w:rsid w:val="00946941"/>
    <w:rsid w:val="0094696B"/>
    <w:rsid w:val="0095112D"/>
    <w:rsid w:val="00951A98"/>
    <w:rsid w:val="00953333"/>
    <w:rsid w:val="0095340A"/>
    <w:rsid w:val="00953AFE"/>
    <w:rsid w:val="00953F54"/>
    <w:rsid w:val="009547B6"/>
    <w:rsid w:val="00954B4D"/>
    <w:rsid w:val="009551F9"/>
    <w:rsid w:val="00955A35"/>
    <w:rsid w:val="0095672D"/>
    <w:rsid w:val="00956DFE"/>
    <w:rsid w:val="00957648"/>
    <w:rsid w:val="009606C4"/>
    <w:rsid w:val="00961503"/>
    <w:rsid w:val="0096342A"/>
    <w:rsid w:val="0096444A"/>
    <w:rsid w:val="00965B96"/>
    <w:rsid w:val="00966820"/>
    <w:rsid w:val="00966BBD"/>
    <w:rsid w:val="00967762"/>
    <w:rsid w:val="00967F6F"/>
    <w:rsid w:val="00971E57"/>
    <w:rsid w:val="009723CF"/>
    <w:rsid w:val="00972A9D"/>
    <w:rsid w:val="00972C86"/>
    <w:rsid w:val="009745EB"/>
    <w:rsid w:val="00974A62"/>
    <w:rsid w:val="00974D81"/>
    <w:rsid w:val="00975A73"/>
    <w:rsid w:val="009761F5"/>
    <w:rsid w:val="00977343"/>
    <w:rsid w:val="009776AE"/>
    <w:rsid w:val="00977C81"/>
    <w:rsid w:val="00980037"/>
    <w:rsid w:val="00980BDD"/>
    <w:rsid w:val="00980EBD"/>
    <w:rsid w:val="009814A6"/>
    <w:rsid w:val="00981DE3"/>
    <w:rsid w:val="00981DFD"/>
    <w:rsid w:val="00983B43"/>
    <w:rsid w:val="009844DD"/>
    <w:rsid w:val="00985462"/>
    <w:rsid w:val="00987850"/>
    <w:rsid w:val="00990179"/>
    <w:rsid w:val="009917FB"/>
    <w:rsid w:val="00991B37"/>
    <w:rsid w:val="00992231"/>
    <w:rsid w:val="0099271F"/>
    <w:rsid w:val="009927D8"/>
    <w:rsid w:val="00994029"/>
    <w:rsid w:val="009942B5"/>
    <w:rsid w:val="00995C45"/>
    <w:rsid w:val="00995D19"/>
    <w:rsid w:val="00995F35"/>
    <w:rsid w:val="00995F5B"/>
    <w:rsid w:val="00996680"/>
    <w:rsid w:val="009967FA"/>
    <w:rsid w:val="009974B5"/>
    <w:rsid w:val="009A02D9"/>
    <w:rsid w:val="009A0A29"/>
    <w:rsid w:val="009A297F"/>
    <w:rsid w:val="009A2D05"/>
    <w:rsid w:val="009A2D0D"/>
    <w:rsid w:val="009A414A"/>
    <w:rsid w:val="009A43F9"/>
    <w:rsid w:val="009A53B5"/>
    <w:rsid w:val="009A5499"/>
    <w:rsid w:val="009A5880"/>
    <w:rsid w:val="009A7FA3"/>
    <w:rsid w:val="009B0B60"/>
    <w:rsid w:val="009B10F7"/>
    <w:rsid w:val="009B18B2"/>
    <w:rsid w:val="009B2D9A"/>
    <w:rsid w:val="009B3C4A"/>
    <w:rsid w:val="009B45EB"/>
    <w:rsid w:val="009B4B3E"/>
    <w:rsid w:val="009B4C7C"/>
    <w:rsid w:val="009B4EF2"/>
    <w:rsid w:val="009B5476"/>
    <w:rsid w:val="009B776E"/>
    <w:rsid w:val="009B7C1C"/>
    <w:rsid w:val="009C16EE"/>
    <w:rsid w:val="009C2583"/>
    <w:rsid w:val="009C2C42"/>
    <w:rsid w:val="009C3034"/>
    <w:rsid w:val="009C36E8"/>
    <w:rsid w:val="009C3D9F"/>
    <w:rsid w:val="009C54B9"/>
    <w:rsid w:val="009C5595"/>
    <w:rsid w:val="009C63A8"/>
    <w:rsid w:val="009C6A78"/>
    <w:rsid w:val="009C6FC6"/>
    <w:rsid w:val="009C7687"/>
    <w:rsid w:val="009D20AC"/>
    <w:rsid w:val="009D2B2E"/>
    <w:rsid w:val="009D2FDC"/>
    <w:rsid w:val="009D314F"/>
    <w:rsid w:val="009D3181"/>
    <w:rsid w:val="009D41B2"/>
    <w:rsid w:val="009D4BA0"/>
    <w:rsid w:val="009D7719"/>
    <w:rsid w:val="009D7C75"/>
    <w:rsid w:val="009D7FE0"/>
    <w:rsid w:val="009E0853"/>
    <w:rsid w:val="009E17F7"/>
    <w:rsid w:val="009E28EE"/>
    <w:rsid w:val="009E49E4"/>
    <w:rsid w:val="009E4CA2"/>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B2E"/>
    <w:rsid w:val="009F3C8C"/>
    <w:rsid w:val="009F41BD"/>
    <w:rsid w:val="009F6743"/>
    <w:rsid w:val="00A006FC"/>
    <w:rsid w:val="00A0351C"/>
    <w:rsid w:val="00A03977"/>
    <w:rsid w:val="00A03F17"/>
    <w:rsid w:val="00A05117"/>
    <w:rsid w:val="00A05121"/>
    <w:rsid w:val="00A07C7F"/>
    <w:rsid w:val="00A10447"/>
    <w:rsid w:val="00A1077A"/>
    <w:rsid w:val="00A10FAB"/>
    <w:rsid w:val="00A11057"/>
    <w:rsid w:val="00A11454"/>
    <w:rsid w:val="00A1215A"/>
    <w:rsid w:val="00A145A0"/>
    <w:rsid w:val="00A151AA"/>
    <w:rsid w:val="00A15777"/>
    <w:rsid w:val="00A1610D"/>
    <w:rsid w:val="00A16589"/>
    <w:rsid w:val="00A165DC"/>
    <w:rsid w:val="00A1758F"/>
    <w:rsid w:val="00A17A73"/>
    <w:rsid w:val="00A17D17"/>
    <w:rsid w:val="00A21425"/>
    <w:rsid w:val="00A220A4"/>
    <w:rsid w:val="00A23C57"/>
    <w:rsid w:val="00A247D5"/>
    <w:rsid w:val="00A24A41"/>
    <w:rsid w:val="00A26FF7"/>
    <w:rsid w:val="00A27535"/>
    <w:rsid w:val="00A310A7"/>
    <w:rsid w:val="00A315D8"/>
    <w:rsid w:val="00A34063"/>
    <w:rsid w:val="00A3496C"/>
    <w:rsid w:val="00A36452"/>
    <w:rsid w:val="00A36726"/>
    <w:rsid w:val="00A37419"/>
    <w:rsid w:val="00A423A8"/>
    <w:rsid w:val="00A43C97"/>
    <w:rsid w:val="00A445DC"/>
    <w:rsid w:val="00A44BEA"/>
    <w:rsid w:val="00A44CCB"/>
    <w:rsid w:val="00A46518"/>
    <w:rsid w:val="00A465F7"/>
    <w:rsid w:val="00A479C0"/>
    <w:rsid w:val="00A50886"/>
    <w:rsid w:val="00A51332"/>
    <w:rsid w:val="00A515C0"/>
    <w:rsid w:val="00A51732"/>
    <w:rsid w:val="00A51A32"/>
    <w:rsid w:val="00A51EB3"/>
    <w:rsid w:val="00A54006"/>
    <w:rsid w:val="00A55114"/>
    <w:rsid w:val="00A567D4"/>
    <w:rsid w:val="00A56814"/>
    <w:rsid w:val="00A569E8"/>
    <w:rsid w:val="00A572DB"/>
    <w:rsid w:val="00A5743E"/>
    <w:rsid w:val="00A57DFB"/>
    <w:rsid w:val="00A60FEE"/>
    <w:rsid w:val="00A624A6"/>
    <w:rsid w:val="00A62BAE"/>
    <w:rsid w:val="00A637B0"/>
    <w:rsid w:val="00A63D7F"/>
    <w:rsid w:val="00A65E08"/>
    <w:rsid w:val="00A65FE7"/>
    <w:rsid w:val="00A6697D"/>
    <w:rsid w:val="00A66A2D"/>
    <w:rsid w:val="00A66AC4"/>
    <w:rsid w:val="00A679AE"/>
    <w:rsid w:val="00A700F6"/>
    <w:rsid w:val="00A70C39"/>
    <w:rsid w:val="00A70FE2"/>
    <w:rsid w:val="00A711C6"/>
    <w:rsid w:val="00A71FB5"/>
    <w:rsid w:val="00A737C3"/>
    <w:rsid w:val="00A73C28"/>
    <w:rsid w:val="00A73CE4"/>
    <w:rsid w:val="00A74D3D"/>
    <w:rsid w:val="00A74D5D"/>
    <w:rsid w:val="00A753E7"/>
    <w:rsid w:val="00A76F3B"/>
    <w:rsid w:val="00A7728F"/>
    <w:rsid w:val="00A7730B"/>
    <w:rsid w:val="00A81541"/>
    <w:rsid w:val="00A829AE"/>
    <w:rsid w:val="00A830E4"/>
    <w:rsid w:val="00A83C9E"/>
    <w:rsid w:val="00A83DED"/>
    <w:rsid w:val="00A84863"/>
    <w:rsid w:val="00A84A62"/>
    <w:rsid w:val="00A84AE4"/>
    <w:rsid w:val="00A90BE8"/>
    <w:rsid w:val="00A95D95"/>
    <w:rsid w:val="00A96028"/>
    <w:rsid w:val="00A96047"/>
    <w:rsid w:val="00A96C84"/>
    <w:rsid w:val="00A977EC"/>
    <w:rsid w:val="00A97F1A"/>
    <w:rsid w:val="00AA0619"/>
    <w:rsid w:val="00AA1300"/>
    <w:rsid w:val="00AA200F"/>
    <w:rsid w:val="00AA3053"/>
    <w:rsid w:val="00AA3456"/>
    <w:rsid w:val="00AA3FD1"/>
    <w:rsid w:val="00AA443F"/>
    <w:rsid w:val="00AA4DBB"/>
    <w:rsid w:val="00AA57A0"/>
    <w:rsid w:val="00AA69B8"/>
    <w:rsid w:val="00AA7759"/>
    <w:rsid w:val="00AA777C"/>
    <w:rsid w:val="00AB0FA5"/>
    <w:rsid w:val="00AB11B3"/>
    <w:rsid w:val="00AB223A"/>
    <w:rsid w:val="00AB2B9A"/>
    <w:rsid w:val="00AB4F07"/>
    <w:rsid w:val="00AB50E0"/>
    <w:rsid w:val="00AB5196"/>
    <w:rsid w:val="00AB5ED3"/>
    <w:rsid w:val="00AB643C"/>
    <w:rsid w:val="00AB65F7"/>
    <w:rsid w:val="00AB6B0C"/>
    <w:rsid w:val="00AB70CD"/>
    <w:rsid w:val="00AB7481"/>
    <w:rsid w:val="00AB77AA"/>
    <w:rsid w:val="00AB79DB"/>
    <w:rsid w:val="00AB7F65"/>
    <w:rsid w:val="00AC02C3"/>
    <w:rsid w:val="00AC18DD"/>
    <w:rsid w:val="00AC2B04"/>
    <w:rsid w:val="00AC33AD"/>
    <w:rsid w:val="00AC37E5"/>
    <w:rsid w:val="00AC4674"/>
    <w:rsid w:val="00AC4898"/>
    <w:rsid w:val="00AC48B3"/>
    <w:rsid w:val="00AC620B"/>
    <w:rsid w:val="00AC7626"/>
    <w:rsid w:val="00AC7AC9"/>
    <w:rsid w:val="00AD0477"/>
    <w:rsid w:val="00AD0621"/>
    <w:rsid w:val="00AD22DE"/>
    <w:rsid w:val="00AD24E3"/>
    <w:rsid w:val="00AD380C"/>
    <w:rsid w:val="00AD4AD4"/>
    <w:rsid w:val="00AD58EC"/>
    <w:rsid w:val="00AD6823"/>
    <w:rsid w:val="00AD748B"/>
    <w:rsid w:val="00AD7B20"/>
    <w:rsid w:val="00AE1920"/>
    <w:rsid w:val="00AE263B"/>
    <w:rsid w:val="00AE3014"/>
    <w:rsid w:val="00AE35A4"/>
    <w:rsid w:val="00AE38AB"/>
    <w:rsid w:val="00AE4C47"/>
    <w:rsid w:val="00AE5971"/>
    <w:rsid w:val="00AE5D62"/>
    <w:rsid w:val="00AE64DB"/>
    <w:rsid w:val="00AE72EC"/>
    <w:rsid w:val="00AE7519"/>
    <w:rsid w:val="00AF01B3"/>
    <w:rsid w:val="00AF0B91"/>
    <w:rsid w:val="00AF0F13"/>
    <w:rsid w:val="00AF0F15"/>
    <w:rsid w:val="00AF1969"/>
    <w:rsid w:val="00AF1F22"/>
    <w:rsid w:val="00AF2180"/>
    <w:rsid w:val="00AF338F"/>
    <w:rsid w:val="00AF3718"/>
    <w:rsid w:val="00AF3812"/>
    <w:rsid w:val="00AF3947"/>
    <w:rsid w:val="00AF556F"/>
    <w:rsid w:val="00AF671D"/>
    <w:rsid w:val="00AF7992"/>
    <w:rsid w:val="00B00165"/>
    <w:rsid w:val="00B00545"/>
    <w:rsid w:val="00B00AB3"/>
    <w:rsid w:val="00B011FE"/>
    <w:rsid w:val="00B031EF"/>
    <w:rsid w:val="00B032FE"/>
    <w:rsid w:val="00B05D4B"/>
    <w:rsid w:val="00B0669E"/>
    <w:rsid w:val="00B077BA"/>
    <w:rsid w:val="00B07EF5"/>
    <w:rsid w:val="00B07F89"/>
    <w:rsid w:val="00B10B2D"/>
    <w:rsid w:val="00B116AF"/>
    <w:rsid w:val="00B12133"/>
    <w:rsid w:val="00B14837"/>
    <w:rsid w:val="00B14C52"/>
    <w:rsid w:val="00B14DF2"/>
    <w:rsid w:val="00B168D4"/>
    <w:rsid w:val="00B200AA"/>
    <w:rsid w:val="00B206CB"/>
    <w:rsid w:val="00B21DED"/>
    <w:rsid w:val="00B22021"/>
    <w:rsid w:val="00B22D71"/>
    <w:rsid w:val="00B230AC"/>
    <w:rsid w:val="00B23A86"/>
    <w:rsid w:val="00B2511D"/>
    <w:rsid w:val="00B251E0"/>
    <w:rsid w:val="00B2565F"/>
    <w:rsid w:val="00B25B64"/>
    <w:rsid w:val="00B269CD"/>
    <w:rsid w:val="00B2720B"/>
    <w:rsid w:val="00B27A42"/>
    <w:rsid w:val="00B27BC4"/>
    <w:rsid w:val="00B27ED6"/>
    <w:rsid w:val="00B30635"/>
    <w:rsid w:val="00B30883"/>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7DA"/>
    <w:rsid w:val="00B40F7B"/>
    <w:rsid w:val="00B418B5"/>
    <w:rsid w:val="00B42132"/>
    <w:rsid w:val="00B4216A"/>
    <w:rsid w:val="00B42F19"/>
    <w:rsid w:val="00B43901"/>
    <w:rsid w:val="00B478C3"/>
    <w:rsid w:val="00B479FB"/>
    <w:rsid w:val="00B51093"/>
    <w:rsid w:val="00B52715"/>
    <w:rsid w:val="00B5360F"/>
    <w:rsid w:val="00B5496C"/>
    <w:rsid w:val="00B54F73"/>
    <w:rsid w:val="00B552A3"/>
    <w:rsid w:val="00B56ECD"/>
    <w:rsid w:val="00B571E6"/>
    <w:rsid w:val="00B5746F"/>
    <w:rsid w:val="00B600D8"/>
    <w:rsid w:val="00B61348"/>
    <w:rsid w:val="00B61DC8"/>
    <w:rsid w:val="00B6263F"/>
    <w:rsid w:val="00B62796"/>
    <w:rsid w:val="00B630EE"/>
    <w:rsid w:val="00B650CD"/>
    <w:rsid w:val="00B651BD"/>
    <w:rsid w:val="00B6523D"/>
    <w:rsid w:val="00B6603F"/>
    <w:rsid w:val="00B66CCC"/>
    <w:rsid w:val="00B67114"/>
    <w:rsid w:val="00B715B7"/>
    <w:rsid w:val="00B727CE"/>
    <w:rsid w:val="00B72972"/>
    <w:rsid w:val="00B72DFC"/>
    <w:rsid w:val="00B72E0A"/>
    <w:rsid w:val="00B75397"/>
    <w:rsid w:val="00B75449"/>
    <w:rsid w:val="00B75BF7"/>
    <w:rsid w:val="00B76396"/>
    <w:rsid w:val="00B80B0E"/>
    <w:rsid w:val="00B817CF"/>
    <w:rsid w:val="00B83272"/>
    <w:rsid w:val="00B83858"/>
    <w:rsid w:val="00B83D62"/>
    <w:rsid w:val="00B83E56"/>
    <w:rsid w:val="00B84A28"/>
    <w:rsid w:val="00B852FF"/>
    <w:rsid w:val="00B85D48"/>
    <w:rsid w:val="00B86174"/>
    <w:rsid w:val="00B87E13"/>
    <w:rsid w:val="00B90CA5"/>
    <w:rsid w:val="00B917E7"/>
    <w:rsid w:val="00B91910"/>
    <w:rsid w:val="00B92ED1"/>
    <w:rsid w:val="00B93104"/>
    <w:rsid w:val="00B931A4"/>
    <w:rsid w:val="00B93718"/>
    <w:rsid w:val="00B94A03"/>
    <w:rsid w:val="00B94C85"/>
    <w:rsid w:val="00B9545B"/>
    <w:rsid w:val="00B95B32"/>
    <w:rsid w:val="00BA1CD7"/>
    <w:rsid w:val="00BA1E4E"/>
    <w:rsid w:val="00BA3DBA"/>
    <w:rsid w:val="00BA3E77"/>
    <w:rsid w:val="00BA4450"/>
    <w:rsid w:val="00BA447C"/>
    <w:rsid w:val="00BA45DC"/>
    <w:rsid w:val="00BA527C"/>
    <w:rsid w:val="00BA56A7"/>
    <w:rsid w:val="00BA5E02"/>
    <w:rsid w:val="00BA5EAD"/>
    <w:rsid w:val="00BA6DB6"/>
    <w:rsid w:val="00BA6DC9"/>
    <w:rsid w:val="00BB0DCD"/>
    <w:rsid w:val="00BB2A53"/>
    <w:rsid w:val="00BB3AD9"/>
    <w:rsid w:val="00BB3C62"/>
    <w:rsid w:val="00BB3CA5"/>
    <w:rsid w:val="00BB433D"/>
    <w:rsid w:val="00BB45DD"/>
    <w:rsid w:val="00BB4721"/>
    <w:rsid w:val="00BB5B76"/>
    <w:rsid w:val="00BB5D21"/>
    <w:rsid w:val="00BB5E52"/>
    <w:rsid w:val="00BB6F1E"/>
    <w:rsid w:val="00BB724E"/>
    <w:rsid w:val="00BB7494"/>
    <w:rsid w:val="00BC016D"/>
    <w:rsid w:val="00BC2390"/>
    <w:rsid w:val="00BC24E1"/>
    <w:rsid w:val="00BC3B8E"/>
    <w:rsid w:val="00BC4775"/>
    <w:rsid w:val="00BC546C"/>
    <w:rsid w:val="00BC7413"/>
    <w:rsid w:val="00BC753C"/>
    <w:rsid w:val="00BD09AF"/>
    <w:rsid w:val="00BD136C"/>
    <w:rsid w:val="00BD3B49"/>
    <w:rsid w:val="00BD4745"/>
    <w:rsid w:val="00BD5B3C"/>
    <w:rsid w:val="00BD75ED"/>
    <w:rsid w:val="00BE07A9"/>
    <w:rsid w:val="00BE084D"/>
    <w:rsid w:val="00BE098D"/>
    <w:rsid w:val="00BE1C58"/>
    <w:rsid w:val="00BE428C"/>
    <w:rsid w:val="00BE4A6C"/>
    <w:rsid w:val="00BE5491"/>
    <w:rsid w:val="00BE57C1"/>
    <w:rsid w:val="00BE59F2"/>
    <w:rsid w:val="00BE5A67"/>
    <w:rsid w:val="00BE66CF"/>
    <w:rsid w:val="00BF01F5"/>
    <w:rsid w:val="00BF1176"/>
    <w:rsid w:val="00BF46A7"/>
    <w:rsid w:val="00BF4ADB"/>
    <w:rsid w:val="00BF4D96"/>
    <w:rsid w:val="00BF5230"/>
    <w:rsid w:val="00BF6307"/>
    <w:rsid w:val="00BF7A28"/>
    <w:rsid w:val="00C00B6B"/>
    <w:rsid w:val="00C01F98"/>
    <w:rsid w:val="00C02269"/>
    <w:rsid w:val="00C02E19"/>
    <w:rsid w:val="00C04072"/>
    <w:rsid w:val="00C042EA"/>
    <w:rsid w:val="00C04C2F"/>
    <w:rsid w:val="00C05690"/>
    <w:rsid w:val="00C1090C"/>
    <w:rsid w:val="00C112ED"/>
    <w:rsid w:val="00C117AC"/>
    <w:rsid w:val="00C1209D"/>
    <w:rsid w:val="00C144DB"/>
    <w:rsid w:val="00C159C7"/>
    <w:rsid w:val="00C15B26"/>
    <w:rsid w:val="00C16CCA"/>
    <w:rsid w:val="00C176A9"/>
    <w:rsid w:val="00C17705"/>
    <w:rsid w:val="00C177AD"/>
    <w:rsid w:val="00C20D8D"/>
    <w:rsid w:val="00C21574"/>
    <w:rsid w:val="00C21766"/>
    <w:rsid w:val="00C22D61"/>
    <w:rsid w:val="00C23214"/>
    <w:rsid w:val="00C2329C"/>
    <w:rsid w:val="00C23675"/>
    <w:rsid w:val="00C23C31"/>
    <w:rsid w:val="00C23FD0"/>
    <w:rsid w:val="00C240C8"/>
    <w:rsid w:val="00C26513"/>
    <w:rsid w:val="00C2653B"/>
    <w:rsid w:val="00C310C9"/>
    <w:rsid w:val="00C32088"/>
    <w:rsid w:val="00C328C9"/>
    <w:rsid w:val="00C32C04"/>
    <w:rsid w:val="00C32C98"/>
    <w:rsid w:val="00C339A4"/>
    <w:rsid w:val="00C3668D"/>
    <w:rsid w:val="00C36891"/>
    <w:rsid w:val="00C37080"/>
    <w:rsid w:val="00C37F72"/>
    <w:rsid w:val="00C37FC8"/>
    <w:rsid w:val="00C4017D"/>
    <w:rsid w:val="00C41EF6"/>
    <w:rsid w:val="00C420C1"/>
    <w:rsid w:val="00C422E6"/>
    <w:rsid w:val="00C44A21"/>
    <w:rsid w:val="00C44A38"/>
    <w:rsid w:val="00C44E91"/>
    <w:rsid w:val="00C45963"/>
    <w:rsid w:val="00C472B8"/>
    <w:rsid w:val="00C47A0B"/>
    <w:rsid w:val="00C47E19"/>
    <w:rsid w:val="00C50375"/>
    <w:rsid w:val="00C51574"/>
    <w:rsid w:val="00C52673"/>
    <w:rsid w:val="00C52FC1"/>
    <w:rsid w:val="00C53124"/>
    <w:rsid w:val="00C53B2E"/>
    <w:rsid w:val="00C544AC"/>
    <w:rsid w:val="00C572B0"/>
    <w:rsid w:val="00C57DD2"/>
    <w:rsid w:val="00C60B6A"/>
    <w:rsid w:val="00C61216"/>
    <w:rsid w:val="00C6160A"/>
    <w:rsid w:val="00C63D6E"/>
    <w:rsid w:val="00C63E60"/>
    <w:rsid w:val="00C648F3"/>
    <w:rsid w:val="00C65711"/>
    <w:rsid w:val="00C66943"/>
    <w:rsid w:val="00C66AC4"/>
    <w:rsid w:val="00C676B9"/>
    <w:rsid w:val="00C67D38"/>
    <w:rsid w:val="00C721C5"/>
    <w:rsid w:val="00C72B08"/>
    <w:rsid w:val="00C73211"/>
    <w:rsid w:val="00C747CB"/>
    <w:rsid w:val="00C74BAB"/>
    <w:rsid w:val="00C74D7D"/>
    <w:rsid w:val="00C75849"/>
    <w:rsid w:val="00C76ECD"/>
    <w:rsid w:val="00C77235"/>
    <w:rsid w:val="00C77262"/>
    <w:rsid w:val="00C80D99"/>
    <w:rsid w:val="00C80F82"/>
    <w:rsid w:val="00C80FDF"/>
    <w:rsid w:val="00C82DA2"/>
    <w:rsid w:val="00C83500"/>
    <w:rsid w:val="00C84304"/>
    <w:rsid w:val="00C84D18"/>
    <w:rsid w:val="00C84E04"/>
    <w:rsid w:val="00C85C43"/>
    <w:rsid w:val="00C90463"/>
    <w:rsid w:val="00C90BD4"/>
    <w:rsid w:val="00C910BE"/>
    <w:rsid w:val="00C91B52"/>
    <w:rsid w:val="00C922BE"/>
    <w:rsid w:val="00C92E16"/>
    <w:rsid w:val="00C92FBC"/>
    <w:rsid w:val="00C942D7"/>
    <w:rsid w:val="00C949A2"/>
    <w:rsid w:val="00C94B43"/>
    <w:rsid w:val="00C967DD"/>
    <w:rsid w:val="00C96A12"/>
    <w:rsid w:val="00C96EBD"/>
    <w:rsid w:val="00C9703A"/>
    <w:rsid w:val="00CA0D31"/>
    <w:rsid w:val="00CA14BE"/>
    <w:rsid w:val="00CA1A83"/>
    <w:rsid w:val="00CA2168"/>
    <w:rsid w:val="00CA2836"/>
    <w:rsid w:val="00CA2B1D"/>
    <w:rsid w:val="00CA3F71"/>
    <w:rsid w:val="00CA41EC"/>
    <w:rsid w:val="00CA4900"/>
    <w:rsid w:val="00CA513F"/>
    <w:rsid w:val="00CA5844"/>
    <w:rsid w:val="00CA5ECC"/>
    <w:rsid w:val="00CA65AC"/>
    <w:rsid w:val="00CA6E66"/>
    <w:rsid w:val="00CA7415"/>
    <w:rsid w:val="00CA7A8A"/>
    <w:rsid w:val="00CA7C77"/>
    <w:rsid w:val="00CB0071"/>
    <w:rsid w:val="00CB265C"/>
    <w:rsid w:val="00CB34EE"/>
    <w:rsid w:val="00CB3759"/>
    <w:rsid w:val="00CB4540"/>
    <w:rsid w:val="00CB4601"/>
    <w:rsid w:val="00CB4B2F"/>
    <w:rsid w:val="00CB6222"/>
    <w:rsid w:val="00CB69F4"/>
    <w:rsid w:val="00CB6D6E"/>
    <w:rsid w:val="00CB739C"/>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1274"/>
    <w:rsid w:val="00CD1A92"/>
    <w:rsid w:val="00CD2AA1"/>
    <w:rsid w:val="00CD4E61"/>
    <w:rsid w:val="00CD535A"/>
    <w:rsid w:val="00CD635D"/>
    <w:rsid w:val="00CD7194"/>
    <w:rsid w:val="00CD72E9"/>
    <w:rsid w:val="00CD7CED"/>
    <w:rsid w:val="00CD7F23"/>
    <w:rsid w:val="00CE0367"/>
    <w:rsid w:val="00CE03E6"/>
    <w:rsid w:val="00CE04C7"/>
    <w:rsid w:val="00CE1702"/>
    <w:rsid w:val="00CE340E"/>
    <w:rsid w:val="00CE381D"/>
    <w:rsid w:val="00CE4344"/>
    <w:rsid w:val="00CE4FE1"/>
    <w:rsid w:val="00CE543A"/>
    <w:rsid w:val="00CE5C1F"/>
    <w:rsid w:val="00CE7286"/>
    <w:rsid w:val="00CE7D98"/>
    <w:rsid w:val="00CF0A80"/>
    <w:rsid w:val="00CF0E02"/>
    <w:rsid w:val="00CF156B"/>
    <w:rsid w:val="00CF1A7D"/>
    <w:rsid w:val="00CF1E02"/>
    <w:rsid w:val="00CF1E1F"/>
    <w:rsid w:val="00CF1EF9"/>
    <w:rsid w:val="00CF2DD2"/>
    <w:rsid w:val="00CF30E0"/>
    <w:rsid w:val="00CF3177"/>
    <w:rsid w:val="00CF597A"/>
    <w:rsid w:val="00CF6656"/>
    <w:rsid w:val="00CF7B3E"/>
    <w:rsid w:val="00CF7BFF"/>
    <w:rsid w:val="00CF7D10"/>
    <w:rsid w:val="00D008E5"/>
    <w:rsid w:val="00D01A51"/>
    <w:rsid w:val="00D01ECF"/>
    <w:rsid w:val="00D02779"/>
    <w:rsid w:val="00D02CAD"/>
    <w:rsid w:val="00D02D75"/>
    <w:rsid w:val="00D03F93"/>
    <w:rsid w:val="00D042B0"/>
    <w:rsid w:val="00D05BAA"/>
    <w:rsid w:val="00D05DDD"/>
    <w:rsid w:val="00D05F6E"/>
    <w:rsid w:val="00D0677E"/>
    <w:rsid w:val="00D07484"/>
    <w:rsid w:val="00D07805"/>
    <w:rsid w:val="00D07D43"/>
    <w:rsid w:val="00D12FE3"/>
    <w:rsid w:val="00D13B7A"/>
    <w:rsid w:val="00D14493"/>
    <w:rsid w:val="00D1561B"/>
    <w:rsid w:val="00D15748"/>
    <w:rsid w:val="00D157A5"/>
    <w:rsid w:val="00D15DB9"/>
    <w:rsid w:val="00D1691B"/>
    <w:rsid w:val="00D16DDB"/>
    <w:rsid w:val="00D21346"/>
    <w:rsid w:val="00D21E36"/>
    <w:rsid w:val="00D22B63"/>
    <w:rsid w:val="00D22C4B"/>
    <w:rsid w:val="00D22F7C"/>
    <w:rsid w:val="00D230C7"/>
    <w:rsid w:val="00D232B6"/>
    <w:rsid w:val="00D23E7D"/>
    <w:rsid w:val="00D2405F"/>
    <w:rsid w:val="00D245CF"/>
    <w:rsid w:val="00D25404"/>
    <w:rsid w:val="00D255B9"/>
    <w:rsid w:val="00D27566"/>
    <w:rsid w:val="00D27F2E"/>
    <w:rsid w:val="00D30BD2"/>
    <w:rsid w:val="00D30C7F"/>
    <w:rsid w:val="00D317DB"/>
    <w:rsid w:val="00D3202A"/>
    <w:rsid w:val="00D33AF3"/>
    <w:rsid w:val="00D33F15"/>
    <w:rsid w:val="00D356D6"/>
    <w:rsid w:val="00D363DD"/>
    <w:rsid w:val="00D36935"/>
    <w:rsid w:val="00D36BD8"/>
    <w:rsid w:val="00D41187"/>
    <w:rsid w:val="00D412EF"/>
    <w:rsid w:val="00D41BA9"/>
    <w:rsid w:val="00D4409C"/>
    <w:rsid w:val="00D4449D"/>
    <w:rsid w:val="00D4571F"/>
    <w:rsid w:val="00D458DA"/>
    <w:rsid w:val="00D46FE7"/>
    <w:rsid w:val="00D47217"/>
    <w:rsid w:val="00D5092F"/>
    <w:rsid w:val="00D52376"/>
    <w:rsid w:val="00D52531"/>
    <w:rsid w:val="00D54475"/>
    <w:rsid w:val="00D546AD"/>
    <w:rsid w:val="00D555C3"/>
    <w:rsid w:val="00D55A9E"/>
    <w:rsid w:val="00D55D20"/>
    <w:rsid w:val="00D57CF1"/>
    <w:rsid w:val="00D60272"/>
    <w:rsid w:val="00D612C2"/>
    <w:rsid w:val="00D61E40"/>
    <w:rsid w:val="00D64E3B"/>
    <w:rsid w:val="00D654A1"/>
    <w:rsid w:val="00D73F21"/>
    <w:rsid w:val="00D73FC3"/>
    <w:rsid w:val="00D743BF"/>
    <w:rsid w:val="00D745E0"/>
    <w:rsid w:val="00D75B98"/>
    <w:rsid w:val="00D76AA3"/>
    <w:rsid w:val="00D8032A"/>
    <w:rsid w:val="00D8053F"/>
    <w:rsid w:val="00D80604"/>
    <w:rsid w:val="00D80D4F"/>
    <w:rsid w:val="00D812EC"/>
    <w:rsid w:val="00D832A7"/>
    <w:rsid w:val="00D8562D"/>
    <w:rsid w:val="00D85758"/>
    <w:rsid w:val="00D86717"/>
    <w:rsid w:val="00D8788E"/>
    <w:rsid w:val="00D923B5"/>
    <w:rsid w:val="00D929F4"/>
    <w:rsid w:val="00D9333A"/>
    <w:rsid w:val="00D934BF"/>
    <w:rsid w:val="00D94163"/>
    <w:rsid w:val="00D941CD"/>
    <w:rsid w:val="00D94B3B"/>
    <w:rsid w:val="00D94DB1"/>
    <w:rsid w:val="00D95AF2"/>
    <w:rsid w:val="00D95D4A"/>
    <w:rsid w:val="00D96122"/>
    <w:rsid w:val="00D96945"/>
    <w:rsid w:val="00D9719F"/>
    <w:rsid w:val="00DA06A8"/>
    <w:rsid w:val="00DA086B"/>
    <w:rsid w:val="00DA1D7A"/>
    <w:rsid w:val="00DA3163"/>
    <w:rsid w:val="00DA3D82"/>
    <w:rsid w:val="00DA3E80"/>
    <w:rsid w:val="00DA4097"/>
    <w:rsid w:val="00DA4232"/>
    <w:rsid w:val="00DA44C1"/>
    <w:rsid w:val="00DA6677"/>
    <w:rsid w:val="00DA6834"/>
    <w:rsid w:val="00DA711B"/>
    <w:rsid w:val="00DA7BE9"/>
    <w:rsid w:val="00DA7E05"/>
    <w:rsid w:val="00DA7EE9"/>
    <w:rsid w:val="00DB051B"/>
    <w:rsid w:val="00DB0A44"/>
    <w:rsid w:val="00DB17E3"/>
    <w:rsid w:val="00DB1F69"/>
    <w:rsid w:val="00DB2360"/>
    <w:rsid w:val="00DB24F4"/>
    <w:rsid w:val="00DB36ED"/>
    <w:rsid w:val="00DB4190"/>
    <w:rsid w:val="00DB4794"/>
    <w:rsid w:val="00DB4D23"/>
    <w:rsid w:val="00DB51C9"/>
    <w:rsid w:val="00DB5986"/>
    <w:rsid w:val="00DB5B8F"/>
    <w:rsid w:val="00DB5C3E"/>
    <w:rsid w:val="00DB628E"/>
    <w:rsid w:val="00DB6762"/>
    <w:rsid w:val="00DB6DFE"/>
    <w:rsid w:val="00DB6EFB"/>
    <w:rsid w:val="00DC0895"/>
    <w:rsid w:val="00DC0F27"/>
    <w:rsid w:val="00DC1348"/>
    <w:rsid w:val="00DC1AC9"/>
    <w:rsid w:val="00DC25BD"/>
    <w:rsid w:val="00DC4714"/>
    <w:rsid w:val="00DC4B8E"/>
    <w:rsid w:val="00DC6214"/>
    <w:rsid w:val="00DC69E0"/>
    <w:rsid w:val="00DC782B"/>
    <w:rsid w:val="00DD01AE"/>
    <w:rsid w:val="00DD0754"/>
    <w:rsid w:val="00DD1A2E"/>
    <w:rsid w:val="00DD1FA7"/>
    <w:rsid w:val="00DD3DB4"/>
    <w:rsid w:val="00DD4A01"/>
    <w:rsid w:val="00DD54FD"/>
    <w:rsid w:val="00DD6F04"/>
    <w:rsid w:val="00DD7A02"/>
    <w:rsid w:val="00DE5A13"/>
    <w:rsid w:val="00DE7179"/>
    <w:rsid w:val="00DF0886"/>
    <w:rsid w:val="00DF156F"/>
    <w:rsid w:val="00DF24E3"/>
    <w:rsid w:val="00DF2873"/>
    <w:rsid w:val="00DF32EB"/>
    <w:rsid w:val="00DF3ADE"/>
    <w:rsid w:val="00DF3D63"/>
    <w:rsid w:val="00DF4960"/>
    <w:rsid w:val="00DF5425"/>
    <w:rsid w:val="00DF58B3"/>
    <w:rsid w:val="00DF7042"/>
    <w:rsid w:val="00DF782C"/>
    <w:rsid w:val="00E030A0"/>
    <w:rsid w:val="00E03253"/>
    <w:rsid w:val="00E04F63"/>
    <w:rsid w:val="00E0549C"/>
    <w:rsid w:val="00E05704"/>
    <w:rsid w:val="00E06106"/>
    <w:rsid w:val="00E06E27"/>
    <w:rsid w:val="00E075A1"/>
    <w:rsid w:val="00E079A9"/>
    <w:rsid w:val="00E1024C"/>
    <w:rsid w:val="00E10462"/>
    <w:rsid w:val="00E10661"/>
    <w:rsid w:val="00E11A2C"/>
    <w:rsid w:val="00E1235D"/>
    <w:rsid w:val="00E124E3"/>
    <w:rsid w:val="00E1252B"/>
    <w:rsid w:val="00E12E68"/>
    <w:rsid w:val="00E14812"/>
    <w:rsid w:val="00E14DE9"/>
    <w:rsid w:val="00E15DDE"/>
    <w:rsid w:val="00E169D7"/>
    <w:rsid w:val="00E1781D"/>
    <w:rsid w:val="00E17F19"/>
    <w:rsid w:val="00E20253"/>
    <w:rsid w:val="00E2031F"/>
    <w:rsid w:val="00E218E4"/>
    <w:rsid w:val="00E2314C"/>
    <w:rsid w:val="00E2339E"/>
    <w:rsid w:val="00E234FF"/>
    <w:rsid w:val="00E24491"/>
    <w:rsid w:val="00E24884"/>
    <w:rsid w:val="00E24FEE"/>
    <w:rsid w:val="00E25773"/>
    <w:rsid w:val="00E2601D"/>
    <w:rsid w:val="00E26EA5"/>
    <w:rsid w:val="00E26F1B"/>
    <w:rsid w:val="00E276DB"/>
    <w:rsid w:val="00E276F5"/>
    <w:rsid w:val="00E27E7D"/>
    <w:rsid w:val="00E30877"/>
    <w:rsid w:val="00E31092"/>
    <w:rsid w:val="00E3245B"/>
    <w:rsid w:val="00E3353D"/>
    <w:rsid w:val="00E3362F"/>
    <w:rsid w:val="00E341CB"/>
    <w:rsid w:val="00E3504A"/>
    <w:rsid w:val="00E3707B"/>
    <w:rsid w:val="00E37646"/>
    <w:rsid w:val="00E37E43"/>
    <w:rsid w:val="00E41568"/>
    <w:rsid w:val="00E41755"/>
    <w:rsid w:val="00E4199A"/>
    <w:rsid w:val="00E42144"/>
    <w:rsid w:val="00E466C6"/>
    <w:rsid w:val="00E47B7A"/>
    <w:rsid w:val="00E50685"/>
    <w:rsid w:val="00E50B62"/>
    <w:rsid w:val="00E50D58"/>
    <w:rsid w:val="00E51966"/>
    <w:rsid w:val="00E52847"/>
    <w:rsid w:val="00E52A51"/>
    <w:rsid w:val="00E53933"/>
    <w:rsid w:val="00E577A1"/>
    <w:rsid w:val="00E57F6B"/>
    <w:rsid w:val="00E623BF"/>
    <w:rsid w:val="00E632FB"/>
    <w:rsid w:val="00E641A8"/>
    <w:rsid w:val="00E658AD"/>
    <w:rsid w:val="00E65CA6"/>
    <w:rsid w:val="00E65E1B"/>
    <w:rsid w:val="00E662E8"/>
    <w:rsid w:val="00E66508"/>
    <w:rsid w:val="00E66C3B"/>
    <w:rsid w:val="00E673C1"/>
    <w:rsid w:val="00E70CED"/>
    <w:rsid w:val="00E71327"/>
    <w:rsid w:val="00E7342C"/>
    <w:rsid w:val="00E737AC"/>
    <w:rsid w:val="00E74861"/>
    <w:rsid w:val="00E75A4B"/>
    <w:rsid w:val="00E76363"/>
    <w:rsid w:val="00E77A80"/>
    <w:rsid w:val="00E80026"/>
    <w:rsid w:val="00E8022D"/>
    <w:rsid w:val="00E80569"/>
    <w:rsid w:val="00E807B4"/>
    <w:rsid w:val="00E82AFD"/>
    <w:rsid w:val="00E83C05"/>
    <w:rsid w:val="00E857C0"/>
    <w:rsid w:val="00E85ED9"/>
    <w:rsid w:val="00E86244"/>
    <w:rsid w:val="00E8731D"/>
    <w:rsid w:val="00E87C59"/>
    <w:rsid w:val="00E9183B"/>
    <w:rsid w:val="00E91A62"/>
    <w:rsid w:val="00E91D81"/>
    <w:rsid w:val="00E92BC2"/>
    <w:rsid w:val="00E9318F"/>
    <w:rsid w:val="00E93755"/>
    <w:rsid w:val="00E93BD5"/>
    <w:rsid w:val="00E93D07"/>
    <w:rsid w:val="00E945B4"/>
    <w:rsid w:val="00E9593F"/>
    <w:rsid w:val="00E97536"/>
    <w:rsid w:val="00E97974"/>
    <w:rsid w:val="00EA010E"/>
    <w:rsid w:val="00EA08D9"/>
    <w:rsid w:val="00EA1302"/>
    <w:rsid w:val="00EA2515"/>
    <w:rsid w:val="00EA2A72"/>
    <w:rsid w:val="00EA30E7"/>
    <w:rsid w:val="00EA4FA2"/>
    <w:rsid w:val="00EA4FDF"/>
    <w:rsid w:val="00EA53F1"/>
    <w:rsid w:val="00EA5987"/>
    <w:rsid w:val="00EA5A65"/>
    <w:rsid w:val="00EA70AE"/>
    <w:rsid w:val="00EA7468"/>
    <w:rsid w:val="00EB060B"/>
    <w:rsid w:val="00EB0681"/>
    <w:rsid w:val="00EB06A8"/>
    <w:rsid w:val="00EB11AE"/>
    <w:rsid w:val="00EB1E33"/>
    <w:rsid w:val="00EB2D6B"/>
    <w:rsid w:val="00EB2FC4"/>
    <w:rsid w:val="00EB3A1F"/>
    <w:rsid w:val="00EB47C1"/>
    <w:rsid w:val="00EB5E45"/>
    <w:rsid w:val="00EB702C"/>
    <w:rsid w:val="00EB7CB4"/>
    <w:rsid w:val="00EC0548"/>
    <w:rsid w:val="00EC0881"/>
    <w:rsid w:val="00EC1BE6"/>
    <w:rsid w:val="00EC22CB"/>
    <w:rsid w:val="00EC2336"/>
    <w:rsid w:val="00EC37A9"/>
    <w:rsid w:val="00EC3ACB"/>
    <w:rsid w:val="00EC4B4E"/>
    <w:rsid w:val="00EC52E5"/>
    <w:rsid w:val="00ED05AA"/>
    <w:rsid w:val="00ED14C6"/>
    <w:rsid w:val="00ED212B"/>
    <w:rsid w:val="00ED2B38"/>
    <w:rsid w:val="00ED393E"/>
    <w:rsid w:val="00ED4270"/>
    <w:rsid w:val="00ED5224"/>
    <w:rsid w:val="00ED5D4A"/>
    <w:rsid w:val="00ED6EBF"/>
    <w:rsid w:val="00EE03E6"/>
    <w:rsid w:val="00EE0894"/>
    <w:rsid w:val="00EE212F"/>
    <w:rsid w:val="00EE28C8"/>
    <w:rsid w:val="00EE3E02"/>
    <w:rsid w:val="00EE49B5"/>
    <w:rsid w:val="00EE58B2"/>
    <w:rsid w:val="00EE5A62"/>
    <w:rsid w:val="00EE5D09"/>
    <w:rsid w:val="00EE6258"/>
    <w:rsid w:val="00EE62D8"/>
    <w:rsid w:val="00EE7822"/>
    <w:rsid w:val="00EF0027"/>
    <w:rsid w:val="00EF0E72"/>
    <w:rsid w:val="00EF1119"/>
    <w:rsid w:val="00EF163B"/>
    <w:rsid w:val="00EF2517"/>
    <w:rsid w:val="00EF2D55"/>
    <w:rsid w:val="00EF4C54"/>
    <w:rsid w:val="00EF591F"/>
    <w:rsid w:val="00EF6540"/>
    <w:rsid w:val="00F004A5"/>
    <w:rsid w:val="00F01DD8"/>
    <w:rsid w:val="00F020A6"/>
    <w:rsid w:val="00F02C69"/>
    <w:rsid w:val="00F02FB5"/>
    <w:rsid w:val="00F04218"/>
    <w:rsid w:val="00F04414"/>
    <w:rsid w:val="00F04717"/>
    <w:rsid w:val="00F0619C"/>
    <w:rsid w:val="00F06843"/>
    <w:rsid w:val="00F07F3D"/>
    <w:rsid w:val="00F10D32"/>
    <w:rsid w:val="00F11E97"/>
    <w:rsid w:val="00F121A4"/>
    <w:rsid w:val="00F12B88"/>
    <w:rsid w:val="00F1394D"/>
    <w:rsid w:val="00F14C80"/>
    <w:rsid w:val="00F161E4"/>
    <w:rsid w:val="00F175D0"/>
    <w:rsid w:val="00F17EEC"/>
    <w:rsid w:val="00F20FF1"/>
    <w:rsid w:val="00F22D23"/>
    <w:rsid w:val="00F23A81"/>
    <w:rsid w:val="00F2441C"/>
    <w:rsid w:val="00F24514"/>
    <w:rsid w:val="00F25C83"/>
    <w:rsid w:val="00F26957"/>
    <w:rsid w:val="00F306BB"/>
    <w:rsid w:val="00F31213"/>
    <w:rsid w:val="00F32E27"/>
    <w:rsid w:val="00F32F33"/>
    <w:rsid w:val="00F33C26"/>
    <w:rsid w:val="00F33F2F"/>
    <w:rsid w:val="00F351FD"/>
    <w:rsid w:val="00F35457"/>
    <w:rsid w:val="00F3595B"/>
    <w:rsid w:val="00F359D9"/>
    <w:rsid w:val="00F35AEB"/>
    <w:rsid w:val="00F35C54"/>
    <w:rsid w:val="00F3617B"/>
    <w:rsid w:val="00F40207"/>
    <w:rsid w:val="00F40305"/>
    <w:rsid w:val="00F40BA8"/>
    <w:rsid w:val="00F41AC8"/>
    <w:rsid w:val="00F42399"/>
    <w:rsid w:val="00F426A6"/>
    <w:rsid w:val="00F429FD"/>
    <w:rsid w:val="00F42C1A"/>
    <w:rsid w:val="00F44D6B"/>
    <w:rsid w:val="00F45907"/>
    <w:rsid w:val="00F4623C"/>
    <w:rsid w:val="00F46897"/>
    <w:rsid w:val="00F46D79"/>
    <w:rsid w:val="00F477E2"/>
    <w:rsid w:val="00F478B0"/>
    <w:rsid w:val="00F47C6A"/>
    <w:rsid w:val="00F50EA6"/>
    <w:rsid w:val="00F513D1"/>
    <w:rsid w:val="00F51ACA"/>
    <w:rsid w:val="00F54610"/>
    <w:rsid w:val="00F54C4A"/>
    <w:rsid w:val="00F553EB"/>
    <w:rsid w:val="00F5560C"/>
    <w:rsid w:val="00F55977"/>
    <w:rsid w:val="00F55FAA"/>
    <w:rsid w:val="00F56399"/>
    <w:rsid w:val="00F602AD"/>
    <w:rsid w:val="00F6120D"/>
    <w:rsid w:val="00F620DC"/>
    <w:rsid w:val="00F625D1"/>
    <w:rsid w:val="00F62937"/>
    <w:rsid w:val="00F631CA"/>
    <w:rsid w:val="00F63644"/>
    <w:rsid w:val="00F64EE6"/>
    <w:rsid w:val="00F6680D"/>
    <w:rsid w:val="00F7247B"/>
    <w:rsid w:val="00F73028"/>
    <w:rsid w:val="00F731C6"/>
    <w:rsid w:val="00F75087"/>
    <w:rsid w:val="00F750CF"/>
    <w:rsid w:val="00F75648"/>
    <w:rsid w:val="00F75C9F"/>
    <w:rsid w:val="00F7679D"/>
    <w:rsid w:val="00F76911"/>
    <w:rsid w:val="00F76999"/>
    <w:rsid w:val="00F7750A"/>
    <w:rsid w:val="00F80006"/>
    <w:rsid w:val="00F80084"/>
    <w:rsid w:val="00F81C57"/>
    <w:rsid w:val="00F81DDA"/>
    <w:rsid w:val="00F839A6"/>
    <w:rsid w:val="00F83C19"/>
    <w:rsid w:val="00F845D8"/>
    <w:rsid w:val="00F86581"/>
    <w:rsid w:val="00F90757"/>
    <w:rsid w:val="00F91913"/>
    <w:rsid w:val="00F93D0B"/>
    <w:rsid w:val="00F94152"/>
    <w:rsid w:val="00F94DBC"/>
    <w:rsid w:val="00F95676"/>
    <w:rsid w:val="00F959AB"/>
    <w:rsid w:val="00F97EFB"/>
    <w:rsid w:val="00FA0685"/>
    <w:rsid w:val="00FA15AF"/>
    <w:rsid w:val="00FA2A8C"/>
    <w:rsid w:val="00FA2C6C"/>
    <w:rsid w:val="00FA2E1D"/>
    <w:rsid w:val="00FA3936"/>
    <w:rsid w:val="00FA5F62"/>
    <w:rsid w:val="00FB09AB"/>
    <w:rsid w:val="00FB113E"/>
    <w:rsid w:val="00FB1BA2"/>
    <w:rsid w:val="00FB2570"/>
    <w:rsid w:val="00FB2839"/>
    <w:rsid w:val="00FB5128"/>
    <w:rsid w:val="00FB62B5"/>
    <w:rsid w:val="00FB799E"/>
    <w:rsid w:val="00FB79AA"/>
    <w:rsid w:val="00FB7EAD"/>
    <w:rsid w:val="00FC0D15"/>
    <w:rsid w:val="00FC2DBE"/>
    <w:rsid w:val="00FC3534"/>
    <w:rsid w:val="00FC4297"/>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5823"/>
    <w:rsid w:val="00FD5F5C"/>
    <w:rsid w:val="00FD6531"/>
    <w:rsid w:val="00FD6617"/>
    <w:rsid w:val="00FD7369"/>
    <w:rsid w:val="00FD73EE"/>
    <w:rsid w:val="00FE02BF"/>
    <w:rsid w:val="00FE0A73"/>
    <w:rsid w:val="00FE1C27"/>
    <w:rsid w:val="00FE249F"/>
    <w:rsid w:val="00FE2AE4"/>
    <w:rsid w:val="00FE54EC"/>
    <w:rsid w:val="00FE5C31"/>
    <w:rsid w:val="00FE63E2"/>
    <w:rsid w:val="00FE665E"/>
    <w:rsid w:val="00FE6CDB"/>
    <w:rsid w:val="00FE74FD"/>
    <w:rsid w:val="00FE7DDC"/>
    <w:rsid w:val="00FF0984"/>
    <w:rsid w:val="00FF0D46"/>
    <w:rsid w:val="00FF1B0E"/>
    <w:rsid w:val="00FF1DC3"/>
    <w:rsid w:val="00FF1DFF"/>
    <w:rsid w:val="00FF1E3E"/>
    <w:rsid w:val="00FF2000"/>
    <w:rsid w:val="00FF2A8F"/>
    <w:rsid w:val="00FF2F51"/>
    <w:rsid w:val="00FF40FC"/>
    <w:rsid w:val="00FF445B"/>
    <w:rsid w:val="00FF5ACA"/>
    <w:rsid w:val="00FF5B7C"/>
    <w:rsid w:val="00FF5EDB"/>
    <w:rsid w:val="00FF6605"/>
    <w:rsid w:val="00FF748B"/>
    <w:rsid w:val="00FF7DE3"/>
    <w:rsid w:val="013479F6"/>
    <w:rsid w:val="01DE0743"/>
    <w:rsid w:val="021D6E5E"/>
    <w:rsid w:val="03107F16"/>
    <w:rsid w:val="036F6564"/>
    <w:rsid w:val="03B56484"/>
    <w:rsid w:val="05370FE1"/>
    <w:rsid w:val="08613ED7"/>
    <w:rsid w:val="08FE48C8"/>
    <w:rsid w:val="090C0806"/>
    <w:rsid w:val="098B0C04"/>
    <w:rsid w:val="09AA5678"/>
    <w:rsid w:val="0A5E4659"/>
    <w:rsid w:val="0AEB5FE9"/>
    <w:rsid w:val="0B605985"/>
    <w:rsid w:val="0CA8710F"/>
    <w:rsid w:val="0E760B47"/>
    <w:rsid w:val="0E874A06"/>
    <w:rsid w:val="0F763767"/>
    <w:rsid w:val="121F089B"/>
    <w:rsid w:val="12687E9E"/>
    <w:rsid w:val="135E55DA"/>
    <w:rsid w:val="180C51F5"/>
    <w:rsid w:val="1875217F"/>
    <w:rsid w:val="18BE5C62"/>
    <w:rsid w:val="194355A9"/>
    <w:rsid w:val="194F1402"/>
    <w:rsid w:val="19625EB7"/>
    <w:rsid w:val="19A327C1"/>
    <w:rsid w:val="19D73FF0"/>
    <w:rsid w:val="1C107927"/>
    <w:rsid w:val="1CF459BA"/>
    <w:rsid w:val="1DCB1A4C"/>
    <w:rsid w:val="1DF67FA2"/>
    <w:rsid w:val="204376E1"/>
    <w:rsid w:val="214772A1"/>
    <w:rsid w:val="21521D41"/>
    <w:rsid w:val="224B6D79"/>
    <w:rsid w:val="22935557"/>
    <w:rsid w:val="22F00A83"/>
    <w:rsid w:val="232B63B6"/>
    <w:rsid w:val="24CA1512"/>
    <w:rsid w:val="26091741"/>
    <w:rsid w:val="26BE6858"/>
    <w:rsid w:val="27CA4F73"/>
    <w:rsid w:val="282377EF"/>
    <w:rsid w:val="287E747C"/>
    <w:rsid w:val="28F134A2"/>
    <w:rsid w:val="2AAD36A8"/>
    <w:rsid w:val="2B900426"/>
    <w:rsid w:val="2C3F26E5"/>
    <w:rsid w:val="2C6017EA"/>
    <w:rsid w:val="2C661776"/>
    <w:rsid w:val="2D24388A"/>
    <w:rsid w:val="2E22281F"/>
    <w:rsid w:val="2F9A3FB4"/>
    <w:rsid w:val="30087837"/>
    <w:rsid w:val="301A4E70"/>
    <w:rsid w:val="316658B8"/>
    <w:rsid w:val="31865C9B"/>
    <w:rsid w:val="32CE7A7E"/>
    <w:rsid w:val="338A14B1"/>
    <w:rsid w:val="33FE255E"/>
    <w:rsid w:val="347463DD"/>
    <w:rsid w:val="35CB4C4D"/>
    <w:rsid w:val="35EE17C2"/>
    <w:rsid w:val="3650579C"/>
    <w:rsid w:val="36612E47"/>
    <w:rsid w:val="37834C70"/>
    <w:rsid w:val="37AF6778"/>
    <w:rsid w:val="37F4568F"/>
    <w:rsid w:val="39CE7FA5"/>
    <w:rsid w:val="3BCF631D"/>
    <w:rsid w:val="3C677367"/>
    <w:rsid w:val="3CC656EB"/>
    <w:rsid w:val="3CCA21E8"/>
    <w:rsid w:val="3CED0588"/>
    <w:rsid w:val="3D1F334F"/>
    <w:rsid w:val="3D546277"/>
    <w:rsid w:val="3E2057E8"/>
    <w:rsid w:val="3E3D429E"/>
    <w:rsid w:val="3FC159A6"/>
    <w:rsid w:val="402C6CE6"/>
    <w:rsid w:val="416A6C53"/>
    <w:rsid w:val="428A3BA8"/>
    <w:rsid w:val="42A74EAA"/>
    <w:rsid w:val="43545656"/>
    <w:rsid w:val="43E450C9"/>
    <w:rsid w:val="43F31FE2"/>
    <w:rsid w:val="44640439"/>
    <w:rsid w:val="45572B6C"/>
    <w:rsid w:val="455B320C"/>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F667E20"/>
    <w:rsid w:val="4FF35FAD"/>
    <w:rsid w:val="509800C2"/>
    <w:rsid w:val="515A150F"/>
    <w:rsid w:val="533C54BD"/>
    <w:rsid w:val="53D770A4"/>
    <w:rsid w:val="53FC6338"/>
    <w:rsid w:val="543D22A5"/>
    <w:rsid w:val="55791323"/>
    <w:rsid w:val="55796678"/>
    <w:rsid w:val="55A05D34"/>
    <w:rsid w:val="56E90786"/>
    <w:rsid w:val="59550094"/>
    <w:rsid w:val="59834466"/>
    <w:rsid w:val="59906AA6"/>
    <w:rsid w:val="59E95FFF"/>
    <w:rsid w:val="5BAD6AF9"/>
    <w:rsid w:val="5BBE59A3"/>
    <w:rsid w:val="5C002B30"/>
    <w:rsid w:val="5CBF0FAA"/>
    <w:rsid w:val="609A7B49"/>
    <w:rsid w:val="60B14DC5"/>
    <w:rsid w:val="61CD5C05"/>
    <w:rsid w:val="6229058D"/>
    <w:rsid w:val="64235C8D"/>
    <w:rsid w:val="64440F4B"/>
    <w:rsid w:val="65536F9A"/>
    <w:rsid w:val="65BA088F"/>
    <w:rsid w:val="68B009A8"/>
    <w:rsid w:val="69127D3A"/>
    <w:rsid w:val="694B1853"/>
    <w:rsid w:val="6A93762C"/>
    <w:rsid w:val="6A996F13"/>
    <w:rsid w:val="6A9B2760"/>
    <w:rsid w:val="6C011206"/>
    <w:rsid w:val="6C4130E2"/>
    <w:rsid w:val="6C6C4759"/>
    <w:rsid w:val="6C910893"/>
    <w:rsid w:val="6D6313BE"/>
    <w:rsid w:val="6EC5514E"/>
    <w:rsid w:val="70302D78"/>
    <w:rsid w:val="70FF71F1"/>
    <w:rsid w:val="7255060F"/>
    <w:rsid w:val="729F162E"/>
    <w:rsid w:val="7549288D"/>
    <w:rsid w:val="77460B34"/>
    <w:rsid w:val="777423E0"/>
    <w:rsid w:val="787C2959"/>
    <w:rsid w:val="7BF94230"/>
    <w:rsid w:val="7C5D4075"/>
    <w:rsid w:val="7C97301E"/>
    <w:rsid w:val="7D5B1D38"/>
    <w:rsid w:val="7E63153C"/>
    <w:rsid w:val="7F2F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4">
    <w:name w:val="heading 1"/>
    <w:basedOn w:val="1"/>
    <w:next w:val="1"/>
    <w:autoRedefine/>
    <w:qFormat/>
    <w:uiPriority w:val="0"/>
    <w:pPr>
      <w:keepNext/>
      <w:snapToGrid w:val="0"/>
      <w:spacing w:line="360" w:lineRule="atLeast"/>
      <w:outlineLvl w:val="0"/>
    </w:pPr>
    <w:rPr>
      <w:rFonts w:ascii="宋体"/>
    </w:rPr>
  </w:style>
  <w:style w:type="paragraph" w:styleId="5">
    <w:name w:val="heading 2"/>
    <w:basedOn w:val="1"/>
    <w:next w:val="1"/>
    <w:link w:val="69"/>
    <w:autoRedefine/>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autoRedefine/>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autoRedefine/>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68"/>
    <w:qFormat/>
    <w:uiPriority w:val="0"/>
    <w:rPr>
      <w:rFonts w:ascii="仿宋_GB2312" w:eastAsia="仿宋_GB2312"/>
      <w:sz w:val="32"/>
    </w:rPr>
  </w:style>
  <w:style w:type="paragraph" w:styleId="3">
    <w:name w:val="index 7"/>
    <w:basedOn w:val="1"/>
    <w:next w:val="1"/>
    <w:autoRedefine/>
    <w:qFormat/>
    <w:uiPriority w:val="0"/>
    <w:pPr>
      <w:ind w:left="2520"/>
    </w:p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autoRedefine/>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link w:val="7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autoRedefine/>
    <w:qFormat/>
    <w:uiPriority w:val="0"/>
    <w:pPr>
      <w:shd w:val="clear" w:color="auto" w:fill="000080"/>
    </w:pPr>
  </w:style>
  <w:style w:type="paragraph" w:styleId="20">
    <w:name w:val="toa heading"/>
    <w:basedOn w:val="1"/>
    <w:next w:val="1"/>
    <w:autoRedefine/>
    <w:qFormat/>
    <w:uiPriority w:val="0"/>
    <w:pPr>
      <w:spacing w:before="120"/>
    </w:pPr>
    <w:rPr>
      <w:rFonts w:ascii="Arial" w:hAnsi="Arial"/>
      <w:sz w:val="24"/>
    </w:rPr>
  </w:style>
  <w:style w:type="paragraph" w:styleId="21">
    <w:name w:val="annotation text"/>
    <w:basedOn w:val="1"/>
    <w:link w:val="72"/>
    <w:autoRedefine/>
    <w:qFormat/>
    <w:uiPriority w:val="0"/>
    <w:pPr>
      <w:adjustRightInd w:val="0"/>
      <w:spacing w:line="360" w:lineRule="atLeast"/>
      <w:jc w:val="left"/>
      <w:textAlignment w:val="baseline"/>
    </w:pPr>
    <w:rPr>
      <w:kern w:val="0"/>
      <w:sz w:val="24"/>
    </w:rPr>
  </w:style>
  <w:style w:type="paragraph" w:styleId="22">
    <w:name w:val="Body Text 3"/>
    <w:basedOn w:val="1"/>
    <w:autoRedefine/>
    <w:qFormat/>
    <w:uiPriority w:val="0"/>
    <w:pPr>
      <w:adjustRightInd w:val="0"/>
      <w:snapToGrid w:val="0"/>
      <w:spacing w:after="120" w:line="360" w:lineRule="auto"/>
    </w:pPr>
    <w:rPr>
      <w:sz w:val="16"/>
    </w:rPr>
  </w:style>
  <w:style w:type="paragraph" w:styleId="23">
    <w:name w:val="List Bullet 3"/>
    <w:basedOn w:val="1"/>
    <w:autoRedefine/>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3"/>
    <w:qFormat/>
    <w:uiPriority w:val="0"/>
    <w:pPr>
      <w:spacing w:line="700" w:lineRule="exact"/>
      <w:ind w:left="960"/>
    </w:pPr>
    <w:rPr>
      <w:sz w:val="44"/>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2"/>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autoRedefine/>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74"/>
    <w:autoRedefine/>
    <w:qFormat/>
    <w:uiPriority w:val="0"/>
  </w:style>
  <w:style w:type="paragraph" w:styleId="34">
    <w:name w:val="Body Text Indent 2"/>
    <w:basedOn w:val="1"/>
    <w:link w:val="75"/>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76"/>
    <w:autoRedefine/>
    <w:qFormat/>
    <w:uiPriority w:val="99"/>
    <w:pPr>
      <w:tabs>
        <w:tab w:val="center" w:pos="4153"/>
        <w:tab w:val="right" w:pos="8306"/>
      </w:tabs>
      <w:snapToGrid w:val="0"/>
      <w:jc w:val="left"/>
    </w:pPr>
    <w:rPr>
      <w:sz w:val="18"/>
    </w:rPr>
  </w:style>
  <w:style w:type="paragraph" w:styleId="37">
    <w:name w:val="header"/>
    <w:basedOn w:val="1"/>
    <w:link w:val="77"/>
    <w:autoRedefine/>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78"/>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9"/>
    <w:autoRedefine/>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80"/>
    <w:qFormat/>
    <w:uiPriority w:val="0"/>
    <w:pPr>
      <w:spacing w:after="120" w:line="240" w:lineRule="auto"/>
      <w:ind w:left="420" w:leftChars="200" w:firstLine="420" w:firstLineChars="200"/>
    </w:pPr>
  </w:style>
  <w:style w:type="table" w:styleId="59">
    <w:name w:val="Table Grid"/>
    <w:basedOn w:val="58"/>
    <w:autoRedefine/>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22"/>
    <w:rPr>
      <w:b/>
    </w:rPr>
  </w:style>
  <w:style w:type="character" w:styleId="62">
    <w:name w:val="page number"/>
    <w:autoRedefine/>
    <w:qFormat/>
    <w:uiPriority w:val="0"/>
  </w:style>
  <w:style w:type="character" w:styleId="63">
    <w:name w:val="FollowedHyperlink"/>
    <w:autoRedefine/>
    <w:qFormat/>
    <w:uiPriority w:val="0"/>
    <w:rPr>
      <w:color w:val="800080"/>
      <w:u w:val="single"/>
    </w:rPr>
  </w:style>
  <w:style w:type="character" w:styleId="64">
    <w:name w:val="Emphasis"/>
    <w:qFormat/>
    <w:uiPriority w:val="0"/>
    <w:rPr>
      <w:i/>
    </w:rPr>
  </w:style>
  <w:style w:type="character" w:styleId="65">
    <w:name w:val="Hyperlink"/>
    <w:autoRedefine/>
    <w:qFormat/>
    <w:uiPriority w:val="99"/>
    <w:rPr>
      <w:color w:val="0000FF"/>
      <w:u w:val="single"/>
    </w:rPr>
  </w:style>
  <w:style w:type="character" w:styleId="66">
    <w:name w:val="annotation reference"/>
    <w:autoRedefin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正文文本 字符"/>
    <w:link w:val="2"/>
    <w:autoRedefine/>
    <w:qFormat/>
    <w:uiPriority w:val="0"/>
    <w:rPr>
      <w:rFonts w:ascii="仿宋_GB2312" w:eastAsia="仿宋_GB2312"/>
      <w:kern w:val="2"/>
      <w:sz w:val="32"/>
    </w:rPr>
  </w:style>
  <w:style w:type="character" w:customStyle="1" w:styleId="69">
    <w:name w:val="标题 2 字符"/>
    <w:link w:val="5"/>
    <w:autoRedefine/>
    <w:qFormat/>
    <w:uiPriority w:val="0"/>
    <w:rPr>
      <w:rFonts w:ascii="Arial" w:hAnsi="Arial" w:eastAsia="黑体"/>
      <w:b/>
      <w:kern w:val="2"/>
      <w:sz w:val="32"/>
    </w:rPr>
  </w:style>
  <w:style w:type="character" w:customStyle="1" w:styleId="70">
    <w:name w:val="标题 3 字符"/>
    <w:link w:val="6"/>
    <w:autoRedefine/>
    <w:qFormat/>
    <w:uiPriority w:val="0"/>
    <w:rPr>
      <w:rFonts w:eastAsia="宋体"/>
      <w:b/>
      <w:kern w:val="2"/>
      <w:sz w:val="32"/>
      <w:lang w:val="en-US" w:eastAsia="zh-CN"/>
    </w:rPr>
  </w:style>
  <w:style w:type="character" w:customStyle="1" w:styleId="71">
    <w:name w:val="正文缩进 字符"/>
    <w:link w:val="17"/>
    <w:autoRedefine/>
    <w:qFormat/>
    <w:uiPriority w:val="0"/>
    <w:rPr>
      <w:kern w:val="2"/>
      <w:sz w:val="24"/>
    </w:rPr>
  </w:style>
  <w:style w:type="character" w:customStyle="1" w:styleId="72">
    <w:name w:val="批注文字 字符"/>
    <w:link w:val="21"/>
    <w:qFormat/>
    <w:uiPriority w:val="0"/>
    <w:rPr>
      <w:sz w:val="24"/>
    </w:rPr>
  </w:style>
  <w:style w:type="character" w:customStyle="1" w:styleId="73">
    <w:name w:val="正文文本缩进 字符"/>
    <w:link w:val="24"/>
    <w:autoRedefine/>
    <w:qFormat/>
    <w:uiPriority w:val="0"/>
    <w:rPr>
      <w:kern w:val="2"/>
      <w:sz w:val="44"/>
    </w:rPr>
  </w:style>
  <w:style w:type="character" w:customStyle="1" w:styleId="74">
    <w:name w:val="日期 字符"/>
    <w:link w:val="33"/>
    <w:autoRedefine/>
    <w:qFormat/>
    <w:uiPriority w:val="0"/>
    <w:rPr>
      <w:kern w:val="2"/>
      <w:sz w:val="28"/>
    </w:rPr>
  </w:style>
  <w:style w:type="character" w:customStyle="1" w:styleId="75">
    <w:name w:val="正文文本缩进 2 字符"/>
    <w:link w:val="34"/>
    <w:autoRedefine/>
    <w:qFormat/>
    <w:uiPriority w:val="0"/>
    <w:rPr>
      <w:kern w:val="2"/>
      <w:sz w:val="28"/>
    </w:rPr>
  </w:style>
  <w:style w:type="character" w:customStyle="1" w:styleId="76">
    <w:name w:val="页脚 字符"/>
    <w:link w:val="36"/>
    <w:autoRedefine/>
    <w:qFormat/>
    <w:uiPriority w:val="99"/>
    <w:rPr>
      <w:kern w:val="2"/>
      <w:sz w:val="18"/>
    </w:rPr>
  </w:style>
  <w:style w:type="character" w:customStyle="1" w:styleId="77">
    <w:name w:val="页眉 字符"/>
    <w:link w:val="37"/>
    <w:autoRedefine/>
    <w:qFormat/>
    <w:uiPriority w:val="99"/>
    <w:rPr>
      <w:kern w:val="2"/>
      <w:sz w:val="18"/>
    </w:rPr>
  </w:style>
  <w:style w:type="character" w:customStyle="1" w:styleId="78">
    <w:name w:val="脚注文本 字符"/>
    <w:link w:val="41"/>
    <w:autoRedefine/>
    <w:qFormat/>
    <w:uiPriority w:val="0"/>
    <w:rPr>
      <w:kern w:val="2"/>
      <w:sz w:val="18"/>
    </w:rPr>
  </w:style>
  <w:style w:type="character" w:customStyle="1" w:styleId="79">
    <w:name w:val="批注主题 字符"/>
    <w:link w:val="55"/>
    <w:autoRedefine/>
    <w:qFormat/>
    <w:uiPriority w:val="0"/>
  </w:style>
  <w:style w:type="character" w:customStyle="1" w:styleId="80">
    <w:name w:val="正文文本首行缩进 2 字符"/>
    <w:link w:val="57"/>
    <w:autoRedefine/>
    <w:qFormat/>
    <w:uiPriority w:val="0"/>
  </w:style>
  <w:style w:type="character" w:customStyle="1" w:styleId="81">
    <w:name w:val="正文 + 三号 Char"/>
    <w:autoRedefine/>
    <w:qFormat/>
    <w:uiPriority w:val="0"/>
    <w:rPr>
      <w:rFonts w:eastAsia="宋体"/>
      <w:kern w:val="2"/>
      <w:sz w:val="21"/>
      <w:lang w:val="en-US" w:eastAsia="zh-CN"/>
    </w:rPr>
  </w:style>
  <w:style w:type="character" w:customStyle="1" w:styleId="82">
    <w:name w:val="正文文本缩进 Char"/>
    <w:autoRedefine/>
    <w:qFormat/>
    <w:uiPriority w:val="0"/>
    <w:rPr>
      <w:kern w:val="2"/>
      <w:sz w:val="44"/>
    </w:rPr>
  </w:style>
  <w:style w:type="character" w:customStyle="1" w:styleId="83">
    <w:name w:val="日期 字符1"/>
    <w:autoRedefine/>
    <w:qFormat/>
    <w:uiPriority w:val="0"/>
    <w:rPr>
      <w:rFonts w:ascii="Times New Roman" w:hAnsi="Times New Roman" w:eastAsia="宋体" w:cs="Times New Roman"/>
      <w:kern w:val="2"/>
      <w:sz w:val="28"/>
    </w:rPr>
  </w:style>
  <w:style w:type="character" w:customStyle="1" w:styleId="84">
    <w:name w:val="H2 Char"/>
    <w:autoRedefine/>
    <w:qFormat/>
    <w:uiPriority w:val="0"/>
    <w:rPr>
      <w:rFonts w:ascii="Arial" w:hAnsi="Arial" w:eastAsia="宋体"/>
      <w:kern w:val="2"/>
      <w:sz w:val="28"/>
      <w:lang w:val="en-US" w:eastAsia="zh-CN"/>
    </w:rPr>
  </w:style>
  <w:style w:type="character" w:customStyle="1" w:styleId="85">
    <w:name w:val="无"/>
    <w:autoRedefine/>
    <w:qFormat/>
    <w:uiPriority w:val="0"/>
    <w:rPr>
      <w:rFonts w:ascii="Times New Roman" w:hAnsi="Times New Roman" w:eastAsia="宋体" w:cs="Times New Roman"/>
    </w:rPr>
  </w:style>
  <w:style w:type="character" w:customStyle="1" w:styleId="86">
    <w:name w:val="日期 Char"/>
    <w:autoRedefine/>
    <w:qFormat/>
    <w:uiPriority w:val="0"/>
    <w:rPr>
      <w:kern w:val="2"/>
      <w:sz w:val="28"/>
    </w:rPr>
  </w:style>
  <w:style w:type="character" w:customStyle="1" w:styleId="87">
    <w:name w:val="(符号)五标题1.1.1 Char"/>
    <w:link w:val="88"/>
    <w:autoRedefine/>
    <w:qFormat/>
    <w:uiPriority w:val="0"/>
    <w:rPr>
      <w:rFonts w:ascii="宋体" w:hAnsi="宋体"/>
      <w:color w:val="000000"/>
      <w:kern w:val="2"/>
      <w:sz w:val="24"/>
    </w:rPr>
  </w:style>
  <w:style w:type="paragraph" w:customStyle="1" w:styleId="88">
    <w:name w:val="(符号)五标题1.1.1"/>
    <w:basedOn w:val="1"/>
    <w:link w:val="87"/>
    <w:autoRedefine/>
    <w:qFormat/>
    <w:uiPriority w:val="0"/>
    <w:pPr>
      <w:numPr>
        <w:ilvl w:val="2"/>
        <w:numId w:val="3"/>
      </w:numPr>
      <w:tabs>
        <w:tab w:val="left" w:pos="1000"/>
      </w:tabs>
      <w:spacing w:line="500" w:lineRule="exact"/>
    </w:pPr>
    <w:rPr>
      <w:rFonts w:ascii="宋体" w:hAnsi="宋体"/>
      <w:color w:val="000000"/>
      <w:sz w:val="24"/>
    </w:rPr>
  </w:style>
  <w:style w:type="character" w:customStyle="1" w:styleId="89">
    <w:name w:val="标题 3 Char1"/>
    <w:autoRedefine/>
    <w:qFormat/>
    <w:uiPriority w:val="0"/>
    <w:rPr>
      <w:rFonts w:eastAsia="宋体"/>
      <w:b/>
      <w:kern w:val="2"/>
      <w:sz w:val="32"/>
      <w:lang w:val="en-US" w:eastAsia="zh-CN"/>
    </w:rPr>
  </w:style>
  <w:style w:type="character" w:customStyle="1" w:styleId="90">
    <w:name w:val="标题 3 字符1"/>
    <w:autoRedefine/>
    <w:qFormat/>
    <w:uiPriority w:val="0"/>
    <w:rPr>
      <w:rFonts w:eastAsia="宋体"/>
      <w:b/>
      <w:kern w:val="2"/>
      <w:sz w:val="32"/>
      <w:lang w:val="en-US" w:eastAsia="zh-CN"/>
    </w:rPr>
  </w:style>
  <w:style w:type="character" w:customStyle="1" w:styleId="91">
    <w:name w:val="未命名11"/>
    <w:autoRedefine/>
    <w:qFormat/>
    <w:uiPriority w:val="0"/>
    <w:rPr>
      <w:color w:val="77FFFF"/>
      <w:sz w:val="24"/>
    </w:rPr>
  </w:style>
  <w:style w:type="character" w:customStyle="1" w:styleId="92">
    <w:name w:val="小 Char"/>
    <w:autoRedefine/>
    <w:qFormat/>
    <w:uiPriority w:val="0"/>
    <w:rPr>
      <w:rFonts w:ascii="宋体" w:hAnsi="Courier New" w:eastAsia="宋体"/>
      <w:kern w:val="2"/>
      <w:sz w:val="21"/>
      <w:lang w:val="en-US" w:eastAsia="zh-CN" w:bidi="ar-SA"/>
    </w:rPr>
  </w:style>
  <w:style w:type="character" w:customStyle="1" w:styleId="93">
    <w:name w:val="Table Text Char Char Char Char"/>
    <w:link w:val="94"/>
    <w:autoRedefine/>
    <w:qFormat/>
    <w:uiPriority w:val="0"/>
    <w:rPr>
      <w:rFonts w:ascii="Arial" w:hAnsi="Arial"/>
      <w:kern w:val="2"/>
      <w:sz w:val="18"/>
      <w:lang w:val="en-US" w:eastAsia="zh-CN" w:bidi="ar-SA"/>
    </w:rPr>
  </w:style>
  <w:style w:type="paragraph" w:customStyle="1" w:styleId="94">
    <w:name w:val="Table Text Char Char Char"/>
    <w:link w:val="93"/>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标书正文:  0.74 厘米 Char1"/>
    <w:autoRedefine/>
    <w:qFormat/>
    <w:uiPriority w:val="0"/>
    <w:rPr>
      <w:rFonts w:eastAsia="宋体"/>
      <w:kern w:val="2"/>
      <w:sz w:val="24"/>
      <w:lang w:val="en-US" w:eastAsia="zh-CN"/>
    </w:rPr>
  </w:style>
  <w:style w:type="character" w:customStyle="1" w:styleId="96">
    <w:name w:val="Char Char4"/>
    <w:autoRedefine/>
    <w:qFormat/>
    <w:uiPriority w:val="0"/>
    <w:rPr>
      <w:rFonts w:eastAsia="宋体"/>
      <w:b/>
      <w:kern w:val="2"/>
      <w:sz w:val="21"/>
      <w:lang w:val="en-US" w:eastAsia="zh-CN"/>
    </w:rPr>
  </w:style>
  <w:style w:type="character" w:customStyle="1" w:styleId="97">
    <w:name w:val="title_emph1"/>
    <w:autoRedefine/>
    <w:qFormat/>
    <w:uiPriority w:val="0"/>
    <w:rPr>
      <w:rFonts w:hint="default" w:ascii="Arial" w:hAnsi="Arial"/>
      <w:b/>
      <w:sz w:val="20"/>
    </w:rPr>
  </w:style>
  <w:style w:type="character" w:customStyle="1" w:styleId="98">
    <w:name w:val="Table Heading Char Char"/>
    <w:autoRedefine/>
    <w:qFormat/>
    <w:uiPriority w:val="0"/>
    <w:rPr>
      <w:rFonts w:ascii="Arial" w:hAnsi="Arial" w:eastAsia="黑体"/>
      <w:kern w:val="2"/>
      <w:sz w:val="18"/>
      <w:lang w:val="en-US" w:eastAsia="zh-CN"/>
    </w:rPr>
  </w:style>
  <w:style w:type="character" w:customStyle="1" w:styleId="99">
    <w:name w:val="正文文本缩进 字符1"/>
    <w:autoRedefine/>
    <w:qFormat/>
    <w:locked/>
    <w:uiPriority w:val="0"/>
    <w:rPr>
      <w:kern w:val="2"/>
      <w:sz w:val="44"/>
    </w:rPr>
  </w:style>
  <w:style w:type="character" w:customStyle="1" w:styleId="100">
    <w:name w:val="样式 宋体"/>
    <w:autoRedefine/>
    <w:qFormat/>
    <w:uiPriority w:val="0"/>
    <w:rPr>
      <w:rFonts w:ascii="宋体" w:hAnsi="宋体" w:eastAsia="宋体"/>
      <w:sz w:val="28"/>
    </w:rPr>
  </w:style>
  <w:style w:type="character" w:customStyle="1" w:styleId="101">
    <w:name w:val="标题 2 字符1"/>
    <w:autoRedefine/>
    <w:qFormat/>
    <w:uiPriority w:val="0"/>
    <w:rPr>
      <w:rFonts w:ascii="宋体" w:hAnsi="宋体" w:eastAsia="宋体" w:cs="Times New Roman"/>
      <w:kern w:val="2"/>
      <w:sz w:val="28"/>
    </w:rPr>
  </w:style>
  <w:style w:type="character" w:customStyle="1" w:styleId="102">
    <w:name w:val="Char Char5"/>
    <w:autoRedefine/>
    <w:qFormat/>
    <w:uiPriority w:val="0"/>
    <w:rPr>
      <w:rFonts w:ascii="Arial" w:hAnsi="Arial" w:eastAsia="宋体"/>
      <w:b/>
      <w:smallCaps/>
      <w:kern w:val="28"/>
      <w:sz w:val="36"/>
      <w:lang w:val="en-US" w:eastAsia="en-US"/>
    </w:rPr>
  </w:style>
  <w:style w:type="character" w:customStyle="1" w:styleId="103">
    <w:name w:val="列表段落 字符"/>
    <w:link w:val="104"/>
    <w:autoRedefine/>
    <w:qFormat/>
    <w:uiPriority w:val="0"/>
    <w:rPr>
      <w:rFonts w:ascii="Calibri" w:hAnsi="Calibri"/>
      <w:kern w:val="2"/>
      <w:sz w:val="21"/>
      <w:szCs w:val="22"/>
    </w:rPr>
  </w:style>
  <w:style w:type="paragraph" w:styleId="104">
    <w:name w:val="List Paragraph"/>
    <w:basedOn w:val="1"/>
    <w:link w:val="103"/>
    <w:autoRedefine/>
    <w:qFormat/>
    <w:uiPriority w:val="0"/>
    <w:pPr>
      <w:ind w:firstLine="420" w:firstLineChars="200"/>
    </w:pPr>
    <w:rPr>
      <w:sz w:val="21"/>
      <w:szCs w:val="22"/>
    </w:rPr>
  </w:style>
  <w:style w:type="character" w:customStyle="1" w:styleId="105">
    <w:name w:val="Char Char2"/>
    <w:autoRedefine/>
    <w:qFormat/>
    <w:uiPriority w:val="0"/>
    <w:rPr>
      <w:rFonts w:eastAsia="宋体"/>
      <w:kern w:val="2"/>
      <w:sz w:val="18"/>
      <w:lang w:val="en-US" w:eastAsia="zh-CN"/>
    </w:rPr>
  </w:style>
  <w:style w:type="character" w:customStyle="1" w:styleId="106">
    <w:name w:val="标题 2 Char"/>
    <w:autoRedefine/>
    <w:qFormat/>
    <w:uiPriority w:val="0"/>
    <w:rPr>
      <w:rFonts w:ascii="Arial" w:hAnsi="Arial" w:eastAsia="黑体"/>
      <w:b/>
      <w:kern w:val="2"/>
      <w:sz w:val="32"/>
    </w:rPr>
  </w:style>
  <w:style w:type="character" w:customStyle="1" w:styleId="107">
    <w:name w:val="Table Text Char1 Char"/>
    <w:autoRedefine/>
    <w:qFormat/>
    <w:uiPriority w:val="0"/>
    <w:rPr>
      <w:rFonts w:ascii="Arial" w:hAnsi="Arial"/>
      <w:kern w:val="2"/>
      <w:sz w:val="18"/>
      <w:lang w:val="en-US" w:eastAsia="zh-CN" w:bidi="ar-SA"/>
    </w:rPr>
  </w:style>
  <w:style w:type="character" w:customStyle="1" w:styleId="108">
    <w:name w:val="Char Char6"/>
    <w:autoRedefine/>
    <w:qFormat/>
    <w:uiPriority w:val="0"/>
    <w:rPr>
      <w:rFonts w:ascii="仿宋_GB2312" w:eastAsia="仿宋_GB2312"/>
      <w:kern w:val="2"/>
      <w:sz w:val="32"/>
    </w:rPr>
  </w:style>
  <w:style w:type="character" w:customStyle="1" w:styleId="109">
    <w:name w:val="content-white1"/>
    <w:autoRedefine/>
    <w:qFormat/>
    <w:uiPriority w:val="0"/>
    <w:rPr>
      <w:rFonts w:ascii="_x000B__x000C_" w:hAnsi="_x000B__x000C_"/>
      <w:color w:val="auto"/>
      <w:sz w:val="18"/>
      <w:u w:val="none"/>
    </w:rPr>
  </w:style>
  <w:style w:type="character" w:customStyle="1" w:styleId="110">
    <w:name w:val="fontstyle01"/>
    <w:autoRedefine/>
    <w:qFormat/>
    <w:uiPriority w:val="0"/>
    <w:rPr>
      <w:rFonts w:hint="eastAsia" w:ascii="宋体" w:hAnsi="宋体" w:eastAsia="宋体"/>
      <w:color w:val="000000"/>
      <w:sz w:val="24"/>
      <w:szCs w:val="24"/>
    </w:rPr>
  </w:style>
  <w:style w:type="character" w:customStyle="1" w:styleId="111">
    <w:name w:val="Char Char7"/>
    <w:autoRedefine/>
    <w:qFormat/>
    <w:uiPriority w:val="0"/>
    <w:rPr>
      <w:rFonts w:ascii="宋体" w:hAnsi="宋体" w:eastAsia="宋体"/>
      <w:kern w:val="2"/>
      <w:sz w:val="28"/>
    </w:rPr>
  </w:style>
  <w:style w:type="character" w:customStyle="1" w:styleId="112">
    <w:name w:val="标题 3 Char"/>
    <w:autoRedefine/>
    <w:qFormat/>
    <w:uiPriority w:val="0"/>
    <w:rPr>
      <w:rFonts w:eastAsia="宋体"/>
      <w:b/>
      <w:kern w:val="2"/>
      <w:sz w:val="32"/>
      <w:lang w:val="en-US" w:eastAsia="zh-CN"/>
    </w:rPr>
  </w:style>
  <w:style w:type="character" w:customStyle="1" w:styleId="113">
    <w:name w:val="crowed11"/>
    <w:autoRedefine/>
    <w:qFormat/>
    <w:uiPriority w:val="0"/>
    <w:rPr>
      <w:rFonts w:hint="default" w:ascii="_x000B__x000C_" w:hAnsi="_x000B__x000C_"/>
      <w:sz w:val="24"/>
    </w:rPr>
  </w:style>
  <w:style w:type="character" w:customStyle="1" w:styleId="114">
    <w:name w:val="文字 Char"/>
    <w:link w:val="115"/>
    <w:autoRedefine/>
    <w:qFormat/>
    <w:uiPriority w:val="0"/>
    <w:rPr>
      <w:rFonts w:ascii="宋体"/>
      <w:kern w:val="2"/>
      <w:sz w:val="28"/>
    </w:rPr>
  </w:style>
  <w:style w:type="paragraph" w:customStyle="1" w:styleId="115">
    <w:name w:val="文字"/>
    <w:basedOn w:val="1"/>
    <w:link w:val="114"/>
    <w:autoRedefine/>
    <w:qFormat/>
    <w:uiPriority w:val="0"/>
    <w:pPr>
      <w:tabs>
        <w:tab w:val="left" w:pos="8520"/>
      </w:tabs>
      <w:spacing w:line="312" w:lineRule="auto"/>
      <w:ind w:right="-210" w:firstLine="556"/>
    </w:pPr>
    <w:rPr>
      <w:rFonts w:ascii="宋体"/>
    </w:rPr>
  </w:style>
  <w:style w:type="character" w:customStyle="1" w:styleId="116">
    <w:name w:val="Char Char3"/>
    <w:autoRedefine/>
    <w:qFormat/>
    <w:uiPriority w:val="0"/>
    <w:rPr>
      <w:rFonts w:eastAsia="宋体"/>
      <w:kern w:val="2"/>
      <w:sz w:val="18"/>
      <w:lang w:val="en-US" w:eastAsia="zh-CN"/>
    </w:rPr>
  </w:style>
  <w:style w:type="character" w:customStyle="1" w:styleId="117">
    <w:name w:val="font1"/>
    <w:autoRedefine/>
    <w:qFormat/>
    <w:uiPriority w:val="0"/>
    <w:rPr>
      <w:color w:val="000000"/>
      <w:sz w:val="18"/>
    </w:rPr>
  </w:style>
  <w:style w:type="character" w:customStyle="1" w:styleId="118">
    <w:name w:val="v151"/>
    <w:autoRedefine/>
    <w:qFormat/>
    <w:uiPriority w:val="0"/>
    <w:rPr>
      <w:sz w:val="18"/>
    </w:rPr>
  </w:style>
  <w:style w:type="character" w:customStyle="1" w:styleId="119">
    <w:name w:val="Char Char11"/>
    <w:autoRedefine/>
    <w:qFormat/>
    <w:uiPriority w:val="0"/>
    <w:rPr>
      <w:rFonts w:ascii="宋体"/>
      <w:kern w:val="2"/>
      <w:sz w:val="28"/>
    </w:rPr>
  </w:style>
  <w:style w:type="character" w:customStyle="1" w:styleId="120">
    <w:name w:val="Char Char"/>
    <w:autoRedefine/>
    <w:qFormat/>
    <w:uiPriority w:val="0"/>
    <w:rPr>
      <w:rFonts w:ascii="宋体" w:hAnsi="宋体" w:eastAsia="宋体"/>
      <w:kern w:val="2"/>
      <w:sz w:val="24"/>
      <w:lang w:val="en-US" w:eastAsia="zh-CN" w:bidi="ar-SA"/>
    </w:rPr>
  </w:style>
  <w:style w:type="character" w:customStyle="1" w:styleId="121">
    <w:name w:val="样式 文档正文 Char + (西文) 宋体 (中文) 宋体 小四 黑色 Char"/>
    <w:link w:val="122"/>
    <w:autoRedefine/>
    <w:qFormat/>
    <w:uiPriority w:val="0"/>
    <w:rPr>
      <w:rFonts w:ascii="宋体" w:hAnsi="宋体"/>
      <w:color w:val="000000"/>
      <w:kern w:val="2"/>
      <w:sz w:val="24"/>
      <w:szCs w:val="24"/>
    </w:rPr>
  </w:style>
  <w:style w:type="paragraph" w:customStyle="1" w:styleId="122">
    <w:name w:val="样式 文档正文 Char + (西文) 宋体 (中文) 宋体 小四 黑色"/>
    <w:basedOn w:val="1"/>
    <w:link w:val="121"/>
    <w:autoRedefine/>
    <w:qFormat/>
    <w:uiPriority w:val="0"/>
    <w:pPr>
      <w:adjustRightInd w:val="0"/>
      <w:snapToGrid w:val="0"/>
      <w:spacing w:line="360" w:lineRule="auto"/>
      <w:ind w:firstLine="567"/>
      <w:textAlignment w:val="baseline"/>
    </w:pPr>
    <w:rPr>
      <w:rFonts w:ascii="宋体" w:hAnsi="宋体"/>
      <w:color w:val="000000"/>
      <w:sz w:val="24"/>
      <w:szCs w:val="24"/>
    </w:rPr>
  </w:style>
  <w:style w:type="character" w:customStyle="1" w:styleId="123">
    <w:name w:val="_Style 122"/>
    <w:autoRedefine/>
    <w:unhideWhenUsed/>
    <w:qFormat/>
    <w:uiPriority w:val="99"/>
    <w:rPr>
      <w:color w:val="605E5C"/>
      <w:shd w:val="clear" w:color="auto" w:fill="E1DFDD"/>
    </w:rPr>
  </w:style>
  <w:style w:type="character" w:customStyle="1" w:styleId="124">
    <w:name w:val="top-det1"/>
    <w:autoRedefine/>
    <w:qFormat/>
    <w:uiPriority w:val="0"/>
    <w:rPr>
      <w:b/>
      <w:color w:val="000000"/>
    </w:rPr>
  </w:style>
  <w:style w:type="character" w:customStyle="1" w:styleId="125">
    <w:name w:val="Table Text Char"/>
    <w:link w:val="126"/>
    <w:autoRedefine/>
    <w:qFormat/>
    <w:uiPriority w:val="0"/>
    <w:rPr>
      <w:rFonts w:ascii="Arial" w:hAnsi="Arial"/>
      <w:kern w:val="2"/>
      <w:sz w:val="18"/>
      <w:lang w:val="en-US" w:eastAsia="zh-CN" w:bidi="ar-SA"/>
    </w:rPr>
  </w:style>
  <w:style w:type="paragraph" w:customStyle="1" w:styleId="126">
    <w:name w:val="Table Text"/>
    <w:link w:val="125"/>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7">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28">
    <w:name w:val="首行缩进 1"/>
    <w:basedOn w:val="1"/>
    <w:autoRedefine/>
    <w:qFormat/>
    <w:uiPriority w:val="0"/>
    <w:pPr>
      <w:spacing w:after="120" w:line="360" w:lineRule="auto"/>
      <w:ind w:firstLine="200" w:firstLineChars="200"/>
    </w:pPr>
    <w:rPr>
      <w:sz w:val="24"/>
    </w:rPr>
  </w:style>
  <w:style w:type="paragraph" w:customStyle="1" w:styleId="129">
    <w:name w:val="IN Feature"/>
    <w:next w:val="130"/>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30">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1">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32">
    <w:name w:val="Table Contents"/>
    <w:basedOn w:val="2"/>
    <w:autoRedefine/>
    <w:qFormat/>
    <w:uiPriority w:val="0"/>
    <w:pPr>
      <w:suppressAutoHyphens/>
      <w:jc w:val="left"/>
    </w:pPr>
    <w:rPr>
      <w:rFonts w:ascii="Times New Roman" w:eastAsia="Times New Roman"/>
      <w:kern w:val="0"/>
      <w:sz w:val="24"/>
    </w:rPr>
  </w:style>
  <w:style w:type="paragraph" w:customStyle="1" w:styleId="133">
    <w:name w:val="司法正文"/>
    <w:autoRedefine/>
    <w:qFormat/>
    <w:uiPriority w:val="0"/>
    <w:pPr>
      <w:widowControl w:val="0"/>
      <w:ind w:firstLine="200" w:firstLineChars="200"/>
      <w:jc w:val="both"/>
    </w:pPr>
    <w:rPr>
      <w:rFonts w:ascii="Calibri" w:hAnsi="Calibri" w:eastAsia="仿宋_GB2312" w:cs="Times New Roman"/>
      <w:sz w:val="32"/>
      <w:lang w:val="en-US" w:eastAsia="zh-CN" w:bidi="ar-SA"/>
    </w:rPr>
  </w:style>
  <w:style w:type="paragraph" w:customStyle="1" w:styleId="134">
    <w:name w:val="1.正文"/>
    <w:basedOn w:val="1"/>
    <w:autoRedefine/>
    <w:qFormat/>
    <w:uiPriority w:val="0"/>
    <w:pPr>
      <w:spacing w:line="360" w:lineRule="auto"/>
      <w:ind w:left="540" w:leftChars="225" w:firstLine="540" w:firstLineChars="225"/>
    </w:pPr>
    <w:rPr>
      <w:sz w:val="24"/>
    </w:rPr>
  </w:style>
  <w:style w:type="paragraph" w:customStyle="1" w:styleId="135">
    <w:name w:val="样式 标题 6第五层条 + 三号 段前: 0.5 行"/>
    <w:basedOn w:val="9"/>
    <w:autoRedefine/>
    <w:qFormat/>
    <w:uiPriority w:val="0"/>
    <w:pPr>
      <w:widowControl/>
      <w:adjustRightInd/>
      <w:snapToGrid/>
      <w:spacing w:before="156" w:beforeLines="50"/>
      <w:jc w:val="left"/>
    </w:pPr>
    <w:rPr>
      <w:snapToGrid w:val="0"/>
      <w:kern w:val="24"/>
      <w:sz w:val="28"/>
    </w:rPr>
  </w:style>
  <w:style w:type="paragraph" w:customStyle="1" w:styleId="136">
    <w:name w:val="正文文本 21"/>
    <w:basedOn w:val="1"/>
    <w:autoRedefine/>
    <w:qFormat/>
    <w:uiPriority w:val="0"/>
    <w:pPr>
      <w:adjustRightInd w:val="0"/>
      <w:spacing w:before="120" w:line="360" w:lineRule="auto"/>
      <w:ind w:firstLine="480"/>
      <w:textAlignment w:val="baseline"/>
    </w:pPr>
    <w:rPr>
      <w:sz w:val="24"/>
    </w:rPr>
  </w:style>
  <w:style w:type="paragraph" w:customStyle="1" w:styleId="137">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8">
    <w:name w:val="标准正文"/>
    <w:basedOn w:val="24"/>
    <w:autoRedefine/>
    <w:qFormat/>
    <w:uiPriority w:val="0"/>
    <w:pPr>
      <w:spacing w:before="60" w:after="60" w:line="360" w:lineRule="auto"/>
      <w:ind w:left="0" w:firstLine="482"/>
    </w:pPr>
    <w:rPr>
      <w:rFonts w:ascii="Arial" w:hAnsi="Arial"/>
      <w:sz w:val="24"/>
    </w:rPr>
  </w:style>
  <w:style w:type="paragraph" w:customStyle="1" w:styleId="139">
    <w:name w:val="段落正文"/>
    <w:basedOn w:val="1"/>
    <w:autoRedefine/>
    <w:qFormat/>
    <w:uiPriority w:val="0"/>
    <w:pPr>
      <w:spacing w:before="156" w:beforeLines="50" w:line="360" w:lineRule="auto"/>
      <w:ind w:firstLine="200" w:firstLineChars="200"/>
    </w:pPr>
    <w:rPr>
      <w:spacing w:val="2"/>
      <w:sz w:val="24"/>
    </w:rPr>
  </w:style>
  <w:style w:type="paragraph" w:customStyle="1" w:styleId="140">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41">
    <w:name w:val="二级列表"/>
    <w:basedOn w:val="139"/>
    <w:next w:val="139"/>
    <w:autoRedefine/>
    <w:qFormat/>
    <w:uiPriority w:val="0"/>
    <w:pPr>
      <w:tabs>
        <w:tab w:val="left" w:pos="2120"/>
      </w:tabs>
      <w:ind w:firstLine="0" w:firstLineChars="0"/>
    </w:pPr>
    <w:rPr>
      <w:b/>
    </w:rPr>
  </w:style>
  <w:style w:type="paragraph" w:customStyle="1" w:styleId="142">
    <w:name w:val="表文字"/>
    <w:autoRedefine/>
    <w:qFormat/>
    <w:uiPriority w:val="0"/>
    <w:rPr>
      <w:rFonts w:ascii="宋体" w:hAnsi="Calibri" w:eastAsia="宋体" w:cs="Times New Roman"/>
      <w:kern w:val="2"/>
      <w:lang w:val="en-US" w:eastAsia="zh-CN" w:bidi="ar-SA"/>
    </w:rPr>
  </w:style>
  <w:style w:type="paragraph" w:customStyle="1" w:styleId="143">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44">
    <w:name w:val="摘要"/>
    <w:basedOn w:val="1"/>
    <w:next w:val="5"/>
    <w:autoRedefine/>
    <w:qFormat/>
    <w:uiPriority w:val="0"/>
    <w:pPr>
      <w:spacing w:line="360" w:lineRule="auto"/>
    </w:pPr>
    <w:rPr>
      <w:rFonts w:eastAsia="黑体"/>
      <w:sz w:val="20"/>
    </w:rPr>
  </w:style>
  <w:style w:type="paragraph" w:customStyle="1" w:styleId="145">
    <w:name w:val="正文文本缩进 21"/>
    <w:basedOn w:val="1"/>
    <w:autoRedefine/>
    <w:qFormat/>
    <w:uiPriority w:val="0"/>
    <w:pPr>
      <w:adjustRightInd w:val="0"/>
      <w:spacing w:before="120"/>
      <w:ind w:firstLine="420"/>
      <w:textAlignment w:val="baseline"/>
    </w:pPr>
    <w:rPr>
      <w:sz w:val="24"/>
    </w:rPr>
  </w:style>
  <w:style w:type="paragraph" w:customStyle="1" w:styleId="146">
    <w:name w:val="A项目符号"/>
    <w:basedOn w:val="1"/>
    <w:autoRedefine/>
    <w:qFormat/>
    <w:uiPriority w:val="0"/>
    <w:pPr>
      <w:numPr>
        <w:ilvl w:val="0"/>
        <w:numId w:val="4"/>
      </w:numPr>
      <w:tabs>
        <w:tab w:val="left" w:pos="1080"/>
      </w:tabs>
      <w:adjustRightInd w:val="0"/>
      <w:snapToGrid w:val="0"/>
      <w:spacing w:afterLines="50" w:line="360" w:lineRule="auto"/>
    </w:pPr>
    <w:rPr>
      <w:b/>
      <w:bCs/>
      <w:spacing w:val="12"/>
      <w:kern w:val="0"/>
      <w:sz w:val="24"/>
      <w:szCs w:val="24"/>
    </w:rPr>
  </w:style>
  <w:style w:type="paragraph" w:customStyle="1" w:styleId="147">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48">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9">
    <w:name w:val="Style Heading 3h3Heading 3 - oldLevel 3 HeadH3level_3PIM 3se..."/>
    <w:basedOn w:val="6"/>
    <w:autoRedefine/>
    <w:qFormat/>
    <w:uiPriority w:val="0"/>
    <w:pPr>
      <w:numPr>
        <w:ilvl w:val="2"/>
        <w:numId w:val="5"/>
      </w:numPr>
      <w:tabs>
        <w:tab w:val="left" w:pos="709"/>
        <w:tab w:val="left" w:pos="1620"/>
      </w:tabs>
    </w:pPr>
  </w:style>
  <w:style w:type="paragraph" w:customStyle="1" w:styleId="150">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51">
    <w:name w:val="样式 标题 1 + 居中 段前: 6 磅 段后: 6 磅 行距: 1.5 倍行距"/>
    <w:basedOn w:val="4"/>
    <w:autoRedefine/>
    <w:qFormat/>
    <w:uiPriority w:val="0"/>
    <w:pPr>
      <w:keepLines/>
      <w:adjustRightInd w:val="0"/>
      <w:spacing w:before="120" w:after="120" w:line="360" w:lineRule="auto"/>
      <w:jc w:val="center"/>
    </w:pPr>
    <w:rPr>
      <w:rFonts w:ascii="Times New Roman"/>
      <w:b/>
      <w:kern w:val="44"/>
      <w:sz w:val="32"/>
    </w:rPr>
  </w:style>
  <w:style w:type="paragraph" w:customStyle="1" w:styleId="152">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3">
    <w:name w:val="列表项目"/>
    <w:basedOn w:val="1"/>
    <w:autoRedefine/>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54">
    <w:name w:val="00"/>
    <w:basedOn w:val="1"/>
    <w:autoRedefine/>
    <w:qFormat/>
    <w:uiPriority w:val="0"/>
    <w:pPr>
      <w:autoSpaceDE w:val="0"/>
      <w:autoSpaceDN w:val="0"/>
      <w:adjustRightInd w:val="0"/>
      <w:jc w:val="left"/>
    </w:pPr>
    <w:rPr>
      <w:rFonts w:ascii="黑体" w:eastAsia="黑体"/>
      <w:b/>
      <w:kern w:val="0"/>
      <w:sz w:val="20"/>
    </w:rPr>
  </w:style>
  <w:style w:type="paragraph" w:customStyle="1" w:styleId="155">
    <w:name w:val="正文 + 三号"/>
    <w:basedOn w:val="1"/>
    <w:autoRedefine/>
    <w:qFormat/>
    <w:uiPriority w:val="0"/>
    <w:rPr>
      <w:sz w:val="21"/>
    </w:rPr>
  </w:style>
  <w:style w:type="paragraph" w:customStyle="1" w:styleId="156">
    <w:name w:val="二级条标题"/>
    <w:basedOn w:val="157"/>
    <w:next w:val="140"/>
    <w:autoRedefine/>
    <w:qFormat/>
    <w:uiPriority w:val="0"/>
    <w:pPr>
      <w:ind w:left="840"/>
      <w:outlineLvl w:val="3"/>
    </w:pPr>
  </w:style>
  <w:style w:type="paragraph" w:customStyle="1" w:styleId="157">
    <w:name w:val="一级条标题"/>
    <w:basedOn w:val="158"/>
    <w:next w:val="140"/>
    <w:autoRedefine/>
    <w:qFormat/>
    <w:uiPriority w:val="0"/>
    <w:pPr>
      <w:numPr>
        <w:numId w:val="0"/>
      </w:numPr>
      <w:spacing w:before="0" w:beforeLines="0" w:after="0" w:afterLines="0"/>
      <w:ind w:left="525"/>
      <w:outlineLvl w:val="2"/>
    </w:pPr>
    <w:rPr>
      <w:sz w:val="21"/>
    </w:rPr>
  </w:style>
  <w:style w:type="paragraph" w:customStyle="1" w:styleId="158">
    <w:name w:val="章标题"/>
    <w:next w:val="1"/>
    <w:autoRedefine/>
    <w:qFormat/>
    <w:uiPriority w:val="0"/>
    <w:pPr>
      <w:numPr>
        <w:ilvl w:val="1"/>
        <w:numId w:val="7"/>
      </w:numPr>
      <w:spacing w:before="156" w:beforeLines="50" w:after="156" w:afterLines="50"/>
      <w:ind w:left="0"/>
      <w:jc w:val="both"/>
      <w:outlineLvl w:val="1"/>
    </w:pPr>
    <w:rPr>
      <w:rFonts w:ascii="黑体" w:hAnsi="Calibri" w:eastAsia="黑体" w:cs="Times New Roman"/>
      <w:sz w:val="24"/>
      <w:lang w:val="en-US" w:eastAsia="zh-CN" w:bidi="ar-SA"/>
    </w:rPr>
  </w:style>
  <w:style w:type="paragraph" w:customStyle="1" w:styleId="159">
    <w:name w:val="文本框样式1"/>
    <w:basedOn w:val="1"/>
    <w:autoRedefine/>
    <w:qFormat/>
    <w:uiPriority w:val="0"/>
    <w:pPr>
      <w:adjustRightInd w:val="0"/>
      <w:snapToGrid w:val="0"/>
      <w:spacing w:before="60" w:line="180" w:lineRule="exact"/>
      <w:jc w:val="center"/>
    </w:pPr>
    <w:rPr>
      <w:sz w:val="21"/>
    </w:rPr>
  </w:style>
  <w:style w:type="paragraph" w:customStyle="1" w:styleId="160">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61">
    <w:name w:val="af"/>
    <w:basedOn w:val="1"/>
    <w:autoRedefine/>
    <w:qFormat/>
    <w:uiPriority w:val="0"/>
    <w:pPr>
      <w:widowControl/>
      <w:spacing w:line="300" w:lineRule="atLeast"/>
      <w:jc w:val="left"/>
    </w:pPr>
    <w:rPr>
      <w:rFonts w:ascii="宋体" w:hAnsi="宋体"/>
      <w:kern w:val="0"/>
      <w:sz w:val="18"/>
    </w:rPr>
  </w:style>
  <w:style w:type="paragraph" w:customStyle="1" w:styleId="162">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63">
    <w:name w:val="没有缩进（为图形使用）"/>
    <w:basedOn w:val="1"/>
    <w:autoRedefine/>
    <w:qFormat/>
    <w:uiPriority w:val="0"/>
    <w:pPr>
      <w:spacing w:before="120" w:after="120" w:line="360" w:lineRule="auto"/>
    </w:pPr>
    <w:rPr>
      <w:sz w:val="24"/>
    </w:rPr>
  </w:style>
  <w:style w:type="paragraph" w:customStyle="1" w:styleId="164">
    <w:name w:val="样式1"/>
    <w:basedOn w:val="7"/>
    <w:autoRedefine/>
    <w:qFormat/>
    <w:uiPriority w:val="0"/>
    <w:pPr>
      <w:tabs>
        <w:tab w:val="left" w:pos="720"/>
      </w:tabs>
      <w:spacing w:before="500" w:after="260" w:line="560" w:lineRule="atLeast"/>
      <w:ind w:left="420" w:hanging="420"/>
    </w:pPr>
  </w:style>
  <w:style w:type="paragraph" w:customStyle="1" w:styleId="165">
    <w:name w:val="文章正文"/>
    <w:basedOn w:val="1"/>
    <w:qFormat/>
    <w:uiPriority w:val="0"/>
    <w:pPr>
      <w:ind w:firstLine="560" w:firstLineChars="200"/>
    </w:pPr>
    <w:rPr>
      <w:rFonts w:ascii="仿宋_GB2312" w:hAnsi="宋体" w:eastAsia="仿宋_GB2312"/>
      <w:color w:val="000000"/>
    </w:rPr>
  </w:style>
  <w:style w:type="paragraph" w:customStyle="1" w:styleId="166">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67">
    <w:name w:val="Char Char Char Char Char"/>
    <w:basedOn w:val="1"/>
    <w:autoRedefine/>
    <w:qFormat/>
    <w:uiPriority w:val="0"/>
    <w:pPr>
      <w:tabs>
        <w:tab w:val="left" w:pos="425"/>
      </w:tabs>
      <w:ind w:left="1620" w:hanging="360"/>
    </w:pPr>
    <w:rPr>
      <w:rFonts w:ascii="Tahoma" w:hAnsi="Tahoma"/>
      <w:sz w:val="24"/>
    </w:rPr>
  </w:style>
  <w:style w:type="paragraph" w:customStyle="1" w:styleId="168">
    <w:name w:val="默认段落字体 Para Char Char Char Char Char Char Char"/>
    <w:basedOn w:val="1"/>
    <w:autoRedefine/>
    <w:qFormat/>
    <w:uiPriority w:val="0"/>
    <w:rPr>
      <w:rFonts w:ascii="Tahoma" w:hAnsi="Tahoma"/>
      <w:sz w:val="24"/>
    </w:rPr>
  </w:style>
  <w:style w:type="paragraph" w:customStyle="1" w:styleId="169">
    <w:name w:val="样式3"/>
    <w:basedOn w:val="4"/>
    <w:next w:val="4"/>
    <w:autoRedefine/>
    <w:qFormat/>
    <w:uiPriority w:val="0"/>
    <w:pPr>
      <w:keepLines/>
      <w:adjustRightInd w:val="0"/>
      <w:spacing w:before="340" w:after="330" w:line="576" w:lineRule="auto"/>
    </w:pPr>
    <w:rPr>
      <w:rFonts w:ascii="Times New Roman" w:eastAsia="黑体"/>
      <w:b/>
      <w:kern w:val="44"/>
      <w:sz w:val="44"/>
    </w:rPr>
  </w:style>
  <w:style w:type="paragraph" w:customStyle="1" w:styleId="170">
    <w:name w:val="默认段落字体 Para Char Char Char Char Char Char Char Char Char1 Char Char Char Char"/>
    <w:basedOn w:val="1"/>
    <w:autoRedefine/>
    <w:qFormat/>
    <w:uiPriority w:val="0"/>
    <w:rPr>
      <w:rFonts w:ascii="Tahoma" w:hAnsi="Tahoma"/>
      <w:sz w:val="24"/>
    </w:rPr>
  </w:style>
  <w:style w:type="paragraph" w:customStyle="1" w:styleId="171">
    <w:name w:val="Char"/>
    <w:basedOn w:val="1"/>
    <w:autoRedefine/>
    <w:qFormat/>
    <w:uiPriority w:val="0"/>
    <w:pPr>
      <w:spacing w:line="240" w:lineRule="atLeast"/>
      <w:ind w:left="420" w:firstLine="420"/>
    </w:pPr>
    <w:rPr>
      <w:kern w:val="0"/>
      <w:sz w:val="21"/>
    </w:rPr>
  </w:style>
  <w:style w:type="paragraph" w:customStyle="1" w:styleId="172">
    <w:name w:val="图片文字"/>
    <w:basedOn w:val="1"/>
    <w:autoRedefine/>
    <w:qFormat/>
    <w:uiPriority w:val="0"/>
    <w:pPr>
      <w:spacing w:line="240" w:lineRule="atLeast"/>
      <w:jc w:val="center"/>
    </w:pPr>
    <w:rPr>
      <w:sz w:val="21"/>
    </w:rPr>
  </w:style>
  <w:style w:type="paragraph" w:customStyle="1" w:styleId="173">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74">
    <w:name w:val="_Style 173"/>
    <w:autoRedefine/>
    <w:qFormat/>
    <w:uiPriority w:val="0"/>
    <w:rPr>
      <w:rFonts w:ascii="Calibri" w:hAnsi="Calibri" w:eastAsia="宋体" w:cs="Times New Roman"/>
      <w:kern w:val="2"/>
      <w:sz w:val="21"/>
      <w:lang w:val="en-US" w:eastAsia="zh-CN" w:bidi="ar-SA"/>
    </w:rPr>
  </w:style>
  <w:style w:type="paragraph" w:customStyle="1" w:styleId="175">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6">
    <w:name w:val="Title - Date"/>
    <w:basedOn w:val="54"/>
    <w:next w:val="1"/>
    <w:autoRedefine/>
    <w:qFormat/>
    <w:uiPriority w:val="0"/>
    <w:pPr>
      <w:spacing w:before="240" w:after="720"/>
    </w:pPr>
    <w:rPr>
      <w:sz w:val="28"/>
    </w:rPr>
  </w:style>
  <w:style w:type="paragraph" w:customStyle="1" w:styleId="17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8">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180">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181">
    <w:name w:val="Bullets"/>
    <w:basedOn w:val="1"/>
    <w:autoRedefine/>
    <w:qFormat/>
    <w:uiPriority w:val="0"/>
    <w:pPr>
      <w:widowControl/>
      <w:adjustRightInd w:val="0"/>
      <w:snapToGrid w:val="0"/>
      <w:spacing w:before="60" w:after="60"/>
    </w:pPr>
    <w:rPr>
      <w:kern w:val="0"/>
      <w:sz w:val="24"/>
      <w:lang w:val="en-GB"/>
    </w:rPr>
  </w:style>
  <w:style w:type="paragraph" w:customStyle="1" w:styleId="182">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83">
    <w:name w:val="表格内文字"/>
    <w:basedOn w:val="31"/>
    <w:autoRedefine/>
    <w:qFormat/>
    <w:uiPriority w:val="0"/>
    <w:pPr>
      <w:adjustRightInd w:val="0"/>
    </w:pPr>
    <w:rPr>
      <w:color w:val="000000"/>
      <w:lang w:val="en-GB"/>
    </w:rPr>
  </w:style>
  <w:style w:type="paragraph" w:customStyle="1" w:styleId="184">
    <w:name w:val="Char2 Char Char Char Char Char Char"/>
    <w:basedOn w:val="1"/>
    <w:autoRedefine/>
    <w:qFormat/>
    <w:uiPriority w:val="0"/>
    <w:rPr>
      <w:rFonts w:ascii="仿宋_GB2312"/>
      <w:b/>
      <w:sz w:val="30"/>
    </w:rPr>
  </w:style>
  <w:style w:type="paragraph" w:customStyle="1" w:styleId="185">
    <w:name w:val="样式 正文缩进正文（首行缩进两字）表正文正文非缩进特点标题4段1 + 首行缩进:  2 字符"/>
    <w:basedOn w:val="17"/>
    <w:autoRedefine/>
    <w:qFormat/>
    <w:uiPriority w:val="0"/>
    <w:pPr>
      <w:ind w:firstLine="480" w:firstLineChars="200"/>
    </w:pPr>
  </w:style>
  <w:style w:type="paragraph" w:customStyle="1" w:styleId="186">
    <w:name w:val="Item Step in Table"/>
    <w:autoRedefin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87">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88">
    <w:name w:val="Item List"/>
    <w:autoRedefine/>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89">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90">
    <w:name w:val="样式 标题 1章标题Heading 0Section HeadPIM 1H1h11st levell11H1..."/>
    <w:basedOn w:val="4"/>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1">
    <w:name w:val="操作步骤"/>
    <w:basedOn w:val="1"/>
    <w:autoRedefine/>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92">
    <w:name w:val="Char Char1 Char"/>
    <w:basedOn w:val="1"/>
    <w:autoRedefine/>
    <w:qFormat/>
    <w:uiPriority w:val="0"/>
    <w:rPr>
      <w:rFonts w:ascii="Tahoma" w:hAnsi="Tahoma"/>
      <w:sz w:val="24"/>
      <w:szCs w:val="24"/>
    </w:rPr>
  </w:style>
  <w:style w:type="paragraph" w:customStyle="1" w:styleId="193">
    <w:name w:val="bt"/>
    <w:basedOn w:val="1"/>
    <w:next w:val="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4">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95">
    <w:name w:val="样式2"/>
    <w:basedOn w:val="7"/>
    <w:autoRedefine/>
    <w:qFormat/>
    <w:uiPriority w:val="0"/>
    <w:pPr>
      <w:numPr>
        <w:ilvl w:val="0"/>
        <w:numId w:val="10"/>
      </w:numPr>
      <w:spacing w:before="560" w:line="400" w:lineRule="exact"/>
      <w:jc w:val="center"/>
      <w:outlineLvl w:val="0"/>
    </w:pPr>
    <w:rPr>
      <w:b w:val="0"/>
      <w:sz w:val="44"/>
    </w:rPr>
  </w:style>
  <w:style w:type="paragraph" w:customStyle="1" w:styleId="196">
    <w:name w:val="样式 首行缩进:  0.74 厘米"/>
    <w:basedOn w:val="1"/>
    <w:autoRedefine/>
    <w:qFormat/>
    <w:uiPriority w:val="0"/>
    <w:pPr>
      <w:spacing w:line="360" w:lineRule="auto"/>
      <w:ind w:firstLine="420"/>
    </w:pPr>
    <w:rPr>
      <w:sz w:val="24"/>
    </w:rPr>
  </w:style>
  <w:style w:type="paragraph" w:customStyle="1" w:styleId="197">
    <w:name w:val="简单回函地址"/>
    <w:basedOn w:val="1"/>
    <w:autoRedefine/>
    <w:qFormat/>
    <w:uiPriority w:val="0"/>
    <w:pPr>
      <w:adjustRightInd w:val="0"/>
      <w:snapToGrid w:val="0"/>
      <w:spacing w:line="360" w:lineRule="auto"/>
    </w:pPr>
    <w:rPr>
      <w:sz w:val="24"/>
    </w:rPr>
  </w:style>
  <w:style w:type="paragraph" w:customStyle="1" w:styleId="198">
    <w:name w:val="内容标题"/>
    <w:basedOn w:val="19"/>
    <w:autoRedefine/>
    <w:qFormat/>
    <w:uiPriority w:val="0"/>
    <w:rPr>
      <w:rFonts w:ascii="Tahoma" w:hAnsi="Tahoma"/>
      <w:sz w:val="24"/>
    </w:rPr>
  </w:style>
  <w:style w:type="paragraph" w:customStyle="1" w:styleId="199">
    <w:name w:val="1"/>
    <w:basedOn w:val="1"/>
    <w:next w:val="31"/>
    <w:autoRedefine/>
    <w:qFormat/>
    <w:uiPriority w:val="0"/>
    <w:rPr>
      <w:rFonts w:ascii="宋体" w:hAnsi="Courier New"/>
      <w:sz w:val="21"/>
    </w:rPr>
  </w:style>
  <w:style w:type="paragraph" w:customStyle="1" w:styleId="200">
    <w:name w:val="_Style 3"/>
    <w:basedOn w:val="1"/>
    <w:autoRedefine/>
    <w:qFormat/>
    <w:uiPriority w:val="99"/>
    <w:pPr>
      <w:ind w:firstLine="420" w:firstLineChars="200"/>
    </w:pPr>
    <w:rPr>
      <w:sz w:val="21"/>
      <w:szCs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0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6">
    <w:name w:val="Title - Revision"/>
    <w:basedOn w:val="54"/>
    <w:qFormat/>
    <w:uiPriority w:val="0"/>
    <w:pPr>
      <w:spacing w:before="720"/>
    </w:pPr>
  </w:style>
  <w:style w:type="paragraph" w:customStyle="1" w:styleId="207">
    <w:name w:val="标题3——2"/>
    <w:basedOn w:val="6"/>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08">
    <w:name w:val="列出段落1"/>
    <w:basedOn w:val="1"/>
    <w:unhideWhenUsed/>
    <w:qFormat/>
    <w:uiPriority w:val="34"/>
    <w:pPr>
      <w:ind w:firstLine="420" w:firstLineChars="200"/>
    </w:pPr>
    <w:rPr>
      <w:sz w:val="21"/>
      <w:szCs w:val="24"/>
    </w:rPr>
  </w:style>
  <w:style w:type="paragraph" w:customStyle="1" w:styleId="209">
    <w:name w:val="Char1 Char Char Char"/>
    <w:basedOn w:val="1"/>
    <w:qFormat/>
    <w:uiPriority w:val="0"/>
    <w:rPr>
      <w:rFonts w:ascii="Tahoma" w:hAnsi="Tahoma"/>
      <w:sz w:val="30"/>
    </w:rPr>
  </w:style>
  <w:style w:type="paragraph" w:customStyle="1" w:styleId="210">
    <w:name w:val="移动五期"/>
    <w:basedOn w:val="1"/>
    <w:qFormat/>
    <w:uiPriority w:val="0"/>
    <w:pPr>
      <w:spacing w:line="360" w:lineRule="auto"/>
      <w:ind w:firstLine="454"/>
    </w:pPr>
    <w:rPr>
      <w:rFonts w:ascii="宋体" w:hAnsi="Times New Roman"/>
      <w:sz w:val="24"/>
    </w:rPr>
  </w:style>
  <w:style w:type="paragraph" w:customStyle="1" w:styleId="21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2">
    <w:name w:val="Char Char Char Char Char Char Char"/>
    <w:basedOn w:val="19"/>
    <w:qFormat/>
    <w:uiPriority w:val="0"/>
    <w:rPr>
      <w:rFonts w:ascii="宋体" w:hAnsi="Tahoma"/>
    </w:rPr>
  </w:style>
  <w:style w:type="paragraph" w:customStyle="1" w:styleId="213">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1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7">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218">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标书正文:  0.74 厘米"/>
    <w:basedOn w:val="1"/>
    <w:qFormat/>
    <w:uiPriority w:val="0"/>
    <w:pPr>
      <w:snapToGrid w:val="0"/>
      <w:spacing w:line="360" w:lineRule="auto"/>
      <w:ind w:firstLine="420"/>
    </w:pPr>
    <w:rPr>
      <w:sz w:val="24"/>
    </w:rPr>
  </w:style>
  <w:style w:type="paragraph" w:customStyle="1" w:styleId="222">
    <w:name w:val="Char1"/>
    <w:basedOn w:val="1"/>
    <w:qFormat/>
    <w:uiPriority w:val="0"/>
    <w:rPr>
      <w:sz w:val="21"/>
    </w:rPr>
  </w:style>
  <w:style w:type="paragraph" w:customStyle="1" w:styleId="223">
    <w:name w:val="正文（首行不缩进）"/>
    <w:basedOn w:val="1"/>
    <w:qFormat/>
    <w:uiPriority w:val="0"/>
    <w:pPr>
      <w:autoSpaceDE w:val="0"/>
      <w:autoSpaceDN w:val="0"/>
      <w:adjustRightInd w:val="0"/>
      <w:spacing w:line="360" w:lineRule="auto"/>
      <w:jc w:val="left"/>
    </w:pPr>
    <w:rPr>
      <w:kern w:val="0"/>
      <w:sz w:val="21"/>
    </w:rPr>
  </w:style>
  <w:style w:type="paragraph" w:customStyle="1" w:styleId="2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5">
    <w:name w:val="标题无"/>
    <w:basedOn w:val="1"/>
    <w:qFormat/>
    <w:uiPriority w:val="0"/>
    <w:pPr>
      <w:spacing w:line="360" w:lineRule="auto"/>
    </w:pPr>
    <w:rPr>
      <w:sz w:val="24"/>
    </w:rPr>
  </w:style>
  <w:style w:type="paragraph" w:customStyle="1" w:styleId="226">
    <w:name w:val="首行缩进"/>
    <w:basedOn w:val="1"/>
    <w:qFormat/>
    <w:uiPriority w:val="0"/>
    <w:pPr>
      <w:numPr>
        <w:ilvl w:val="0"/>
        <w:numId w:val="13"/>
      </w:numPr>
      <w:spacing w:line="360" w:lineRule="auto"/>
    </w:pPr>
    <w:rPr>
      <w:rFonts w:eastAsia="仿宋_GB2312"/>
    </w:rPr>
  </w:style>
  <w:style w:type="paragraph" w:customStyle="1" w:styleId="227">
    <w:name w:val="附录3"/>
    <w:basedOn w:val="1"/>
    <w:next w:val="1"/>
    <w:qFormat/>
    <w:uiPriority w:val="0"/>
    <w:pPr>
      <w:tabs>
        <w:tab w:val="left" w:pos="851"/>
      </w:tabs>
      <w:ind w:left="425" w:hanging="425"/>
      <w:outlineLvl w:val="2"/>
    </w:pPr>
    <w:rPr>
      <w:rFonts w:eastAsia="黑体"/>
      <w:b/>
      <w:sz w:val="32"/>
    </w:rPr>
  </w:style>
  <w:style w:type="paragraph" w:customStyle="1" w:styleId="228">
    <w:name w:val="Char Char14 Char Char"/>
    <w:basedOn w:val="1"/>
    <w:qFormat/>
    <w:uiPriority w:val="0"/>
    <w:rPr>
      <w:sz w:val="21"/>
      <w:szCs w:val="24"/>
    </w:rPr>
  </w:style>
  <w:style w:type="paragraph" w:customStyle="1" w:styleId="229">
    <w:name w:val="样式1xz"/>
    <w:basedOn w:val="1"/>
    <w:qFormat/>
    <w:uiPriority w:val="0"/>
    <w:pPr>
      <w:tabs>
        <w:tab w:val="left" w:pos="1050"/>
        <w:tab w:val="right" w:leader="dot" w:pos="8296"/>
      </w:tabs>
    </w:pPr>
    <w:rPr>
      <w:caps/>
      <w:spacing w:val="20"/>
      <w:sz w:val="24"/>
    </w:rPr>
  </w:style>
  <w:style w:type="paragraph" w:customStyle="1" w:styleId="230">
    <w:name w:val="表头文本"/>
    <w:qFormat/>
    <w:uiPriority w:val="0"/>
    <w:pPr>
      <w:jc w:val="center"/>
    </w:pPr>
    <w:rPr>
      <w:rFonts w:ascii="Arial" w:hAnsi="Arial" w:eastAsia="宋体" w:cs="Times New Roman"/>
      <w:b/>
      <w:sz w:val="21"/>
      <w:lang w:val="en-US" w:eastAsia="zh-CN" w:bidi="ar-SA"/>
    </w:rPr>
  </w:style>
  <w:style w:type="paragraph" w:customStyle="1" w:styleId="231">
    <w:name w:val="Char Char Char"/>
    <w:basedOn w:val="1"/>
    <w:qFormat/>
    <w:uiPriority w:val="0"/>
    <w:rPr>
      <w:rFonts w:ascii="Tahoma" w:hAnsi="Tahoma"/>
      <w:sz w:val="24"/>
    </w:rPr>
  </w:style>
  <w:style w:type="paragraph" w:customStyle="1" w:styleId="232">
    <w:name w:val="Char Char 字元 字元 字元 Char Char Char Char"/>
    <w:basedOn w:val="1"/>
    <w:qFormat/>
    <w:uiPriority w:val="0"/>
    <w:pPr>
      <w:adjustRightInd w:val="0"/>
      <w:spacing w:line="360" w:lineRule="auto"/>
    </w:pPr>
    <w:rPr>
      <w:kern w:val="0"/>
      <w:sz w:val="24"/>
    </w:rPr>
  </w:style>
  <w:style w:type="paragraph" w:customStyle="1" w:styleId="23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34">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36">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37">
    <w:name w:val="表号"/>
    <w:basedOn w:val="1"/>
    <w:qFormat/>
    <w:uiPriority w:val="0"/>
    <w:pPr>
      <w:numPr>
        <w:ilvl w:val="0"/>
        <w:numId w:val="1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3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9">
    <w:name w:val="Char Char Char Char Char Char Char1"/>
    <w:basedOn w:val="1"/>
    <w:qFormat/>
    <w:uiPriority w:val="0"/>
    <w:rPr>
      <w:rFonts w:ascii="Tahoma" w:hAnsi="Tahoma"/>
      <w:sz w:val="24"/>
    </w:rPr>
  </w:style>
  <w:style w:type="paragraph" w:customStyle="1" w:styleId="24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4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42">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43">
    <w:name w:val="表头样式"/>
    <w:basedOn w:val="1"/>
    <w:qFormat/>
    <w:uiPriority w:val="0"/>
    <w:pPr>
      <w:autoSpaceDE w:val="0"/>
      <w:autoSpaceDN w:val="0"/>
      <w:adjustRightInd w:val="0"/>
      <w:spacing w:line="360" w:lineRule="auto"/>
      <w:jc w:val="left"/>
    </w:pPr>
    <w:rPr>
      <w:b/>
      <w:kern w:val="0"/>
      <w:sz w:val="21"/>
    </w:rPr>
  </w:style>
  <w:style w:type="paragraph" w:customStyle="1" w:styleId="244">
    <w:name w:val="_"/>
    <w:basedOn w:val="1"/>
    <w:qFormat/>
    <w:uiPriority w:val="0"/>
    <w:pPr>
      <w:adjustRightInd w:val="0"/>
      <w:spacing w:line="360" w:lineRule="auto"/>
      <w:ind w:left="480" w:firstLine="200" w:firstLineChars="200"/>
      <w:textAlignment w:val="baseline"/>
    </w:pPr>
    <w:rPr>
      <w:kern w:val="0"/>
      <w:sz w:val="24"/>
    </w:rPr>
  </w:style>
  <w:style w:type="paragraph" w:customStyle="1" w:styleId="24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4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4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8">
    <w:name w:val="文本1"/>
    <w:basedOn w:val="1"/>
    <w:qFormat/>
    <w:uiPriority w:val="0"/>
    <w:pPr>
      <w:adjustRightInd w:val="0"/>
      <w:spacing w:line="312" w:lineRule="atLeast"/>
      <w:jc w:val="center"/>
      <w:textAlignment w:val="baseline"/>
    </w:pPr>
    <w:rPr>
      <w:kern w:val="0"/>
      <w:sz w:val="18"/>
    </w:rPr>
  </w:style>
  <w:style w:type="paragraph" w:customStyle="1" w:styleId="249">
    <w:name w:val="图例"/>
    <w:basedOn w:val="1"/>
    <w:qFormat/>
    <w:uiPriority w:val="0"/>
    <w:pPr>
      <w:spacing w:before="120" w:after="120" w:line="360" w:lineRule="auto"/>
      <w:jc w:val="center"/>
    </w:pPr>
    <w:rPr>
      <w:rFonts w:eastAsia="仿宋_GB2312"/>
      <w:b/>
      <w:sz w:val="24"/>
    </w:rPr>
  </w:style>
  <w:style w:type="paragraph" w:customStyle="1" w:styleId="250">
    <w:name w:val="Char2"/>
    <w:basedOn w:val="1"/>
    <w:qFormat/>
    <w:uiPriority w:val="0"/>
    <w:pPr>
      <w:spacing w:line="240" w:lineRule="atLeast"/>
      <w:ind w:left="420" w:firstLine="420"/>
    </w:pPr>
    <w:rPr>
      <w:kern w:val="0"/>
      <w:sz w:val="21"/>
    </w:rPr>
  </w:style>
  <w:style w:type="paragraph" w:customStyle="1" w:styleId="251">
    <w:name w:val="可研正文"/>
    <w:basedOn w:val="2"/>
    <w:qFormat/>
    <w:uiPriority w:val="0"/>
    <w:pPr>
      <w:adjustRightInd w:val="0"/>
      <w:snapToGrid w:val="0"/>
      <w:spacing w:line="440" w:lineRule="exact"/>
      <w:ind w:firstLine="567"/>
    </w:pPr>
    <w:rPr>
      <w:sz w:val="28"/>
    </w:rPr>
  </w:style>
  <w:style w:type="paragraph" w:customStyle="1" w:styleId="252">
    <w:name w:val="编号正文"/>
    <w:basedOn w:val="216"/>
    <w:qFormat/>
    <w:uiPriority w:val="0"/>
    <w:pPr>
      <w:snapToGrid/>
      <w:spacing w:line="360" w:lineRule="auto"/>
      <w:ind w:left="1407" w:hanging="1047"/>
      <w:jc w:val="left"/>
    </w:pPr>
    <w:rPr>
      <w:rFonts w:eastAsia="仿宋_GB2312"/>
    </w:rPr>
  </w:style>
  <w:style w:type="paragraph" w:customStyle="1" w:styleId="25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54">
    <w:name w:val="正文表格"/>
    <w:basedOn w:val="1"/>
    <w:qFormat/>
    <w:uiPriority w:val="0"/>
    <w:pPr>
      <w:adjustRightInd w:val="0"/>
      <w:spacing w:before="40" w:after="40"/>
    </w:pPr>
    <w:rPr>
      <w:sz w:val="24"/>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56">
    <w:name w:val="正文字缩2字"/>
    <w:basedOn w:val="1"/>
    <w:qFormat/>
    <w:uiPriority w:val="0"/>
    <w:pPr>
      <w:spacing w:before="60" w:after="60" w:line="360" w:lineRule="auto"/>
      <w:ind w:left="200" w:leftChars="200" w:firstLine="200" w:firstLineChars="200"/>
    </w:pPr>
    <w:rPr>
      <w:sz w:val="24"/>
    </w:rPr>
  </w:style>
  <w:style w:type="paragraph" w:customStyle="1" w:styleId="257">
    <w:name w:val="样式4"/>
    <w:basedOn w:val="7"/>
    <w:uiPriority w:val="0"/>
    <w:pPr>
      <w:adjustRightInd w:val="0"/>
      <w:snapToGrid w:val="0"/>
    </w:pPr>
  </w:style>
  <w:style w:type="paragraph" w:customStyle="1" w:styleId="258">
    <w:name w:val="正文 A"/>
    <w:qFormat/>
    <w:uiPriority w:val="0"/>
    <w:pPr>
      <w:widowControl w:val="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2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60">
    <w:name w:val="样式 宋体 五号 行距: 单倍行距"/>
    <w:basedOn w:val="1"/>
    <w:qFormat/>
    <w:uiPriority w:val="0"/>
    <w:pPr>
      <w:adjustRightInd w:val="0"/>
      <w:jc w:val="left"/>
    </w:pPr>
    <w:rPr>
      <w:rFonts w:ascii="宋体" w:hAnsi="宋体"/>
      <w:kern w:val="0"/>
      <w:sz w:val="21"/>
    </w:rPr>
  </w:style>
  <w:style w:type="paragraph" w:customStyle="1" w:styleId="261">
    <w:name w:val="表格文本"/>
    <w:qFormat/>
    <w:uiPriority w:val="0"/>
    <w:pPr>
      <w:tabs>
        <w:tab w:val="decimal" w:pos="0"/>
      </w:tabs>
    </w:pPr>
    <w:rPr>
      <w:rFonts w:ascii="Arial" w:hAnsi="Arial" w:eastAsia="宋体" w:cs="Times New Roman"/>
      <w:sz w:val="21"/>
      <w:lang w:val="en-US" w:eastAsia="zh-CN" w:bidi="ar-SA"/>
    </w:rPr>
  </w:style>
  <w:style w:type="paragraph" w:customStyle="1" w:styleId="262">
    <w:name w:val="Char1 Char Char Char1"/>
    <w:basedOn w:val="1"/>
    <w:qFormat/>
    <w:uiPriority w:val="0"/>
    <w:rPr>
      <w:rFonts w:ascii="Tahoma" w:hAnsi="Tahoma"/>
      <w:sz w:val="24"/>
    </w:rPr>
  </w:style>
  <w:style w:type="paragraph" w:customStyle="1" w:styleId="26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64">
    <w:name w:val="样式 行距: 1.5 倍行距1"/>
    <w:basedOn w:val="1"/>
    <w:qFormat/>
    <w:uiPriority w:val="0"/>
    <w:pPr>
      <w:snapToGrid w:val="0"/>
    </w:pPr>
    <w:rPr>
      <w:sz w:val="21"/>
    </w:rPr>
  </w:style>
  <w:style w:type="paragraph" w:customStyle="1" w:styleId="265">
    <w:name w:val="正文缩进_0"/>
    <w:basedOn w:val="1"/>
    <w:qFormat/>
    <w:uiPriority w:val="0"/>
    <w:pPr>
      <w:ind w:firstLine="420"/>
    </w:pPr>
    <w:rPr>
      <w:rFonts w:ascii="Times New Roman" w:hAnsi="Times New Roman" w:eastAsia="Times New Roman"/>
      <w:kern w:val="0"/>
      <w:sz w:val="24"/>
      <w:szCs w:val="24"/>
    </w:rPr>
  </w:style>
  <w:style w:type="paragraph" w:customStyle="1" w:styleId="266">
    <w:name w:val="修订1"/>
    <w:hidden/>
    <w:semiHidden/>
    <w:qFormat/>
    <w:uiPriority w:val="99"/>
    <w:rPr>
      <w:rFonts w:ascii="Calibri" w:hAnsi="Calibri" w:eastAsia="宋体" w:cs="Times New Roman"/>
      <w:kern w:val="2"/>
      <w:sz w:val="28"/>
      <w:lang w:val="en-US" w:eastAsia="zh-CN" w:bidi="ar-SA"/>
    </w:rPr>
  </w:style>
  <w:style w:type="paragraph" w:customStyle="1" w:styleId="267">
    <w:name w:val="修订2"/>
    <w:hidden/>
    <w:semiHidden/>
    <w:qFormat/>
    <w:uiPriority w:val="99"/>
    <w:rPr>
      <w:rFonts w:ascii="Calibri" w:hAnsi="Calibri" w:eastAsia="宋体" w:cs="Times New Roman"/>
      <w:kern w:val="2"/>
      <w:sz w:val="28"/>
      <w:lang w:val="en-US" w:eastAsia="zh-CN" w:bidi="ar-SA"/>
    </w:rPr>
  </w:style>
  <w:style w:type="paragraph" w:customStyle="1" w:styleId="268">
    <w:name w:val="修订3"/>
    <w:hidden/>
    <w:semiHidden/>
    <w:qFormat/>
    <w:uiPriority w:val="99"/>
    <w:rPr>
      <w:rFonts w:ascii="Calibri" w:hAnsi="Calibri" w:eastAsia="宋体" w:cs="Times New Roman"/>
      <w:kern w:val="2"/>
      <w:sz w:val="28"/>
      <w:lang w:val="en-US" w:eastAsia="zh-CN" w:bidi="ar-SA"/>
    </w:rPr>
  </w:style>
  <w:style w:type="paragraph" w:customStyle="1" w:styleId="269">
    <w:name w:val="Revision"/>
    <w:hidden/>
    <w:semiHidden/>
    <w:uiPriority w:val="99"/>
    <w:rPr>
      <w:rFonts w:ascii="Calibri" w:hAnsi="Calibri"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3387</Words>
  <Characters>19309</Characters>
  <Lines>160</Lines>
  <Paragraphs>45</Paragraphs>
  <TotalTime>65</TotalTime>
  <ScaleCrop>false</ScaleCrop>
  <LinksUpToDate>false</LinksUpToDate>
  <CharactersWithSpaces>22651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2022-03-07T06:30:00Z</dcterms:created>
  <dc:creator>罗成</dc:creator>
  <cp:lastModifiedBy>刘小小呀</cp:lastModifiedBy>
  <cp:lastPrinted>2020-09-18T07:14:00Z</cp:lastPrinted>
  <dcterms:modified xsi:type="dcterms:W3CDTF">2024-04-25T06:45:21Z</dcterms:modified>
  <dc:title>竞争性谈判文件</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3C944FE0F01C487D9340A51BD8A5A565_13</vt:lpwstr>
  </property>
</Properties>
</file>