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r>
        <w:rPr>
          <w:rFonts w:hint="eastAsia"/>
        </w:rPr>
        <w:t>采购代理机构备</w:t>
      </w:r>
      <w:r>
        <w:rPr>
          <w:rFonts w:hint="eastAsia" w:ascii="宋体" w:hAnsi="宋体"/>
        </w:rPr>
        <w:t>案号：CQCBJQ</w:t>
      </w:r>
      <w:r>
        <w:rPr>
          <w:rFonts w:ascii="宋体" w:hAnsi="宋体"/>
        </w:rPr>
        <w:t>240</w:t>
      </w:r>
      <w:r>
        <w:rPr>
          <w:rFonts w:hint="eastAsia" w:ascii="宋体" w:hAnsi="宋体"/>
        </w:rPr>
        <w:t>5</w:t>
      </w:r>
      <w:r>
        <w:rPr>
          <w:rFonts w:ascii="宋体" w:hAnsi="宋体"/>
        </w:rPr>
        <w:t>-</w:t>
      </w:r>
    </w:p>
    <w:p>
      <w:pPr>
        <w:jc w:val="center"/>
      </w:pPr>
    </w:p>
    <w:p>
      <w:pPr>
        <w:jc w:val="center"/>
        <w:outlineLvl w:val="0"/>
        <w:rPr>
          <w:rFonts w:ascii="宋体" w:hAnsi="宋体"/>
          <w:b/>
          <w:sz w:val="52"/>
          <w:szCs w:val="52"/>
        </w:rPr>
      </w:pPr>
    </w:p>
    <w:p>
      <w:pPr>
        <w:jc w:val="center"/>
        <w:outlineLvl w:val="0"/>
        <w:rPr>
          <w:rFonts w:ascii="宋体" w:hAnsi="宋体"/>
          <w:b/>
          <w:sz w:val="52"/>
          <w:szCs w:val="52"/>
        </w:rPr>
      </w:pPr>
      <w:r>
        <w:rPr>
          <w:rFonts w:hint="eastAsia" w:ascii="宋体" w:hAnsi="宋体"/>
          <w:b/>
          <w:sz w:val="52"/>
          <w:szCs w:val="52"/>
        </w:rPr>
        <w:t>西洽会物流服务主题活动项目</w:t>
      </w:r>
    </w:p>
    <w:p>
      <w:pPr>
        <w:outlineLvl w:val="0"/>
        <w:rPr>
          <w:rFonts w:ascii="宋体" w:hAnsi="宋体"/>
          <w:spacing w:val="80"/>
          <w:sz w:val="72"/>
          <w:szCs w:val="72"/>
        </w:rPr>
      </w:pPr>
    </w:p>
    <w:p>
      <w:pPr>
        <w:pStyle w:val="3"/>
      </w:pPr>
    </w:p>
    <w:p>
      <w:pPr>
        <w:pStyle w:val="2"/>
      </w:pPr>
    </w:p>
    <w:p>
      <w:pPr>
        <w:pStyle w:val="3"/>
      </w:pPr>
    </w:p>
    <w:p/>
    <w:p>
      <w:pPr>
        <w:pStyle w:val="2"/>
      </w:pPr>
    </w:p>
    <w:p>
      <w:pPr>
        <w:jc w:val="center"/>
        <w:outlineLvl w:val="0"/>
        <w:rPr>
          <w:rFonts w:ascii="宋体" w:hAnsi="宋体"/>
          <w:spacing w:val="80"/>
          <w:sz w:val="72"/>
          <w:szCs w:val="72"/>
        </w:rPr>
      </w:pPr>
      <w:bookmarkStart w:id="160" w:name="_GoBack"/>
      <w:bookmarkEnd w:id="160"/>
    </w:p>
    <w:p>
      <w:pPr>
        <w:jc w:val="center"/>
        <w:outlineLvl w:val="0"/>
        <w:rPr>
          <w:spacing w:val="80"/>
          <w:sz w:val="72"/>
          <w:szCs w:val="72"/>
        </w:rPr>
      </w:pPr>
      <w:r>
        <w:rPr>
          <w:spacing w:val="80"/>
          <w:sz w:val="72"/>
          <w:szCs w:val="72"/>
        </w:rPr>
        <w:t>竞争性比选文件</w:t>
      </w:r>
    </w:p>
    <w:p>
      <w:pPr>
        <w:spacing w:line="700" w:lineRule="exact"/>
        <w:jc w:val="center"/>
        <w:rPr>
          <w:sz w:val="36"/>
          <w:szCs w:val="30"/>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w:t>
      </w:r>
      <w:r>
        <w:rPr>
          <w:rFonts w:hint="eastAsia" w:ascii="宋体" w:hAnsi="宋体"/>
          <w:sz w:val="36"/>
          <w:szCs w:val="30"/>
        </w:rPr>
        <w:t>006</w:t>
      </w:r>
    </w:p>
    <w:p>
      <w:pPr>
        <w:spacing w:line="700" w:lineRule="exact"/>
        <w:jc w:val="center"/>
        <w:rPr>
          <w:sz w:val="36"/>
          <w:szCs w:val="30"/>
        </w:rPr>
      </w:pPr>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pStyle w:val="2"/>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五</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"_Toc165877836" </w:instrText>
      </w:r>
      <w:r>
        <w:fldChar w:fldCharType="separate"/>
      </w:r>
      <w:r>
        <w:rPr>
          <w:rStyle w:val="65"/>
          <w:rFonts w:ascii="宋体" w:hAnsi="宋体"/>
        </w:rPr>
        <w:t>第一篇  采购邀请书</w:t>
      </w:r>
      <w:r>
        <w:tab/>
      </w:r>
      <w:r>
        <w:fldChar w:fldCharType="begin"/>
      </w:r>
      <w:r>
        <w:instrText xml:space="preserve"> PAGEREF _Toc165877836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"_Toc165877837" </w:instrText>
      </w:r>
      <w:r>
        <w:fldChar w:fldCharType="separate"/>
      </w:r>
      <w:r>
        <w:rPr>
          <w:rStyle w:val="65"/>
          <w:rFonts w:ascii="宋体" w:hAnsi="宋体"/>
        </w:rPr>
        <w:t>一、竞争性比选内容</w:t>
      </w:r>
      <w:r>
        <w:tab/>
      </w:r>
      <w:r>
        <w:fldChar w:fldCharType="begin"/>
      </w:r>
      <w:r>
        <w:instrText xml:space="preserve"> PAGEREF _Toc165877837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"_Toc165877838" </w:instrText>
      </w:r>
      <w:r>
        <w:fldChar w:fldCharType="separate"/>
      </w:r>
      <w:r>
        <w:rPr>
          <w:rStyle w:val="65"/>
          <w:rFonts w:ascii="宋体" w:hAnsi="宋体"/>
        </w:rPr>
        <w:t>二、资金来源</w:t>
      </w:r>
      <w:r>
        <w:tab/>
      </w:r>
      <w:r>
        <w:fldChar w:fldCharType="begin"/>
      </w:r>
      <w:r>
        <w:instrText xml:space="preserve"> PAGEREF _Toc165877838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"_Toc165877839" </w:instrText>
      </w:r>
      <w:r>
        <w:fldChar w:fldCharType="separate"/>
      </w:r>
      <w:r>
        <w:rPr>
          <w:rStyle w:val="65"/>
          <w:rFonts w:ascii="宋体" w:hAnsi="宋体"/>
        </w:rPr>
        <w:t>三、供应商资格条件</w:t>
      </w:r>
      <w:r>
        <w:tab/>
      </w:r>
      <w:r>
        <w:fldChar w:fldCharType="begin"/>
      </w:r>
      <w:r>
        <w:instrText xml:space="preserve"> PAGEREF _Toc165877839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"_Toc165877840" </w:instrText>
      </w:r>
      <w:r>
        <w:fldChar w:fldCharType="separate"/>
      </w:r>
      <w:r>
        <w:rPr>
          <w:rStyle w:val="65"/>
          <w:rFonts w:ascii="宋体" w:hAnsi="宋体"/>
        </w:rPr>
        <w:t>四、比选有关说明</w:t>
      </w:r>
      <w:r>
        <w:tab/>
      </w:r>
      <w:r>
        <w:fldChar w:fldCharType="begin"/>
      </w:r>
      <w:r>
        <w:instrText xml:space="preserve"> PAGEREF _Toc165877840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"_Toc165877841" </w:instrText>
      </w:r>
      <w:r>
        <w:fldChar w:fldCharType="separate"/>
      </w:r>
      <w:r>
        <w:rPr>
          <w:rStyle w:val="65"/>
          <w:rFonts w:ascii="宋体" w:hAnsi="宋体"/>
        </w:rPr>
        <w:t>五、比选保证金</w:t>
      </w:r>
      <w:r>
        <w:tab/>
      </w:r>
      <w:r>
        <w:fldChar w:fldCharType="begin"/>
      </w:r>
      <w:r>
        <w:instrText xml:space="preserve"> PAGEREF _Toc165877841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"_Toc165877842" </w:instrText>
      </w:r>
      <w:r>
        <w:fldChar w:fldCharType="separate"/>
      </w:r>
      <w:r>
        <w:rPr>
          <w:rStyle w:val="65"/>
          <w:rFonts w:ascii="宋体" w:hAnsi="宋体"/>
        </w:rPr>
        <w:t>六、采购项目需落实的政府采购政策</w:t>
      </w:r>
      <w:r>
        <w:tab/>
      </w:r>
      <w:r>
        <w:fldChar w:fldCharType="begin"/>
      </w:r>
      <w:r>
        <w:instrText xml:space="preserve"> PAGEREF _Toc165877842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"_Toc165877843" </w:instrText>
      </w:r>
      <w:r>
        <w:fldChar w:fldCharType="separate"/>
      </w:r>
      <w:r>
        <w:rPr>
          <w:rStyle w:val="65"/>
          <w:rFonts w:ascii="宋体" w:hAnsi="宋体"/>
        </w:rPr>
        <w:t>七、其它有关规定</w:t>
      </w:r>
      <w:r>
        <w:tab/>
      </w:r>
      <w:r>
        <w:fldChar w:fldCharType="begin"/>
      </w:r>
      <w:r>
        <w:instrText xml:space="preserve"> PAGEREF _Toc165877843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"_Toc165877844" </w:instrText>
      </w:r>
      <w:r>
        <w:fldChar w:fldCharType="separate"/>
      </w:r>
      <w:r>
        <w:rPr>
          <w:rStyle w:val="65"/>
          <w:rFonts w:ascii="宋体" w:hAnsi="宋体"/>
        </w:rPr>
        <w:t>八、联系方式</w:t>
      </w:r>
      <w:r>
        <w:tab/>
      </w:r>
      <w:r>
        <w:fldChar w:fldCharType="begin"/>
      </w:r>
      <w:r>
        <w:instrText xml:space="preserve"> PAGEREF _Toc165877844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"_Toc165877845" </w:instrText>
      </w:r>
      <w:r>
        <w:fldChar w:fldCharType="separate"/>
      </w:r>
      <w:r>
        <w:rPr>
          <w:rStyle w:val="65"/>
          <w:rFonts w:ascii="宋体" w:hAnsi="宋体"/>
        </w:rPr>
        <w:t>第二篇  采购技术和服务需求</w:t>
      </w:r>
      <w:r>
        <w:tab/>
      </w:r>
      <w:r>
        <w:fldChar w:fldCharType="begin"/>
      </w:r>
      <w:r>
        <w:instrText xml:space="preserve"> PAGEREF _Toc165877845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"_Toc165877846" </w:instrText>
      </w:r>
      <w:r>
        <w:fldChar w:fldCharType="separate"/>
      </w:r>
      <w:r>
        <w:rPr>
          <w:rStyle w:val="65"/>
          <w:rFonts w:ascii="宋体" w:hAnsi="宋体"/>
        </w:rPr>
        <w:t>一、项目概况</w:t>
      </w:r>
      <w:r>
        <w:tab/>
      </w:r>
      <w:r>
        <w:fldChar w:fldCharType="begin"/>
      </w:r>
      <w:r>
        <w:instrText xml:space="preserve"> PAGEREF _Toc165877846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"_Toc165877847" </w:instrText>
      </w:r>
      <w:r>
        <w:fldChar w:fldCharType="separate"/>
      </w:r>
      <w:r>
        <w:rPr>
          <w:rStyle w:val="65"/>
          <w:rFonts w:ascii="宋体" w:hAnsi="宋体"/>
        </w:rPr>
        <w:t>※二、服务内容</w:t>
      </w:r>
      <w:r>
        <w:tab/>
      </w:r>
      <w:r>
        <w:fldChar w:fldCharType="begin"/>
      </w:r>
      <w:r>
        <w:instrText xml:space="preserve"> PAGEREF _Toc165877847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"_Toc165877848" </w:instrText>
      </w:r>
      <w:r>
        <w:fldChar w:fldCharType="separate"/>
      </w:r>
      <w:r>
        <w:rPr>
          <w:rStyle w:val="65"/>
          <w:rFonts w:ascii="宋体" w:hAnsi="宋体"/>
        </w:rPr>
        <w:t>※三、服务要求</w:t>
      </w:r>
      <w:r>
        <w:tab/>
      </w:r>
      <w:r>
        <w:fldChar w:fldCharType="begin"/>
      </w:r>
      <w:r>
        <w:instrText xml:space="preserve"> PAGEREF _Toc165877848 \h </w:instrText>
      </w:r>
      <w:r>
        <w:fldChar w:fldCharType="separate"/>
      </w:r>
      <w:r>
        <w:t>- 8 -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"_Toc165877849" </w:instrText>
      </w:r>
      <w:r>
        <w:fldChar w:fldCharType="separate"/>
      </w:r>
      <w:r>
        <w:rPr>
          <w:rStyle w:val="65"/>
          <w:rFonts w:ascii="宋体" w:hAnsi="宋体"/>
        </w:rPr>
        <w:t>四、其他要求</w:t>
      </w:r>
      <w:r>
        <w:tab/>
      </w:r>
      <w:r>
        <w:fldChar w:fldCharType="begin"/>
      </w:r>
      <w:r>
        <w:instrText xml:space="preserve"> PAGEREF _Toc165877849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"_Toc165877850" </w:instrText>
      </w:r>
      <w:r>
        <w:fldChar w:fldCharType="separate"/>
      </w:r>
      <w:r>
        <w:rPr>
          <w:rStyle w:val="65"/>
          <w:rFonts w:ascii="宋体" w:hAnsi="宋体"/>
        </w:rPr>
        <w:t>五、现场踏勘</w:t>
      </w:r>
      <w:r>
        <w:tab/>
      </w:r>
      <w:r>
        <w:fldChar w:fldCharType="begin"/>
      </w:r>
      <w:r>
        <w:instrText xml:space="preserve"> PAGEREF _Toc165877850 \h </w:instrText>
      </w:r>
      <w:r>
        <w:fldChar w:fldCharType="separate"/>
      </w:r>
      <w:r>
        <w:t>- 9 -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"_Toc165877851" </w:instrText>
      </w:r>
      <w:r>
        <w:fldChar w:fldCharType="separate"/>
      </w:r>
      <w:r>
        <w:rPr>
          <w:rStyle w:val="65"/>
          <w:rFonts w:ascii="宋体" w:hAnsi="宋体"/>
        </w:rPr>
        <w:t>第三篇  项目商务需求</w:t>
      </w:r>
      <w:r>
        <w:tab/>
      </w:r>
      <w:r>
        <w:fldChar w:fldCharType="begin"/>
      </w:r>
      <w:r>
        <w:instrText xml:space="preserve"> PAGEREF _Toc165877851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"_Toc165877852" </w:instrText>
      </w:r>
      <w:r>
        <w:fldChar w:fldCharType="separate"/>
      </w:r>
      <w:r>
        <w:rPr>
          <w:rStyle w:val="65"/>
          <w:rFonts w:ascii="宋体" w:hAnsi="宋体"/>
        </w:rPr>
        <w:t>※一、完成时间、服务地点及验收方式</w:t>
      </w:r>
      <w:r>
        <w:tab/>
      </w:r>
      <w:r>
        <w:fldChar w:fldCharType="begin"/>
      </w:r>
      <w:r>
        <w:instrText xml:space="preserve"> PAGEREF _Toc165877852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"_Toc165877853" </w:instrText>
      </w:r>
      <w:r>
        <w:fldChar w:fldCharType="separate"/>
      </w:r>
      <w:r>
        <w:rPr>
          <w:rStyle w:val="65"/>
          <w:rFonts w:ascii="宋体" w:hAnsi="宋体"/>
        </w:rPr>
        <w:t>※二、保障要求</w:t>
      </w:r>
      <w:r>
        <w:tab/>
      </w:r>
      <w:r>
        <w:fldChar w:fldCharType="begin"/>
      </w:r>
      <w:r>
        <w:instrText xml:space="preserve"> PAGEREF _Toc165877853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"_Toc165877854" </w:instrText>
      </w:r>
      <w:r>
        <w:fldChar w:fldCharType="separate"/>
      </w:r>
      <w:r>
        <w:rPr>
          <w:rStyle w:val="65"/>
          <w:rFonts w:ascii="宋体" w:hAnsi="宋体"/>
        </w:rPr>
        <w:t>※三、报价要求</w:t>
      </w:r>
      <w:r>
        <w:tab/>
      </w:r>
      <w:r>
        <w:fldChar w:fldCharType="begin"/>
      </w:r>
      <w:r>
        <w:instrText xml:space="preserve"> PAGEREF _Toc165877854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"_Toc165877855" </w:instrText>
      </w:r>
      <w:r>
        <w:fldChar w:fldCharType="separate"/>
      </w:r>
      <w:r>
        <w:rPr>
          <w:rStyle w:val="65"/>
          <w:rFonts w:ascii="宋体" w:hAnsi="宋体"/>
        </w:rPr>
        <w:t>※四、付款方式</w:t>
      </w:r>
      <w:r>
        <w:tab/>
      </w:r>
      <w:r>
        <w:fldChar w:fldCharType="begin"/>
      </w:r>
      <w:r>
        <w:instrText xml:space="preserve"> PAGEREF _Toc165877855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"_Toc165877856" </w:instrText>
      </w:r>
      <w:r>
        <w:fldChar w:fldCharType="separate"/>
      </w:r>
      <w:r>
        <w:rPr>
          <w:rStyle w:val="65"/>
          <w:rFonts w:ascii="宋体" w:hAnsi="宋体"/>
        </w:rPr>
        <w:t>※五、保密要求</w:t>
      </w:r>
      <w:r>
        <w:tab/>
      </w:r>
      <w:r>
        <w:fldChar w:fldCharType="begin"/>
      </w:r>
      <w:r>
        <w:instrText xml:space="preserve"> PAGEREF _Toc165877856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"_Toc165877857" </w:instrText>
      </w:r>
      <w:r>
        <w:fldChar w:fldCharType="separate"/>
      </w:r>
      <w:r>
        <w:rPr>
          <w:rStyle w:val="65"/>
          <w:rFonts w:ascii="宋体" w:hAnsi="宋体"/>
        </w:rPr>
        <w:t>※六、知识产权</w:t>
      </w:r>
      <w:r>
        <w:tab/>
      </w:r>
      <w:r>
        <w:fldChar w:fldCharType="begin"/>
      </w:r>
      <w:r>
        <w:instrText xml:space="preserve"> PAGEREF _Toc165877857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"_Toc165877858" </w:instrText>
      </w:r>
      <w:r>
        <w:fldChar w:fldCharType="separate"/>
      </w:r>
      <w:r>
        <w:rPr>
          <w:rStyle w:val="65"/>
          <w:rFonts w:ascii="宋体" w:hAnsi="宋体"/>
        </w:rPr>
        <w:t>※七、不可抗力</w:t>
      </w:r>
      <w:r>
        <w:tab/>
      </w:r>
      <w:r>
        <w:fldChar w:fldCharType="begin"/>
      </w:r>
      <w:r>
        <w:instrText xml:space="preserve"> PAGEREF _Toc165877858 \h </w:instrText>
      </w:r>
      <w:r>
        <w:fldChar w:fldCharType="separate"/>
      </w:r>
      <w:r>
        <w:t>- 12 -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"_Toc165877859" </w:instrText>
      </w:r>
      <w:r>
        <w:fldChar w:fldCharType="separate"/>
      </w:r>
      <w:r>
        <w:rPr>
          <w:rStyle w:val="65"/>
          <w:rFonts w:ascii="宋体" w:hAnsi="宋体"/>
        </w:rPr>
        <w:t>八、其他</w:t>
      </w:r>
      <w:r>
        <w:tab/>
      </w:r>
      <w:r>
        <w:fldChar w:fldCharType="begin"/>
      </w:r>
      <w:r>
        <w:instrText xml:space="preserve"> PAGEREF _Toc165877859 \h </w:instrText>
      </w:r>
      <w:r>
        <w:fldChar w:fldCharType="separate"/>
      </w:r>
      <w:r>
        <w:t>- 12 -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"_Toc165877860" </w:instrText>
      </w:r>
      <w:r>
        <w:fldChar w:fldCharType="separate"/>
      </w:r>
      <w:r>
        <w:rPr>
          <w:rStyle w:val="65"/>
          <w:rFonts w:ascii="宋体" w:hAnsi="宋体"/>
        </w:rPr>
        <w:t>第四篇  比选程序及方法、评审标准、无效响应和采购终止</w:t>
      </w:r>
      <w:r>
        <w:tab/>
      </w:r>
      <w:r>
        <w:fldChar w:fldCharType="begin"/>
      </w:r>
      <w:r>
        <w:instrText xml:space="preserve"> PAGEREF _Toc165877860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"_Toc165877861" </w:instrText>
      </w:r>
      <w:r>
        <w:fldChar w:fldCharType="separate"/>
      </w:r>
      <w:r>
        <w:rPr>
          <w:rStyle w:val="65"/>
          <w:rFonts w:ascii="宋体" w:hAnsi="宋体"/>
        </w:rPr>
        <w:t>一、比选程序及方法</w:t>
      </w:r>
      <w:r>
        <w:tab/>
      </w:r>
      <w:r>
        <w:fldChar w:fldCharType="begin"/>
      </w:r>
      <w:r>
        <w:instrText xml:space="preserve"> PAGEREF _Toc165877861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"_Toc165877862" </w:instrText>
      </w:r>
      <w:r>
        <w:fldChar w:fldCharType="separate"/>
      </w:r>
      <w:r>
        <w:rPr>
          <w:rStyle w:val="65"/>
          <w:rFonts w:ascii="宋体" w:hAnsi="宋体"/>
        </w:rPr>
        <w:t>二、评审标准</w:t>
      </w:r>
      <w:r>
        <w:tab/>
      </w:r>
      <w:r>
        <w:fldChar w:fldCharType="begin"/>
      </w:r>
      <w:r>
        <w:instrText xml:space="preserve"> PAGEREF _Toc165877862 \h </w:instrText>
      </w:r>
      <w:r>
        <w:fldChar w:fldCharType="separate"/>
      </w:r>
      <w:r>
        <w:t>- 15 -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"_Toc165877863" </w:instrText>
      </w:r>
      <w:r>
        <w:fldChar w:fldCharType="separate"/>
      </w:r>
      <w:r>
        <w:rPr>
          <w:rStyle w:val="65"/>
          <w:rFonts w:ascii="宋体" w:hAnsi="宋体"/>
        </w:rPr>
        <w:t>三、无效响应</w:t>
      </w:r>
      <w:r>
        <w:tab/>
      </w:r>
      <w:r>
        <w:fldChar w:fldCharType="begin"/>
      </w:r>
      <w:r>
        <w:instrText xml:space="preserve"> PAGEREF _Toc165877863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"_Toc165877864" </w:instrText>
      </w:r>
      <w:r>
        <w:fldChar w:fldCharType="separate"/>
      </w:r>
      <w:r>
        <w:rPr>
          <w:rStyle w:val="65"/>
          <w:rFonts w:ascii="宋体" w:hAnsi="宋体"/>
        </w:rPr>
        <w:t>四、采购终止</w:t>
      </w:r>
      <w:r>
        <w:tab/>
      </w:r>
      <w:r>
        <w:fldChar w:fldCharType="begin"/>
      </w:r>
      <w:r>
        <w:instrText xml:space="preserve"> PAGEREF _Toc165877864 \h </w:instrText>
      </w:r>
      <w:r>
        <w:fldChar w:fldCharType="separate"/>
      </w:r>
      <w:r>
        <w:t>- 17 -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"_Toc165877865" </w:instrText>
      </w:r>
      <w:r>
        <w:fldChar w:fldCharType="separate"/>
      </w:r>
      <w:r>
        <w:rPr>
          <w:rStyle w:val="65"/>
          <w:rFonts w:ascii="宋体" w:hAnsi="宋体"/>
        </w:rPr>
        <w:t>第五篇  供应商须知</w:t>
      </w:r>
      <w:r>
        <w:tab/>
      </w:r>
      <w:r>
        <w:fldChar w:fldCharType="begin"/>
      </w:r>
      <w:r>
        <w:instrText xml:space="preserve"> PAGEREF _Toc165877865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"_Toc165877866" </w:instrText>
      </w:r>
      <w:r>
        <w:fldChar w:fldCharType="separate"/>
      </w:r>
      <w:r>
        <w:rPr>
          <w:rStyle w:val="65"/>
          <w:rFonts w:ascii="宋体" w:hAnsi="宋体"/>
        </w:rPr>
        <w:t>一、比选费用</w:t>
      </w:r>
      <w:r>
        <w:tab/>
      </w:r>
      <w:r>
        <w:fldChar w:fldCharType="begin"/>
      </w:r>
      <w:r>
        <w:instrText xml:space="preserve"> PAGEREF _Toc165877866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"_Toc165877867" </w:instrText>
      </w:r>
      <w:r>
        <w:fldChar w:fldCharType="separate"/>
      </w:r>
      <w:r>
        <w:rPr>
          <w:rStyle w:val="65"/>
          <w:rFonts w:ascii="宋体" w:hAnsi="宋体"/>
        </w:rPr>
        <w:t>二、竞争性比选文件</w:t>
      </w:r>
      <w:r>
        <w:tab/>
      </w:r>
      <w:r>
        <w:fldChar w:fldCharType="begin"/>
      </w:r>
      <w:r>
        <w:instrText xml:space="preserve"> PAGEREF _Toc165877867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"_Toc165877868" </w:instrText>
      </w:r>
      <w:r>
        <w:fldChar w:fldCharType="separate"/>
      </w:r>
      <w:r>
        <w:rPr>
          <w:rStyle w:val="65"/>
          <w:rFonts w:ascii="宋体" w:hAnsi="宋体"/>
        </w:rPr>
        <w:t>三、比选要求</w:t>
      </w:r>
      <w:r>
        <w:tab/>
      </w:r>
      <w:r>
        <w:fldChar w:fldCharType="begin"/>
      </w:r>
      <w:r>
        <w:instrText xml:space="preserve"> PAGEREF _Toc165877868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"_Toc165877869" </w:instrText>
      </w:r>
      <w:r>
        <w:fldChar w:fldCharType="separate"/>
      </w:r>
      <w:r>
        <w:rPr>
          <w:rStyle w:val="65"/>
          <w:rFonts w:ascii="宋体" w:hAnsi="宋体"/>
        </w:rPr>
        <w:t>四、成交供应商的确认和变更</w:t>
      </w:r>
      <w:r>
        <w:tab/>
      </w:r>
      <w:r>
        <w:fldChar w:fldCharType="begin"/>
      </w:r>
      <w:r>
        <w:instrText xml:space="preserve"> PAGEREF _Toc165877869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"_Toc165877870" </w:instrText>
      </w:r>
      <w:r>
        <w:fldChar w:fldCharType="separate"/>
      </w:r>
      <w:r>
        <w:rPr>
          <w:rStyle w:val="65"/>
          <w:rFonts w:ascii="宋体" w:hAnsi="宋体"/>
        </w:rPr>
        <w:t>五、成交通知</w:t>
      </w:r>
      <w:r>
        <w:tab/>
      </w:r>
      <w:r>
        <w:fldChar w:fldCharType="begin"/>
      </w:r>
      <w:r>
        <w:instrText xml:space="preserve"> PAGEREF _Toc165877870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"_Toc165877871" </w:instrText>
      </w:r>
      <w:r>
        <w:fldChar w:fldCharType="separate"/>
      </w:r>
      <w:r>
        <w:rPr>
          <w:rStyle w:val="65"/>
          <w:rFonts w:ascii="宋体" w:hAnsi="宋体"/>
        </w:rPr>
        <w:t>六、关于质疑和投诉</w:t>
      </w:r>
      <w:r>
        <w:tab/>
      </w:r>
      <w:r>
        <w:fldChar w:fldCharType="begin"/>
      </w:r>
      <w:r>
        <w:instrText xml:space="preserve"> PAGEREF _Toc165877871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"_Toc165877872" </w:instrText>
      </w:r>
      <w:r>
        <w:fldChar w:fldCharType="separate"/>
      </w:r>
      <w:r>
        <w:rPr>
          <w:rStyle w:val="65"/>
          <w:rFonts w:ascii="宋体" w:hAnsi="宋体"/>
        </w:rPr>
        <w:t>七、采购代理服务费</w:t>
      </w:r>
      <w:r>
        <w:tab/>
      </w:r>
      <w:r>
        <w:fldChar w:fldCharType="begin"/>
      </w:r>
      <w:r>
        <w:instrText xml:space="preserve"> PAGEREF _Toc165877872 \h </w:instrText>
      </w:r>
      <w:r>
        <w:fldChar w:fldCharType="separate"/>
      </w:r>
      <w:r>
        <w:t>- 22 -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"_Toc165877873" </w:instrText>
      </w:r>
      <w:r>
        <w:fldChar w:fldCharType="separate"/>
      </w:r>
      <w:r>
        <w:rPr>
          <w:rStyle w:val="65"/>
          <w:rFonts w:ascii="宋体" w:hAnsi="宋体"/>
        </w:rPr>
        <w:t>八、签订合同</w:t>
      </w:r>
      <w:r>
        <w:tab/>
      </w:r>
      <w:r>
        <w:fldChar w:fldCharType="begin"/>
      </w:r>
      <w:r>
        <w:instrText xml:space="preserve"> PAGEREF _Toc165877873 \h </w:instrText>
      </w:r>
      <w:r>
        <w:fldChar w:fldCharType="separate"/>
      </w:r>
      <w:r>
        <w:t>- 22 -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"_Toc165877874" </w:instrText>
      </w:r>
      <w:r>
        <w:fldChar w:fldCharType="separate"/>
      </w:r>
      <w:r>
        <w:rPr>
          <w:rStyle w:val="65"/>
          <w:rFonts w:ascii="宋体" w:hAnsi="宋体"/>
        </w:rPr>
        <w:t>第六篇  合同草案条款</w:t>
      </w:r>
      <w:r>
        <w:tab/>
      </w:r>
      <w:r>
        <w:fldChar w:fldCharType="begin"/>
      </w:r>
      <w:r>
        <w:instrText xml:space="preserve"> PAGEREF _Toc165877874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"_Toc165877875" </w:instrText>
      </w:r>
      <w:r>
        <w:fldChar w:fldCharType="separate"/>
      </w:r>
      <w:r>
        <w:rPr>
          <w:rStyle w:val="65"/>
          <w:rFonts w:ascii="宋体" w:hAnsi="宋体"/>
        </w:rPr>
        <w:t>第七篇  响应文件编制要求</w:t>
      </w:r>
      <w:r>
        <w:tab/>
      </w:r>
      <w:r>
        <w:fldChar w:fldCharType="begin"/>
      </w:r>
      <w:r>
        <w:instrText xml:space="preserve"> PAGEREF _Toc165877875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"_Toc165877876" </w:instrText>
      </w:r>
      <w:r>
        <w:fldChar w:fldCharType="separate"/>
      </w:r>
      <w:r>
        <w:rPr>
          <w:rStyle w:val="65"/>
          <w:rFonts w:ascii="宋体" w:hAnsi="宋体"/>
        </w:rPr>
        <w:t>一、经济部分</w:t>
      </w:r>
      <w:r>
        <w:tab/>
      </w:r>
      <w:r>
        <w:fldChar w:fldCharType="begin"/>
      </w:r>
      <w:r>
        <w:instrText xml:space="preserve"> PAGEREF _Toc165877876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"_Toc165877877" </w:instrText>
      </w:r>
      <w:r>
        <w:fldChar w:fldCharType="separate"/>
      </w:r>
      <w:r>
        <w:rPr>
          <w:rStyle w:val="65"/>
          <w:rFonts w:ascii="宋体" w:hAnsi="宋体"/>
        </w:rPr>
        <w:t>二、技术部分</w:t>
      </w:r>
      <w:r>
        <w:tab/>
      </w:r>
      <w:r>
        <w:fldChar w:fldCharType="begin"/>
      </w:r>
      <w:r>
        <w:instrText xml:space="preserve"> PAGEREF _Toc165877877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"_Toc165877878" </w:instrText>
      </w:r>
      <w:r>
        <w:fldChar w:fldCharType="separate"/>
      </w:r>
      <w:r>
        <w:rPr>
          <w:rStyle w:val="65"/>
          <w:rFonts w:ascii="宋体" w:hAnsi="宋体"/>
        </w:rPr>
        <w:t>三、商务部分</w:t>
      </w:r>
      <w:r>
        <w:tab/>
      </w:r>
      <w:r>
        <w:fldChar w:fldCharType="begin"/>
      </w:r>
      <w:r>
        <w:instrText xml:space="preserve"> PAGEREF _Toc165877878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"_Toc165877879" </w:instrText>
      </w:r>
      <w:r>
        <w:fldChar w:fldCharType="separate"/>
      </w:r>
      <w:r>
        <w:rPr>
          <w:rStyle w:val="65"/>
          <w:rFonts w:ascii="宋体" w:hAnsi="宋体"/>
        </w:rPr>
        <w:t>四、资格条件及其他</w:t>
      </w:r>
      <w:r>
        <w:tab/>
      </w:r>
      <w:r>
        <w:fldChar w:fldCharType="begin"/>
      </w:r>
      <w:r>
        <w:instrText xml:space="preserve"> PAGEREF _Toc165877879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65877836"/>
      <w:bookmarkStart w:id="1" w:name="_Toc12789052"/>
      <w:bookmarkStart w:id="2" w:name="_Toc11641050"/>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重庆市人民政府口岸和物流办公室的委托，对西洽会物流服务主题活动项目（项目号：</w:t>
      </w:r>
      <w:r>
        <w:rPr>
          <w:rFonts w:ascii="宋体" w:hAnsi="宋体"/>
          <w:sz w:val="24"/>
          <w:szCs w:val="24"/>
        </w:rPr>
        <w:t>SZFKAWLCG2024-</w:t>
      </w:r>
      <w:r>
        <w:rPr>
          <w:rFonts w:hint="eastAsia" w:ascii="宋体" w:hAnsi="宋体"/>
          <w:sz w:val="24"/>
          <w:szCs w:val="24"/>
        </w:rPr>
        <w:t>006）进行竞争性比选采购。欢迎有资格的供应商前来参与比选。</w:t>
      </w:r>
    </w:p>
    <w:p>
      <w:pPr>
        <w:pStyle w:val="6"/>
        <w:spacing w:before="0" w:after="0" w:line="360" w:lineRule="auto"/>
        <w:ind w:firstLine="480" w:firstLineChars="200"/>
        <w:rPr>
          <w:rFonts w:ascii="宋体" w:hAnsi="宋体"/>
          <w:sz w:val="24"/>
          <w:szCs w:val="24"/>
        </w:rPr>
      </w:pPr>
      <w:bookmarkStart w:id="3" w:name="_Toc313893526"/>
      <w:bookmarkStart w:id="4" w:name="_Toc317775175"/>
      <w:bookmarkStart w:id="5" w:name="_Toc165877837"/>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1134"/>
        <w:gridCol w:w="1389"/>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98"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89"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98"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西洽会物流服务主题活动项目</w:t>
            </w:r>
          </w:p>
        </w:tc>
        <w:tc>
          <w:tcPr>
            <w:tcW w:w="113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49</w:t>
            </w:r>
          </w:p>
        </w:tc>
        <w:tc>
          <w:tcPr>
            <w:tcW w:w="138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9800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租赁和商务服务业</w:t>
            </w:r>
          </w:p>
        </w:tc>
      </w:tr>
      <w:bookmarkEnd w:id="8"/>
    </w:tbl>
    <w:p>
      <w:pPr>
        <w:pStyle w:val="6"/>
        <w:spacing w:before="0" w:after="0" w:line="360" w:lineRule="auto"/>
        <w:ind w:firstLine="480" w:firstLineChars="200"/>
        <w:rPr>
          <w:rFonts w:ascii="宋体" w:hAnsi="宋体"/>
          <w:sz w:val="24"/>
          <w:szCs w:val="24"/>
        </w:rPr>
      </w:pPr>
      <w:bookmarkStart w:id="9" w:name="_Toc165877838"/>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49 </w:t>
      </w:r>
      <w:r>
        <w:rPr>
          <w:rFonts w:hint="eastAsia" w:ascii="宋体" w:hAnsi="宋体"/>
          <w:sz w:val="24"/>
          <w:szCs w:val="24"/>
        </w:rPr>
        <w:t xml:space="preserve"> 万元。</w:t>
      </w:r>
    </w:p>
    <w:bookmarkEnd w:id="6"/>
    <w:bookmarkEnd w:id="7"/>
    <w:p>
      <w:pPr>
        <w:pStyle w:val="6"/>
        <w:spacing w:before="0" w:after="0" w:line="360" w:lineRule="auto"/>
        <w:ind w:firstLine="480" w:firstLineChars="200"/>
        <w:rPr>
          <w:rFonts w:ascii="宋体" w:hAnsi="宋体"/>
          <w:sz w:val="24"/>
          <w:szCs w:val="24"/>
        </w:rPr>
      </w:pPr>
      <w:bookmarkStart w:id="10" w:name="_Toc75258773"/>
      <w:bookmarkStart w:id="11" w:name="_Toc165877839"/>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0" w:firstLineChars="200"/>
        <w:rPr>
          <w:rFonts w:ascii="宋体" w:hAnsi="宋体"/>
          <w:sz w:val="24"/>
          <w:szCs w:val="24"/>
        </w:rPr>
      </w:pPr>
      <w:bookmarkStart w:id="13" w:name="_Toc165877840"/>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pPr>
              <w:jc w:val="center"/>
              <w:rPr>
                <w:sz w:val="30"/>
                <w:szCs w:val="30"/>
              </w:rPr>
            </w:pPr>
            <w:r>
              <w:rPr>
                <w:sz w:val="30"/>
                <w:szCs w:val="30"/>
              </w:rPr>
              <w:t>SZFKAWLCG2024-</w:t>
            </w:r>
            <w:r>
              <w:rPr>
                <w:rFonts w:hint="eastAsia"/>
                <w:sz w:val="30"/>
                <w:szCs w:val="30"/>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西洽会物流服务主题活动项目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联系人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手机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办公电话</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传真</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E-mail</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注：发票为数电发票，于标书费支付后5个工作日内开具，请于国家税务总局电子税务局——我要办税——税务数字账户——全量发票查询处，查询下载。</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（三）竞争性比选文件报名期限：2024年5月6日-2024年5月11日（9:00-17:00）。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2024年</w:t>
      </w:r>
      <w:r>
        <w:rPr>
          <w:rFonts w:hint="eastAsia" w:ascii="宋体" w:hAnsi="宋体"/>
          <w:sz w:val="24"/>
          <w:szCs w:val="24"/>
        </w:rPr>
        <w:t>5月13日北京时间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2024年</w:t>
      </w:r>
      <w:r>
        <w:rPr>
          <w:rFonts w:hint="eastAsia" w:ascii="宋体" w:hAnsi="宋体"/>
          <w:sz w:val="24"/>
          <w:szCs w:val="24"/>
        </w:rPr>
        <w:t>5月13日北京时间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pPr>
        <w:pStyle w:val="6"/>
        <w:spacing w:before="0" w:after="0" w:line="360" w:lineRule="auto"/>
        <w:ind w:firstLine="480" w:firstLineChars="200"/>
        <w:rPr>
          <w:rFonts w:ascii="宋体" w:hAnsi="宋体"/>
          <w:sz w:val="24"/>
          <w:szCs w:val="24"/>
        </w:rPr>
      </w:pPr>
      <w:bookmarkStart w:id="14" w:name="_Toc165877841"/>
      <w:bookmarkStart w:id="15" w:name="_Toc75258775"/>
      <w:bookmarkStart w:id="16" w:name="_Toc373860294"/>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），由供应商从其单位账户将比选保证金汇至以下任一账户，比选保证金的到账截止时间为2024年5月12日17:00。缴纳保证金时必须备注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0" w:firstLineChars="200"/>
        <w:rPr>
          <w:rFonts w:ascii="宋体" w:hAnsi="宋体"/>
          <w:sz w:val="24"/>
          <w:szCs w:val="24"/>
        </w:rPr>
      </w:pPr>
      <w:bookmarkStart w:id="18" w:name="_Toc165877842"/>
      <w:bookmarkStart w:id="19" w:name="_Toc75258776"/>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0" w:firstLineChars="200"/>
        <w:rPr>
          <w:rFonts w:ascii="宋体" w:hAnsi="宋体"/>
          <w:sz w:val="24"/>
          <w:szCs w:val="24"/>
        </w:rPr>
      </w:pPr>
      <w:bookmarkStart w:id="20" w:name="_Toc75258777"/>
      <w:bookmarkStart w:id="21" w:name="_Toc165877843"/>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sz w:val="24"/>
          <w:szCs w:val="24"/>
        </w:rPr>
      </w:pPr>
      <w:bookmarkStart w:id="22" w:name="_Toc165877844"/>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联系人：陈老师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话：（023）63151936</w:t>
      </w:r>
    </w:p>
    <w:p>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sz w:val="36"/>
          <w:szCs w:val="30"/>
        </w:rPr>
      </w:pPr>
      <w:bookmarkStart w:id="26" w:name="_Toc165877845"/>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sz w:val="24"/>
          <w:szCs w:val="24"/>
        </w:rPr>
      </w:pPr>
      <w:bookmarkStart w:id="30" w:name="_Toc78194435"/>
      <w:bookmarkStart w:id="31" w:name="_Toc18057005"/>
      <w:bookmarkStart w:id="32" w:name="_Toc30016"/>
      <w:bookmarkStart w:id="33" w:name="_Toc165877846"/>
      <w:bookmarkStart w:id="34" w:name="_Toc28856"/>
      <w:bookmarkStart w:id="35" w:name="_Toc88841556"/>
      <w:r>
        <w:rPr>
          <w:rFonts w:hint="eastAsia" w:ascii="宋体" w:hAnsi="宋体"/>
          <w:sz w:val="24"/>
          <w:szCs w:val="24"/>
        </w:rPr>
        <w:t>一、</w:t>
      </w:r>
      <w:bookmarkEnd w:id="30"/>
      <w:bookmarkEnd w:id="31"/>
      <w:bookmarkEnd w:id="32"/>
      <w:r>
        <w:rPr>
          <w:rFonts w:hint="eastAsia" w:ascii="宋体" w:hAnsi="宋体"/>
          <w:sz w:val="24"/>
          <w:szCs w:val="24"/>
        </w:rPr>
        <w:t>项目概况</w:t>
      </w:r>
      <w:bookmarkEnd w:id="33"/>
      <w:bookmarkEnd w:id="34"/>
      <w:bookmarkEnd w:id="35"/>
    </w:p>
    <w:p>
      <w:pPr>
        <w:widowControl/>
        <w:spacing w:line="360" w:lineRule="auto"/>
        <w:ind w:firstLine="480" w:firstLineChars="200"/>
        <w:rPr>
          <w:rFonts w:ascii="宋体" w:hAnsi="宋体"/>
          <w:sz w:val="24"/>
          <w:szCs w:val="24"/>
        </w:rPr>
      </w:pPr>
      <w:bookmarkStart w:id="36" w:name="_Toc15181"/>
      <w:bookmarkStart w:id="37" w:name="_Toc18057007"/>
      <w:bookmarkStart w:id="38" w:name="_Toc78194436"/>
      <w:bookmarkStart w:id="39" w:name="_Toc88841557"/>
      <w:r>
        <w:rPr>
          <w:rFonts w:hint="eastAsia" w:ascii="宋体" w:hAnsi="宋体"/>
          <w:sz w:val="24"/>
          <w:szCs w:val="24"/>
        </w:rPr>
        <w:t>第六届中国西部国际投资贸易洽谈会（以下简称西洽会）拟于2024年5月23—26日在重庆市举办。根据大会总体方案内容，我委牵头负责第六届中国西部国际投资贸易洽谈会现代物流服务现代化产业高质量发展推介会及“制造+商贸+物流”商务洽谈活动组织实施。聚焦“33618”现代制造业、“渝车出海”物流需求，拟邀请相关领域专家学者就提升物流综合服务水平，深化产业链供应链协同发展、构建现代物流体系相关案例分享。同时邀请市内外生产、商贸、物流、货代等企业代表就物流需求、物流解决方案、专业物流服务等进行现场推介。旨在搭建供需交流对接平台，邀请重庆市生产、商贸、物流、货代等企业开展现场物流供需对接和洽谈。</w:t>
      </w:r>
    </w:p>
    <w:p>
      <w:pPr>
        <w:widowControl/>
        <w:spacing w:line="360" w:lineRule="auto"/>
        <w:ind w:firstLine="480" w:firstLineChars="200"/>
        <w:rPr>
          <w:rFonts w:ascii="宋体" w:hAnsi="宋体"/>
          <w:sz w:val="24"/>
          <w:szCs w:val="24"/>
        </w:rPr>
      </w:pPr>
      <w:r>
        <w:rPr>
          <w:rFonts w:hint="eastAsia" w:ascii="宋体" w:hAnsi="宋体"/>
          <w:sz w:val="24"/>
          <w:szCs w:val="24"/>
        </w:rPr>
        <w:t>活动名称：第六届中国西部国际投资贸易洽谈会现代物流服务现代化产业高质量发展推介会及“制造+商贸+物流”商务洽谈活动</w:t>
      </w:r>
    </w:p>
    <w:p>
      <w:pPr>
        <w:widowControl/>
        <w:spacing w:line="360" w:lineRule="auto"/>
        <w:ind w:firstLine="480" w:firstLineChars="200"/>
        <w:rPr>
          <w:rFonts w:ascii="宋体" w:hAnsi="宋体"/>
          <w:sz w:val="24"/>
          <w:szCs w:val="24"/>
        </w:rPr>
      </w:pPr>
      <w:r>
        <w:rPr>
          <w:rFonts w:hint="eastAsia" w:ascii="宋体" w:hAnsi="宋体"/>
          <w:sz w:val="24"/>
          <w:szCs w:val="24"/>
        </w:rPr>
        <w:t>活动主题： 现代物流服务现代化产业高质量发展</w:t>
      </w:r>
    </w:p>
    <w:p>
      <w:pPr>
        <w:widowControl/>
        <w:spacing w:line="360" w:lineRule="auto"/>
        <w:ind w:firstLine="480" w:firstLineChars="200"/>
        <w:rPr>
          <w:rFonts w:ascii="宋体" w:hAnsi="宋体"/>
          <w:sz w:val="24"/>
          <w:szCs w:val="24"/>
        </w:rPr>
      </w:pPr>
      <w:r>
        <w:rPr>
          <w:rFonts w:hint="eastAsia" w:ascii="宋体" w:hAnsi="宋体"/>
          <w:sz w:val="24"/>
          <w:szCs w:val="24"/>
        </w:rPr>
        <w:t>活动时间：2024年5月23日（星期四）14:30—17:00（最终以采购人确定的时间为准）</w:t>
      </w:r>
    </w:p>
    <w:p>
      <w:pPr>
        <w:widowControl/>
        <w:spacing w:line="360" w:lineRule="auto"/>
        <w:ind w:firstLine="480" w:firstLineChars="200"/>
        <w:rPr>
          <w:rFonts w:ascii="宋体" w:hAnsi="宋体"/>
          <w:sz w:val="24"/>
          <w:szCs w:val="24"/>
        </w:rPr>
      </w:pPr>
      <w:r>
        <w:rPr>
          <w:rFonts w:hint="eastAsia" w:ascii="宋体" w:hAnsi="宋体"/>
          <w:sz w:val="24"/>
          <w:szCs w:val="24"/>
        </w:rPr>
        <w:t>活动地点：重庆国际博览中心N6馆（具体地点最终以采购人确定为准）</w:t>
      </w:r>
    </w:p>
    <w:p>
      <w:pPr>
        <w:widowControl/>
        <w:spacing w:line="360" w:lineRule="auto"/>
        <w:ind w:firstLine="480" w:firstLineChars="200"/>
        <w:rPr>
          <w:rFonts w:ascii="宋体" w:hAnsi="宋体"/>
          <w:sz w:val="24"/>
          <w:szCs w:val="24"/>
        </w:rPr>
      </w:pPr>
      <w:r>
        <w:rPr>
          <w:rFonts w:hint="eastAsia" w:ascii="宋体" w:hAnsi="宋体"/>
          <w:sz w:val="24"/>
          <w:szCs w:val="24"/>
        </w:rPr>
        <w:t>活动规模：200人左右</w:t>
      </w:r>
    </w:p>
    <w:p>
      <w:pPr>
        <w:pStyle w:val="6"/>
        <w:spacing w:before="0" w:after="0" w:line="360" w:lineRule="auto"/>
        <w:ind w:firstLine="480" w:firstLineChars="200"/>
        <w:rPr>
          <w:rFonts w:ascii="宋体" w:hAnsi="宋体"/>
          <w:sz w:val="24"/>
          <w:szCs w:val="24"/>
        </w:rPr>
      </w:pPr>
      <w:bookmarkStart w:id="40" w:name="_Toc165877847"/>
      <w:bookmarkStart w:id="41" w:name="_Toc28407"/>
      <w:r>
        <w:rPr>
          <w:rFonts w:hint="eastAsia" w:ascii="宋体" w:hAnsi="宋体"/>
          <w:sz w:val="24"/>
          <w:szCs w:val="24"/>
        </w:rPr>
        <w:t>※二</w:t>
      </w:r>
      <w:bookmarkEnd w:id="36"/>
      <w:bookmarkEnd w:id="37"/>
      <w:bookmarkEnd w:id="38"/>
      <w:r>
        <w:rPr>
          <w:rFonts w:hint="eastAsia" w:ascii="宋体" w:hAnsi="宋体"/>
          <w:sz w:val="24"/>
          <w:szCs w:val="24"/>
        </w:rPr>
        <w:t>、</w:t>
      </w:r>
      <w:bookmarkEnd w:id="39"/>
      <w:r>
        <w:rPr>
          <w:rFonts w:hint="eastAsia" w:ascii="宋体" w:hAnsi="宋体"/>
          <w:sz w:val="24"/>
          <w:szCs w:val="24"/>
        </w:rPr>
        <w:t>服务内容</w:t>
      </w:r>
      <w:bookmarkEnd w:id="40"/>
      <w:bookmarkEnd w:id="41"/>
    </w:p>
    <w:p>
      <w:pPr>
        <w:widowControl/>
        <w:snapToGrid w:val="0"/>
        <w:spacing w:line="360" w:lineRule="auto"/>
        <w:ind w:firstLine="480" w:firstLineChars="200"/>
        <w:rPr>
          <w:rFonts w:ascii="宋体" w:hAnsi="宋体"/>
          <w:sz w:val="24"/>
          <w:szCs w:val="24"/>
        </w:rPr>
      </w:pPr>
      <w:bookmarkStart w:id="42" w:name="_Toc24743"/>
      <w:r>
        <w:rPr>
          <w:rFonts w:hint="eastAsia" w:ascii="宋体" w:hAnsi="宋体"/>
          <w:sz w:val="24"/>
          <w:szCs w:val="24"/>
        </w:rPr>
        <w:t>（一）活动内容策划、方案制定、嘉宾邀请。主要包括：</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1.活动内容策划。包括但不限于活动内容策划、设计及各类工作材料撰写等。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2.方案制定。包括但不限于活动方案及执行文件等。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3.嘉宾邀请。包括邀请重要嘉宾及企业代表参会，嘉宾住宿、重要嘉宾用车、嘉宾用餐及嘉宾接待和全程引导服务等。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（二）会场服务。主要包括：</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1.活动场地布置。包括但不限于活动场地的设备配置调试、装饰及搭建等。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2.管理及服务。</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（1）与主办机构、相关部门及单位沟通协调；</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（2）现场执行、过程管控；</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（3）现场综合服务及保障。</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（三）媒体宣传推广服务。邀请相关媒体参加活动，配合提供新闻宣传素材，并做好活动撰稿、宣传影像、图片、录音等资料汇总整理。</w:t>
      </w:r>
    </w:p>
    <w:p>
      <w:pPr>
        <w:widowControl/>
        <w:snapToGrid w:val="0"/>
        <w:spacing w:line="360" w:lineRule="auto"/>
        <w:ind w:firstLine="480" w:firstLineChars="200"/>
        <w:rPr>
          <w:rFonts w:ascii="宋体" w:hAnsi="宋体"/>
          <w:sz w:val="24"/>
          <w:szCs w:val="24"/>
        </w:rPr>
      </w:pPr>
      <w:r>
        <w:rPr>
          <w:rFonts w:hint="eastAsia" w:ascii="宋体" w:hAnsi="宋体"/>
          <w:sz w:val="24"/>
          <w:szCs w:val="24"/>
        </w:rPr>
        <w:t>（四）完成本项目涉及的其他工作内容。</w:t>
      </w:r>
    </w:p>
    <w:p>
      <w:pPr>
        <w:pStyle w:val="6"/>
        <w:spacing w:before="0" w:after="0" w:line="360" w:lineRule="auto"/>
        <w:ind w:firstLine="480" w:firstLineChars="200"/>
        <w:rPr>
          <w:rFonts w:ascii="宋体" w:hAnsi="宋体"/>
          <w:sz w:val="24"/>
          <w:szCs w:val="24"/>
        </w:rPr>
      </w:pPr>
      <w:bookmarkStart w:id="43" w:name="_Toc118914616"/>
      <w:bookmarkStart w:id="44" w:name="_Toc15702"/>
      <w:bookmarkStart w:id="45" w:name="_Toc165877848"/>
      <w:r>
        <w:rPr>
          <w:rFonts w:hint="eastAsia" w:ascii="宋体" w:hAnsi="宋体"/>
          <w:sz w:val="24"/>
          <w:szCs w:val="24"/>
        </w:rPr>
        <w:t>※三、</w:t>
      </w:r>
      <w:bookmarkEnd w:id="43"/>
      <w:r>
        <w:rPr>
          <w:rFonts w:hint="eastAsia" w:ascii="宋体" w:hAnsi="宋体"/>
          <w:sz w:val="24"/>
          <w:szCs w:val="24"/>
        </w:rPr>
        <w:t>服务要求</w:t>
      </w:r>
      <w:bookmarkEnd w:id="44"/>
      <w:bookmarkEnd w:id="45"/>
    </w:p>
    <w:p>
      <w:pPr>
        <w:widowControl/>
        <w:snapToGrid w:val="0"/>
        <w:spacing w:line="360" w:lineRule="auto"/>
        <w:ind w:firstLine="480" w:firstLineChars="200"/>
        <w:rPr>
          <w:rFonts w:ascii="宋体" w:hAnsi="宋体"/>
          <w:sz w:val="24"/>
          <w:szCs w:val="24"/>
        </w:rPr>
      </w:pPr>
      <w:r>
        <w:rPr>
          <w:rFonts w:hint="eastAsia" w:ascii="宋体" w:hAnsi="宋体"/>
          <w:sz w:val="24"/>
          <w:szCs w:val="24"/>
        </w:rPr>
        <w:t>（一）具体要求</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1.活动整体策划方案要契合“现代物流服务现代化产业高质量发展推介会”主题，符合“制造+商贸+物流”商务洽谈活动内容；展示区和交流洽谈区设计与活动主题相结合。</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2.本项目的各环节设置、重要嘉宾邀请以及客商邀请要切合活动主题，人员安排调度适当，邀客邀商要充分考虑重庆现代物流业发展需求，并列出拟邀请名单。</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3.邀请市内重点物流企业、商贸企业、制造业企业不少于200家，并列出拟邀请名单。</w:t>
      </w:r>
    </w:p>
    <w:p>
      <w:pPr>
        <w:widowControl/>
        <w:snapToGrid w:val="0"/>
        <w:spacing w:line="360" w:lineRule="auto"/>
        <w:ind w:firstLine="480" w:firstLineChars="200"/>
        <w:rPr>
          <w:rFonts w:ascii="宋体" w:hAnsi="宋体"/>
          <w:sz w:val="24"/>
          <w:szCs w:val="24"/>
        </w:rPr>
      </w:pPr>
      <w:r>
        <w:rPr>
          <w:rFonts w:hint="eastAsia" w:ascii="宋体" w:hAnsi="宋体"/>
          <w:sz w:val="24"/>
          <w:szCs w:val="24"/>
        </w:rPr>
        <w:t>4.协同主场单位做好安全防范工作；应急预案制定完善，利于操作，能及时应对突发事件。</w:t>
      </w:r>
    </w:p>
    <w:p>
      <w:pPr>
        <w:widowControl/>
        <w:snapToGrid w:val="0"/>
        <w:spacing w:line="360" w:lineRule="auto"/>
        <w:ind w:firstLine="480" w:firstLineChars="200"/>
        <w:rPr>
          <w:rFonts w:ascii="宋体" w:hAnsi="宋体"/>
          <w:sz w:val="24"/>
          <w:szCs w:val="24"/>
        </w:rPr>
      </w:pPr>
      <w:r>
        <w:rPr>
          <w:rFonts w:hint="eastAsia" w:ascii="宋体" w:hAnsi="宋体"/>
          <w:sz w:val="24"/>
          <w:szCs w:val="24"/>
        </w:rPr>
        <w:t>5.建立与媒体的沟通渠道和机制，根据活动开展及时宣传。</w:t>
      </w:r>
    </w:p>
    <w:p>
      <w:pPr>
        <w:widowControl/>
        <w:snapToGrid w:val="0"/>
        <w:spacing w:line="360" w:lineRule="auto"/>
        <w:ind w:firstLine="480" w:firstLineChars="200"/>
        <w:rPr>
          <w:rFonts w:ascii="宋体" w:hAnsi="宋体"/>
          <w:sz w:val="24"/>
          <w:szCs w:val="24"/>
        </w:rPr>
      </w:pPr>
      <w:r>
        <w:rPr>
          <w:rFonts w:hint="eastAsia" w:ascii="宋体" w:hAnsi="宋体"/>
          <w:sz w:val="24"/>
          <w:szCs w:val="24"/>
        </w:rPr>
        <w:t>6.嘉宾接待方面要针对不同层级的嘉宾制定接待方案，包括嘉宾在活动期间的食宿通行以及会场引导。</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（二）执行方面</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1.个性化搭建必须按照绿色设计、绿色选材和绿色安全施工要求推进实施。</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2.执行中，能良好沟通协调活动中涉及的相关部门，对各类事情都反应迅速。</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3.按照相关安全要求执行对接各项任务，确保执行过程的安全，无事故、无隐患。</w:t>
      </w:r>
    </w:p>
    <w:p>
      <w:pPr>
        <w:widowControl/>
        <w:snapToGrid w:val="0"/>
        <w:spacing w:line="360" w:lineRule="auto"/>
        <w:ind w:firstLine="480" w:firstLineChars="200"/>
        <w:rPr>
          <w:rFonts w:ascii="宋体" w:hAnsi="宋体"/>
          <w:sz w:val="24"/>
          <w:szCs w:val="24"/>
        </w:rPr>
      </w:pPr>
      <w:r>
        <w:rPr>
          <w:rFonts w:hint="eastAsia" w:ascii="宋体" w:hAnsi="宋体"/>
          <w:sz w:val="24"/>
          <w:szCs w:val="24"/>
        </w:rPr>
        <w:t>4.能随时按采购人要求无条件修改策划、设计方案和变更执行，并能提出合理的建议，不得增加价格。</w:t>
      </w:r>
    </w:p>
    <w:p>
      <w:pPr>
        <w:widowControl/>
        <w:snapToGrid w:val="0"/>
        <w:spacing w:line="360" w:lineRule="auto"/>
        <w:ind w:firstLine="480" w:firstLineChars="200"/>
        <w:rPr>
          <w:rFonts w:ascii="宋体" w:hAnsi="宋体"/>
          <w:sz w:val="24"/>
          <w:szCs w:val="24"/>
        </w:rPr>
      </w:pPr>
      <w:r>
        <w:rPr>
          <w:rFonts w:hint="eastAsia" w:ascii="宋体" w:hAnsi="宋体"/>
          <w:sz w:val="24"/>
          <w:szCs w:val="24"/>
        </w:rPr>
        <w:t>5.要按照采购人要求的时间保质保量完成活动场地搭建及撤除工作。</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（三）提交方案内容</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1.活动总体方案、个性化搭建方案、搭建效果图、执行时间任务表等。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必须在合同签订之日起7日内提供深化设计，包括深化后的设计方案、设计图、效果图、搭建方案等。</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2.安保方案、安全承诺书、应急预案。</w:t>
      </w:r>
    </w:p>
    <w:p>
      <w:pPr>
        <w:widowControl/>
        <w:snapToGrid w:val="0"/>
        <w:spacing w:line="360" w:lineRule="auto"/>
        <w:ind w:firstLine="480" w:firstLineChars="200"/>
        <w:rPr>
          <w:rFonts w:ascii="宋体" w:hAnsi="宋体"/>
          <w:sz w:val="24"/>
          <w:szCs w:val="24"/>
        </w:rPr>
      </w:pPr>
      <w:r>
        <w:rPr>
          <w:rFonts w:hint="eastAsia" w:ascii="宋体" w:hAnsi="宋体"/>
          <w:sz w:val="24"/>
          <w:szCs w:val="24"/>
        </w:rPr>
        <w:t>（四）人员配置</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供应商须构建由不少于5人（至少包括项目负责人1名和主要人员4名）的专业服务人员组成的项目服务团队为本项目服务。供应商须在响应文件中提供详细团队人员组成清单，成交后，项目总负责人（1人）和主要成员（4人）未经采购人同意不得更换。</w:t>
      </w:r>
    </w:p>
    <w:p>
      <w:pPr>
        <w:widowControl/>
        <w:snapToGrid w:val="0"/>
        <w:spacing w:line="360" w:lineRule="auto"/>
        <w:ind w:firstLine="480" w:firstLineChars="200"/>
        <w:rPr>
          <w:rFonts w:ascii="宋体" w:hAnsi="宋体"/>
          <w:sz w:val="24"/>
          <w:szCs w:val="24"/>
        </w:rPr>
      </w:pPr>
      <w:r>
        <w:rPr>
          <w:rFonts w:hint="eastAsia" w:ascii="宋体" w:hAnsi="宋体" w:cs="宋体"/>
          <w:kern w:val="0"/>
          <w:sz w:val="24"/>
          <w:szCs w:val="24"/>
        </w:rPr>
        <w:t>提供拟派项目总负责人和主要成员为供应商在职员工或劳务派遣员工，提供拟派人员的职务、供应商为其购买的社保证明（或为其签订的劳动合同或劳务派遣协议）</w:t>
      </w:r>
      <w:r>
        <w:rPr>
          <w:rFonts w:hint="eastAsia" w:ascii="宋体" w:hAnsi="宋体"/>
          <w:sz w:val="24"/>
          <w:szCs w:val="24"/>
        </w:rPr>
        <w:t>。</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（五）相关要求</w:t>
      </w:r>
    </w:p>
    <w:p>
      <w:pPr>
        <w:widowControl/>
        <w:snapToGrid w:val="0"/>
        <w:spacing w:line="360" w:lineRule="auto"/>
        <w:ind w:firstLine="480" w:firstLineChars="200"/>
        <w:rPr>
          <w:rFonts w:ascii="宋体" w:hAnsi="宋体"/>
          <w:sz w:val="24"/>
          <w:szCs w:val="24"/>
        </w:rPr>
      </w:pPr>
      <w:r>
        <w:rPr>
          <w:rFonts w:hint="eastAsia" w:ascii="宋体" w:hAnsi="宋体"/>
          <w:sz w:val="24"/>
          <w:szCs w:val="24"/>
        </w:rPr>
        <w:t>1.供应商须在正式合同签订后至正式搭建前，随时按采购人要求进行修改，不收取任何费用。</w:t>
      </w:r>
    </w:p>
    <w:p>
      <w:pPr>
        <w:widowControl/>
        <w:snapToGrid w:val="0"/>
        <w:spacing w:line="360" w:lineRule="auto"/>
        <w:ind w:firstLine="480" w:firstLineChars="200"/>
        <w:rPr>
          <w:rFonts w:ascii="宋体" w:hAnsi="宋体"/>
          <w:sz w:val="24"/>
          <w:szCs w:val="24"/>
        </w:rPr>
      </w:pPr>
      <w:r>
        <w:rPr>
          <w:rFonts w:hint="eastAsia" w:ascii="宋体" w:hAnsi="宋体"/>
          <w:sz w:val="24"/>
          <w:szCs w:val="24"/>
        </w:rPr>
        <w:t>2.供应商须在接到进场安装通知后，于72小时内全部完成安装并通过验收。</w:t>
      </w:r>
    </w:p>
    <w:p>
      <w:pPr>
        <w:widowControl/>
        <w:snapToGrid w:val="0"/>
        <w:spacing w:line="360" w:lineRule="auto"/>
        <w:ind w:firstLine="480" w:firstLineChars="200"/>
        <w:rPr>
          <w:rFonts w:ascii="宋体" w:hAnsi="宋体"/>
          <w:sz w:val="24"/>
          <w:szCs w:val="24"/>
        </w:rPr>
      </w:pPr>
      <w:r>
        <w:rPr>
          <w:rFonts w:hint="eastAsia" w:ascii="宋体" w:hAnsi="宋体"/>
          <w:sz w:val="24"/>
          <w:szCs w:val="24"/>
        </w:rPr>
        <w:t>3.供应商在安装和拆卸活动场地过程中，造成的人员人身伤害，由供应商自行承担全部责任及相关赔偿。</w:t>
      </w:r>
    </w:p>
    <w:p>
      <w:pPr>
        <w:widowControl/>
        <w:snapToGrid w:val="0"/>
        <w:spacing w:line="360" w:lineRule="auto"/>
        <w:ind w:firstLine="480" w:firstLineChars="200"/>
        <w:rPr>
          <w:rFonts w:ascii="宋体" w:hAnsi="宋体"/>
          <w:sz w:val="24"/>
          <w:szCs w:val="24"/>
        </w:rPr>
      </w:pPr>
      <w:r>
        <w:rPr>
          <w:rFonts w:hint="eastAsia" w:ascii="宋体" w:hAnsi="宋体"/>
          <w:sz w:val="24"/>
          <w:szCs w:val="24"/>
        </w:rPr>
        <w:t>4.供应商在安装和拆卸活动场地过程中，出现违反场馆及主办单位规定的相关行为，由供应商自行承担全部责任及相关赔偿。</w:t>
      </w:r>
    </w:p>
    <w:p>
      <w:pPr>
        <w:widowControl/>
        <w:snapToGrid w:val="0"/>
        <w:spacing w:line="360" w:lineRule="auto"/>
        <w:ind w:firstLine="480" w:firstLineChars="200"/>
        <w:rPr>
          <w:rFonts w:ascii="宋体" w:hAnsi="宋体"/>
          <w:sz w:val="24"/>
          <w:szCs w:val="24"/>
        </w:rPr>
      </w:pPr>
      <w:r>
        <w:rPr>
          <w:rFonts w:hint="eastAsia" w:ascii="宋体" w:hAnsi="宋体"/>
          <w:sz w:val="24"/>
          <w:szCs w:val="24"/>
        </w:rPr>
        <w:t>5.提供总体实施计划和分项实施进度表、人员分工明细表，要求安排详细合理，分工明确。</w:t>
      </w:r>
    </w:p>
    <w:p>
      <w:pPr>
        <w:pStyle w:val="6"/>
        <w:spacing w:before="0" w:after="0" w:line="360" w:lineRule="auto"/>
        <w:ind w:firstLine="480" w:firstLineChars="200"/>
        <w:rPr>
          <w:rFonts w:ascii="宋体" w:hAnsi="宋体"/>
          <w:sz w:val="24"/>
          <w:szCs w:val="24"/>
        </w:rPr>
      </w:pPr>
      <w:bookmarkStart w:id="46" w:name="_Toc26327"/>
      <w:bookmarkStart w:id="47" w:name="_Toc165877849"/>
      <w:r>
        <w:rPr>
          <w:rFonts w:hint="eastAsia" w:ascii="宋体" w:hAnsi="宋体"/>
          <w:sz w:val="24"/>
          <w:szCs w:val="24"/>
        </w:rPr>
        <w:t>四、其他要求</w:t>
      </w:r>
      <w:bookmarkEnd w:id="46"/>
      <w:bookmarkEnd w:id="47"/>
    </w:p>
    <w:bookmarkEnd w:id="42"/>
    <w:p>
      <w:pPr>
        <w:widowControl/>
        <w:snapToGrid w:val="0"/>
        <w:spacing w:line="360" w:lineRule="auto"/>
        <w:ind w:firstLine="480" w:firstLineChars="200"/>
        <w:rPr>
          <w:rFonts w:ascii="宋体" w:hAnsi="宋体"/>
          <w:sz w:val="24"/>
          <w:szCs w:val="24"/>
        </w:rPr>
      </w:pPr>
      <w:r>
        <w:rPr>
          <w:rFonts w:hint="eastAsia" w:ascii="宋体" w:hAnsi="宋体"/>
          <w:b/>
          <w:bCs/>
          <w:sz w:val="24"/>
          <w:szCs w:val="24"/>
        </w:rPr>
        <w:t>※</w:t>
      </w:r>
      <w:r>
        <w:rPr>
          <w:rFonts w:hint="eastAsia" w:ascii="宋体" w:hAnsi="宋体"/>
          <w:sz w:val="24"/>
          <w:szCs w:val="24"/>
        </w:rPr>
        <w:t>（一）供应商须承诺活动现场相关负责人员须保证24小时活动支持服务，提供现场服务人员名单、有效通讯等信息，并保证信息的准确性。</w:t>
      </w:r>
    </w:p>
    <w:p>
      <w:pPr>
        <w:widowControl/>
        <w:snapToGrid w:val="0"/>
        <w:spacing w:line="360" w:lineRule="auto"/>
        <w:ind w:firstLine="480" w:firstLineChars="200"/>
        <w:rPr>
          <w:rFonts w:ascii="宋体" w:hAnsi="宋体"/>
          <w:sz w:val="24"/>
          <w:szCs w:val="24"/>
        </w:rPr>
      </w:pPr>
      <w:r>
        <w:rPr>
          <w:rFonts w:hint="eastAsia" w:ascii="宋体" w:hAnsi="宋体"/>
          <w:b/>
          <w:bCs/>
          <w:sz w:val="24"/>
          <w:szCs w:val="24"/>
        </w:rPr>
        <w:t>※</w:t>
      </w:r>
      <w:r>
        <w:rPr>
          <w:rFonts w:hint="eastAsia" w:ascii="宋体" w:hAnsi="宋体"/>
          <w:sz w:val="24"/>
          <w:szCs w:val="24"/>
        </w:rPr>
        <w:t>（二）供应商须综合考虑本项目相关活动流程所产生所有费用，应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成交供应商支付，活动期间如因对项目理解及活动规模不充足导致活动延期或出现服务停滞情况所产生的一切损失均由中标人负责。</w:t>
      </w:r>
    </w:p>
    <w:p>
      <w:pPr>
        <w:widowControl/>
        <w:snapToGrid w:val="0"/>
        <w:spacing w:line="360" w:lineRule="auto"/>
        <w:ind w:firstLine="480" w:firstLineChars="200"/>
        <w:rPr>
          <w:rFonts w:ascii="宋体" w:hAnsi="宋体"/>
          <w:sz w:val="24"/>
          <w:szCs w:val="24"/>
        </w:rPr>
      </w:pPr>
      <w:r>
        <w:rPr>
          <w:rFonts w:hint="eastAsia" w:ascii="宋体" w:hAnsi="宋体"/>
          <w:sz w:val="24"/>
          <w:szCs w:val="24"/>
        </w:rPr>
        <w:t>（三）供应商应根据本项目的内容和要求，制定完成本次采购相关服务的总体需求理解及策划理念、设计方案、实施方案、安全管理方案、应急预案、综合协调方案。</w:t>
      </w:r>
    </w:p>
    <w:p>
      <w:pPr>
        <w:pStyle w:val="6"/>
        <w:spacing w:before="0" w:after="0" w:line="360" w:lineRule="auto"/>
        <w:ind w:firstLine="480" w:firstLineChars="200"/>
        <w:rPr>
          <w:rFonts w:ascii="宋体" w:hAnsi="宋体"/>
          <w:sz w:val="24"/>
          <w:szCs w:val="24"/>
        </w:rPr>
      </w:pPr>
      <w:bookmarkStart w:id="48" w:name="_Toc7337"/>
      <w:bookmarkStart w:id="49" w:name="_Toc165877850"/>
      <w:r>
        <w:rPr>
          <w:rFonts w:hint="eastAsia" w:ascii="宋体" w:hAnsi="宋体"/>
          <w:sz w:val="24"/>
          <w:szCs w:val="24"/>
        </w:rPr>
        <w:t>五、现场踏勘</w:t>
      </w:r>
      <w:bookmarkEnd w:id="48"/>
      <w:bookmarkEnd w:id="49"/>
    </w:p>
    <w:p>
      <w:pPr>
        <w:widowControl/>
        <w:snapToGrid w:val="0"/>
        <w:spacing w:line="360" w:lineRule="auto"/>
        <w:ind w:firstLine="480" w:firstLineChars="200"/>
        <w:rPr>
          <w:rFonts w:ascii="宋体" w:hAnsi="宋体"/>
          <w:sz w:val="24"/>
          <w:szCs w:val="24"/>
        </w:rPr>
      </w:pPr>
      <w:r>
        <w:rPr>
          <w:rFonts w:hint="eastAsia" w:ascii="宋体" w:hAnsi="宋体"/>
          <w:sz w:val="24"/>
          <w:szCs w:val="24"/>
        </w:rPr>
        <w:t>（一）踏勘地址：重庆国际博览中心N6馆（地址：重庆市渝北区悦来大道66号）。</w:t>
      </w:r>
    </w:p>
    <w:p>
      <w:pPr>
        <w:snapToGrid w:val="0"/>
        <w:spacing w:line="360" w:lineRule="auto"/>
        <w:ind w:firstLine="480" w:firstLineChars="200"/>
        <w:rPr>
          <w:rFonts w:ascii="宋体" w:hAnsi="宋体"/>
          <w:sz w:val="24"/>
          <w:szCs w:val="24"/>
        </w:rPr>
      </w:pPr>
      <w:r>
        <w:rPr>
          <w:rFonts w:hint="eastAsia" w:ascii="宋体" w:hAnsi="宋体"/>
          <w:sz w:val="24"/>
          <w:szCs w:val="24"/>
        </w:rPr>
        <w:t>（二）踏勘联系人：陈老师</w:t>
      </w:r>
    </w:p>
    <w:p>
      <w:pPr>
        <w:snapToGrid w:val="0"/>
        <w:spacing w:line="360" w:lineRule="auto"/>
        <w:ind w:firstLine="480" w:firstLineChars="200"/>
        <w:rPr>
          <w:rFonts w:ascii="宋体" w:hAnsi="宋体"/>
          <w:sz w:val="24"/>
          <w:szCs w:val="24"/>
        </w:rPr>
      </w:pPr>
      <w:r>
        <w:rPr>
          <w:rFonts w:hint="eastAsia" w:ascii="宋体" w:hAnsi="宋体"/>
          <w:sz w:val="24"/>
          <w:szCs w:val="24"/>
        </w:rPr>
        <w:t>（三）联系电话：（023）63151936</w:t>
      </w:r>
    </w:p>
    <w:p>
      <w:pPr>
        <w:widowControl/>
        <w:snapToGrid w:val="0"/>
        <w:spacing w:line="360" w:lineRule="auto"/>
        <w:ind w:firstLine="480" w:firstLineChars="200"/>
        <w:rPr>
          <w:rFonts w:ascii="宋体" w:hAnsi="宋体"/>
          <w:sz w:val="24"/>
          <w:szCs w:val="24"/>
        </w:rPr>
      </w:pPr>
      <w:r>
        <w:rPr>
          <w:rFonts w:hint="eastAsia" w:ascii="宋体" w:hAnsi="宋体"/>
          <w:sz w:val="24"/>
          <w:szCs w:val="24"/>
        </w:rPr>
        <w:t>注：采购人不统一组织踏勘，请各潜在供应商自行前往踏勘现场，无论供应商踏勘与否，采购人均视供应商对现场环境已了解并知晓相关风险。踏勘费用、安全等由供应商自行负责。</w:t>
      </w:r>
    </w:p>
    <w:p>
      <w:pPr>
        <w:pStyle w:val="5"/>
        <w:pageBreakBefore/>
        <w:spacing w:line="360" w:lineRule="auto"/>
        <w:jc w:val="center"/>
        <w:rPr>
          <w:rFonts w:ascii="宋体" w:hAnsi="宋体" w:eastAsia="宋体"/>
          <w:sz w:val="36"/>
          <w:szCs w:val="30"/>
        </w:rPr>
      </w:pPr>
      <w:bookmarkStart w:id="50" w:name="_Toc165877851"/>
      <w:r>
        <w:rPr>
          <w:rFonts w:hint="eastAsia" w:ascii="宋体" w:hAnsi="宋体" w:eastAsia="宋体"/>
          <w:sz w:val="36"/>
          <w:szCs w:val="30"/>
        </w:rPr>
        <w:t>第三篇  项目商务需求</w:t>
      </w:r>
      <w:bookmarkEnd w:id="29"/>
      <w:bookmarkEnd w:id="50"/>
    </w:p>
    <w:p>
      <w:pPr>
        <w:snapToGrid w:val="0"/>
        <w:spacing w:line="360" w:lineRule="auto"/>
        <w:ind w:firstLine="420" w:firstLineChars="200"/>
        <w:rPr>
          <w:rFonts w:ascii="宋体" w:hAnsi="宋体"/>
          <w:b/>
          <w:sz w:val="24"/>
          <w:szCs w:val="24"/>
        </w:rPr>
      </w:pPr>
      <w:bookmarkStart w:id="51" w:name="_Toc267320049"/>
      <w:r>
        <w:rPr>
          <w:rFonts w:hint="eastAsia" w:ascii="宋体" w:hAnsi="宋体"/>
          <w:b/>
          <w:sz w:val="21"/>
          <w:szCs w:val="21"/>
        </w:rPr>
        <w:t>“※”标注的要求为符合性审查中的实质性要求，投标文件若不满足按无效投标处理。</w:t>
      </w:r>
    </w:p>
    <w:bookmarkEnd w:id="51"/>
    <w:p>
      <w:pPr>
        <w:pStyle w:val="6"/>
        <w:spacing w:before="0" w:after="0" w:line="360" w:lineRule="auto"/>
        <w:ind w:firstLine="480" w:firstLineChars="200"/>
        <w:rPr>
          <w:rFonts w:ascii="宋体" w:hAnsi="宋体"/>
          <w:sz w:val="24"/>
          <w:szCs w:val="24"/>
        </w:rPr>
      </w:pPr>
      <w:bookmarkStart w:id="52" w:name="_Toc5135"/>
      <w:bookmarkStart w:id="53" w:name="_Toc78194439"/>
      <w:bookmarkStart w:id="54" w:name="_Toc5907"/>
      <w:bookmarkStart w:id="55" w:name="_Toc165877852"/>
      <w:bookmarkStart w:id="56" w:name="_Toc344475121"/>
      <w:bookmarkStart w:id="57" w:name="_Toc14860570"/>
      <w:bookmarkStart w:id="58" w:name="_Toc83905719"/>
      <w:bookmarkStart w:id="59" w:name="_Toc484611846"/>
      <w:bookmarkStart w:id="60" w:name="_Toc51854597"/>
      <w:r>
        <w:rPr>
          <w:rFonts w:hint="eastAsia" w:ascii="宋体" w:hAnsi="宋体"/>
          <w:sz w:val="24"/>
          <w:szCs w:val="24"/>
        </w:rPr>
        <w:t>※一、完成时间、服务地点及验收方式</w:t>
      </w:r>
      <w:bookmarkEnd w:id="52"/>
      <w:bookmarkEnd w:id="53"/>
      <w:bookmarkEnd w:id="54"/>
      <w:bookmarkEnd w:id="55"/>
    </w:p>
    <w:p>
      <w:pPr>
        <w:snapToGrid w:val="0"/>
        <w:spacing w:line="360" w:lineRule="auto"/>
        <w:ind w:firstLine="480" w:firstLineChars="200"/>
        <w:rPr>
          <w:rFonts w:ascii="宋体" w:hAnsi="宋体"/>
          <w:sz w:val="24"/>
          <w:szCs w:val="24"/>
        </w:rPr>
      </w:pPr>
      <w:r>
        <w:rPr>
          <w:rFonts w:hint="eastAsia" w:ascii="宋体" w:hAnsi="宋体"/>
          <w:sz w:val="24"/>
          <w:szCs w:val="24"/>
        </w:rPr>
        <w:t>（一）完成时间</w:t>
      </w:r>
    </w:p>
    <w:p>
      <w:pPr>
        <w:snapToGrid w:val="0"/>
        <w:spacing w:line="360" w:lineRule="auto"/>
        <w:ind w:firstLine="480" w:firstLineChars="200"/>
        <w:rPr>
          <w:rFonts w:ascii="宋体" w:hAnsi="宋体"/>
          <w:sz w:val="24"/>
          <w:szCs w:val="24"/>
        </w:rPr>
      </w:pPr>
      <w:r>
        <w:rPr>
          <w:rFonts w:hint="eastAsia" w:ascii="宋体" w:hAnsi="宋体"/>
          <w:sz w:val="24"/>
          <w:szCs w:val="24"/>
        </w:rPr>
        <w:t>合同签订之日起至大会撤展结束（撤展时间暂定为2024年5月23日，以采购人最终确认时间为准）。</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采购人指定或同意地点。</w:t>
      </w:r>
    </w:p>
    <w:p>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ascii="宋体" w:hAnsi="宋体"/>
          <w:sz w:val="24"/>
          <w:szCs w:val="24"/>
        </w:rPr>
      </w:pPr>
      <w:r>
        <w:rPr>
          <w:rFonts w:hint="eastAsia" w:ascii="宋体" w:hAnsi="宋体"/>
          <w:sz w:val="24"/>
          <w:szCs w:val="24"/>
        </w:rPr>
        <w:t>1.验收组织单位：重庆市人民政府口岸和物流办公室。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pPr>
        <w:snapToGrid w:val="0"/>
        <w:spacing w:line="360" w:lineRule="auto"/>
        <w:ind w:firstLine="480" w:firstLineChars="200"/>
        <w:rPr>
          <w:rFonts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pPr>
        <w:snapToGrid w:val="0"/>
        <w:spacing w:line="360" w:lineRule="auto"/>
        <w:ind w:firstLine="480" w:firstLineChars="200"/>
        <w:rPr>
          <w:rFonts w:ascii="宋体" w:hAnsi="宋体"/>
          <w:sz w:val="24"/>
          <w:szCs w:val="24"/>
        </w:rPr>
      </w:pPr>
      <w:r>
        <w:rPr>
          <w:rFonts w:hint="eastAsia" w:ascii="宋体" w:hAnsi="宋体"/>
          <w:sz w:val="24"/>
          <w:szCs w:val="24"/>
        </w:rPr>
        <w:t>3.若有需要，成交供应商应配合采购人完成项目审计。</w:t>
      </w:r>
    </w:p>
    <w:bookmarkEnd w:id="56"/>
    <w:bookmarkEnd w:id="57"/>
    <w:bookmarkEnd w:id="58"/>
    <w:bookmarkEnd w:id="59"/>
    <w:bookmarkEnd w:id="60"/>
    <w:p>
      <w:pPr>
        <w:pStyle w:val="6"/>
        <w:spacing w:before="0" w:after="0" w:line="360" w:lineRule="auto"/>
        <w:ind w:firstLine="480" w:firstLineChars="200"/>
        <w:rPr>
          <w:rFonts w:ascii="宋体" w:hAnsi="宋体"/>
          <w:sz w:val="24"/>
          <w:szCs w:val="24"/>
        </w:rPr>
      </w:pPr>
      <w:bookmarkStart w:id="61" w:name="_Toc165877853"/>
      <w:bookmarkStart w:id="62" w:name="_Toc32410"/>
      <w:bookmarkStart w:id="63" w:name="_Toc30891"/>
      <w:bookmarkStart w:id="64" w:name="_Toc78194440"/>
      <w:r>
        <w:rPr>
          <w:rFonts w:hint="eastAsia" w:ascii="宋体" w:hAnsi="宋体"/>
          <w:sz w:val="24"/>
          <w:szCs w:val="24"/>
        </w:rPr>
        <w:t>※二、保障要求</w:t>
      </w:r>
      <w:bookmarkEnd w:id="61"/>
      <w:bookmarkEnd w:id="62"/>
    </w:p>
    <w:p>
      <w:pPr>
        <w:snapToGrid w:val="0"/>
        <w:spacing w:line="360" w:lineRule="auto"/>
        <w:ind w:firstLine="480" w:firstLineChars="200"/>
        <w:rPr>
          <w:rFonts w:ascii="宋体" w:hAnsi="宋体"/>
          <w:sz w:val="24"/>
          <w:szCs w:val="24"/>
        </w:rPr>
      </w:pPr>
      <w:r>
        <w:rPr>
          <w:rFonts w:hint="eastAsia" w:ascii="宋体" w:hAnsi="宋体"/>
          <w:sz w:val="24"/>
          <w:szCs w:val="24"/>
        </w:rPr>
        <w:t>成交供应商需与采购人签订《安全责任书》。合同周期内，一切有关展览设备、搭建结构及其配套设施的安全责任、财产损失及相关风险均由中标人自行承担。</w:t>
      </w:r>
    </w:p>
    <w:p>
      <w:pPr>
        <w:pStyle w:val="6"/>
        <w:spacing w:before="0" w:after="0" w:line="360" w:lineRule="auto"/>
        <w:ind w:firstLine="480" w:firstLineChars="200"/>
        <w:rPr>
          <w:rFonts w:ascii="宋体" w:hAnsi="宋体"/>
          <w:sz w:val="24"/>
          <w:szCs w:val="24"/>
        </w:rPr>
      </w:pPr>
      <w:bookmarkStart w:id="65" w:name="_Toc12722"/>
      <w:bookmarkStart w:id="66" w:name="_Toc165877854"/>
      <w:r>
        <w:rPr>
          <w:rFonts w:hint="eastAsia" w:ascii="宋体" w:hAnsi="宋体"/>
          <w:sz w:val="24"/>
          <w:szCs w:val="24"/>
        </w:rPr>
        <w:t>※三、报价要求</w:t>
      </w:r>
      <w:bookmarkEnd w:id="63"/>
      <w:bookmarkEnd w:id="64"/>
      <w:bookmarkEnd w:id="65"/>
      <w:bookmarkEnd w:id="66"/>
    </w:p>
    <w:p>
      <w:pPr>
        <w:snapToGrid w:val="0"/>
        <w:spacing w:line="360" w:lineRule="auto"/>
        <w:ind w:firstLine="480" w:firstLineChars="200"/>
        <w:rPr>
          <w:rFonts w:ascii="宋体" w:hAnsi="宋体"/>
          <w:sz w:val="24"/>
          <w:szCs w:val="24"/>
        </w:rPr>
      </w:pPr>
      <w:r>
        <w:rPr>
          <w:rFonts w:hint="eastAsia" w:ascii="宋体" w:hAnsi="宋体"/>
          <w:sz w:val="24"/>
          <w:szCs w:val="24"/>
        </w:rPr>
        <w:t>供应商的报价应包括完成项目的全部费用，包括但不限于组织协调费、策划设计费、执行费、工作场地费、办公费、人工费、住宿费、保险、税费等一切费用。采购人除此以外不支付其它费用。因供应商自身原因造成漏报、少报皆由其自行承担责任，采购人不再补偿。</w:t>
      </w:r>
    </w:p>
    <w:p>
      <w:pPr>
        <w:pStyle w:val="6"/>
        <w:spacing w:before="0" w:after="0" w:line="360" w:lineRule="auto"/>
        <w:ind w:firstLine="480" w:firstLineChars="200"/>
        <w:rPr>
          <w:rFonts w:ascii="宋体" w:hAnsi="宋体"/>
          <w:sz w:val="24"/>
          <w:szCs w:val="24"/>
        </w:rPr>
      </w:pPr>
      <w:bookmarkStart w:id="67" w:name="_Toc7634"/>
      <w:bookmarkStart w:id="68" w:name="_Toc78194441"/>
      <w:bookmarkStart w:id="69" w:name="_Toc15896"/>
      <w:bookmarkStart w:id="70" w:name="_Toc165877855"/>
      <w:r>
        <w:rPr>
          <w:rFonts w:hint="eastAsia" w:ascii="宋体" w:hAnsi="宋体"/>
          <w:sz w:val="24"/>
          <w:szCs w:val="24"/>
        </w:rPr>
        <w:t>※四、付款方式</w:t>
      </w:r>
      <w:bookmarkEnd w:id="67"/>
      <w:bookmarkEnd w:id="68"/>
      <w:bookmarkEnd w:id="69"/>
      <w:bookmarkEnd w:id="70"/>
    </w:p>
    <w:p>
      <w:pPr>
        <w:snapToGrid w:val="0"/>
        <w:spacing w:line="360" w:lineRule="auto"/>
        <w:ind w:firstLine="480" w:firstLineChars="200"/>
        <w:rPr>
          <w:rFonts w:ascii="宋体" w:hAnsi="宋体"/>
          <w:sz w:val="24"/>
          <w:szCs w:val="24"/>
        </w:rPr>
      </w:pPr>
      <w:r>
        <w:rPr>
          <w:rFonts w:hint="eastAsia" w:ascii="宋体" w:hAnsi="宋体"/>
          <w:b/>
          <w:bCs/>
          <w:sz w:val="24"/>
          <w:szCs w:val="24"/>
        </w:rPr>
        <w:t>（一）本项目无预付款，由重庆市商务委员会支付合同款，成交供应商须向重庆市商务委员会开具正规发票。</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按采购合同完成所有工作内容、提交项目成果资料（包括但不限于文字资料、图片资料、影像资料等）且项目验收完成后，成交供应商提供剩余应付金额足额正规发票，原则上在收到发票后5个工作日内按程序办理支付手续，10个工作日内一次性支付合同款；</w:t>
      </w:r>
    </w:p>
    <w:p>
      <w:pPr>
        <w:pStyle w:val="6"/>
        <w:spacing w:before="0" w:after="0" w:line="360" w:lineRule="auto"/>
        <w:ind w:firstLine="480" w:firstLineChars="200"/>
        <w:rPr>
          <w:rFonts w:ascii="宋体" w:hAnsi="宋体"/>
          <w:sz w:val="24"/>
          <w:szCs w:val="24"/>
        </w:rPr>
      </w:pPr>
      <w:bookmarkStart w:id="71" w:name="_Toc19047"/>
      <w:bookmarkStart w:id="72" w:name="_Toc78194444"/>
      <w:bookmarkStart w:id="73" w:name="_Toc73626116"/>
      <w:bookmarkStart w:id="74" w:name="_Toc165877856"/>
      <w:bookmarkStart w:id="75" w:name="_Toc74638456"/>
      <w:bookmarkStart w:id="76" w:name="_Toc12980464"/>
      <w:bookmarkStart w:id="77" w:name="_Toc69287475"/>
      <w:r>
        <w:rPr>
          <w:rFonts w:hint="eastAsia" w:ascii="宋体" w:hAnsi="宋体"/>
          <w:sz w:val="24"/>
          <w:szCs w:val="24"/>
        </w:rPr>
        <w:t>※五、保密要求</w:t>
      </w:r>
      <w:bookmarkEnd w:id="71"/>
      <w:bookmarkEnd w:id="72"/>
      <w:bookmarkEnd w:id="73"/>
      <w:bookmarkEnd w:id="74"/>
      <w:bookmarkEnd w:id="75"/>
      <w:bookmarkEnd w:id="76"/>
      <w:bookmarkEnd w:id="77"/>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pPr>
        <w:pStyle w:val="6"/>
        <w:spacing w:before="0" w:after="0" w:line="360" w:lineRule="auto"/>
        <w:ind w:firstLine="480" w:firstLineChars="200"/>
        <w:rPr>
          <w:rFonts w:ascii="宋体" w:hAnsi="宋体"/>
          <w:sz w:val="24"/>
          <w:szCs w:val="24"/>
        </w:rPr>
      </w:pPr>
      <w:bookmarkStart w:id="78" w:name="_Toc3218"/>
      <w:bookmarkStart w:id="79" w:name="_Toc26845"/>
      <w:bookmarkStart w:id="80" w:name="_Toc78194445"/>
      <w:bookmarkStart w:id="81" w:name="_Toc165877857"/>
      <w:r>
        <w:rPr>
          <w:rFonts w:ascii="宋体" w:hAnsi="宋体"/>
          <w:sz w:val="24"/>
          <w:szCs w:val="24"/>
        </w:rPr>
        <w:t>※</w:t>
      </w:r>
      <w:r>
        <w:rPr>
          <w:rFonts w:hint="eastAsia" w:ascii="宋体" w:hAnsi="宋体"/>
          <w:sz w:val="24"/>
          <w:szCs w:val="24"/>
        </w:rPr>
        <w:t>六、知识产权</w:t>
      </w:r>
      <w:bookmarkEnd w:id="78"/>
      <w:bookmarkEnd w:id="79"/>
      <w:bookmarkEnd w:id="80"/>
      <w:bookmarkEnd w:id="81"/>
    </w:p>
    <w:p>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采购人在中华人民共和国境内使用成交供应商提供的服务时免受第三方提出的侵犯其专利权或其它知识产权的起诉或索赔。如果第三方提出侵权指控，成交供应商应承担由此而引起的一切法律责任和费用。</w:t>
      </w:r>
    </w:p>
    <w:p>
      <w:pPr>
        <w:snapToGrid w:val="0"/>
        <w:spacing w:line="360" w:lineRule="auto"/>
        <w:ind w:firstLine="480" w:firstLineChars="200"/>
        <w:rPr>
          <w:rFonts w:ascii="宋体" w:hAnsi="宋体"/>
          <w:sz w:val="24"/>
          <w:szCs w:val="24"/>
        </w:rPr>
      </w:pPr>
      <w:r>
        <w:rPr>
          <w:rFonts w:hint="eastAsia" w:ascii="宋体" w:hAnsi="宋体"/>
          <w:sz w:val="24"/>
          <w:szCs w:val="24"/>
        </w:rPr>
        <w:t>本项目知识产权归采购人所有，成交供应商需配合采购人对本项目知识产权进行保护。</w:t>
      </w:r>
    </w:p>
    <w:p>
      <w:pPr>
        <w:pStyle w:val="6"/>
        <w:spacing w:before="0" w:after="0" w:line="360" w:lineRule="auto"/>
        <w:ind w:firstLine="480" w:firstLineChars="200"/>
        <w:rPr>
          <w:rFonts w:ascii="宋体" w:hAnsi="宋体"/>
          <w:sz w:val="24"/>
          <w:szCs w:val="24"/>
        </w:rPr>
      </w:pPr>
      <w:bookmarkStart w:id="82" w:name="_Toc5193"/>
      <w:bookmarkStart w:id="83" w:name="_Toc165877858"/>
      <w:r>
        <w:rPr>
          <w:rFonts w:hint="eastAsia" w:ascii="宋体" w:hAnsi="宋体"/>
          <w:sz w:val="24"/>
          <w:szCs w:val="24"/>
        </w:rPr>
        <w:t>※七、不可抗力</w:t>
      </w:r>
      <w:bookmarkEnd w:id="82"/>
      <w:bookmarkEnd w:id="83"/>
    </w:p>
    <w:p>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rPr>
        <w:t>供应商提供承诺函原件，格式自拟</w:t>
      </w:r>
      <w:r>
        <w:rPr>
          <w:rFonts w:hint="eastAsia" w:ascii="宋体" w:hAnsi="宋体"/>
          <w:sz w:val="24"/>
          <w:szCs w:val="24"/>
        </w:rPr>
        <w:t>）。</w:t>
      </w:r>
    </w:p>
    <w:p>
      <w:pPr>
        <w:pStyle w:val="6"/>
        <w:spacing w:before="0" w:after="0" w:line="360" w:lineRule="auto"/>
        <w:ind w:firstLine="480" w:firstLineChars="200"/>
        <w:rPr>
          <w:rFonts w:ascii="宋体" w:hAnsi="宋体"/>
          <w:sz w:val="24"/>
          <w:szCs w:val="24"/>
        </w:rPr>
      </w:pPr>
      <w:bookmarkStart w:id="84" w:name="_Toc165877859"/>
      <w:bookmarkStart w:id="85" w:name="_Toc17774"/>
      <w:bookmarkStart w:id="86" w:name="_Toc78194446"/>
      <w:bookmarkStart w:id="87" w:name="_Toc17262"/>
      <w:r>
        <w:rPr>
          <w:rFonts w:hint="eastAsia" w:ascii="宋体" w:hAnsi="宋体"/>
          <w:sz w:val="24"/>
          <w:szCs w:val="24"/>
        </w:rPr>
        <w:t>八、其他</w:t>
      </w:r>
      <w:bookmarkEnd w:id="84"/>
      <w:bookmarkEnd w:id="85"/>
      <w:bookmarkEnd w:id="86"/>
      <w:bookmarkEnd w:id="87"/>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5"/>
        <w:pageBreakBefore/>
        <w:spacing w:line="360" w:lineRule="auto"/>
        <w:jc w:val="center"/>
        <w:rPr>
          <w:rFonts w:ascii="宋体" w:hAnsi="宋体" w:eastAsia="宋体"/>
          <w:sz w:val="36"/>
          <w:szCs w:val="30"/>
        </w:rPr>
      </w:pPr>
      <w:bookmarkStart w:id="88" w:name="_Toc165877860"/>
      <w:r>
        <w:rPr>
          <w:rFonts w:hint="eastAsia" w:ascii="宋体" w:hAnsi="宋体" w:eastAsia="宋体"/>
          <w:sz w:val="36"/>
          <w:szCs w:val="30"/>
        </w:rPr>
        <w:t>第四篇  比选程序及方法、评审标准、无效响应和采购终止</w:t>
      </w:r>
      <w:bookmarkEnd w:id="88"/>
    </w:p>
    <w:p>
      <w:pPr>
        <w:pStyle w:val="6"/>
        <w:snapToGrid w:val="0"/>
        <w:spacing w:before="0" w:after="0" w:line="360" w:lineRule="auto"/>
        <w:ind w:firstLine="480" w:firstLineChars="200"/>
        <w:rPr>
          <w:rFonts w:ascii="宋体" w:hAnsi="宋体"/>
          <w:color w:val="000000"/>
          <w:sz w:val="24"/>
          <w:szCs w:val="24"/>
        </w:rPr>
      </w:pPr>
      <w:bookmarkStart w:id="89" w:name="_Toc129767670"/>
      <w:bookmarkStart w:id="90" w:name="_Toc165877861"/>
      <w:r>
        <w:rPr>
          <w:rFonts w:hint="eastAsia" w:ascii="宋体" w:hAnsi="宋体"/>
          <w:color w:val="000000"/>
          <w:sz w:val="24"/>
          <w:szCs w:val="24"/>
        </w:rPr>
        <w:t>一、比选程序及方法</w:t>
      </w:r>
      <w:bookmarkEnd w:id="89"/>
      <w:bookmarkEnd w:id="90"/>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color w:val="000000"/>
                <w:sz w:val="21"/>
                <w:szCs w:val="21"/>
              </w:rPr>
            </w:pPr>
          </w:p>
        </w:tc>
        <w:tc>
          <w:tcPr>
            <w:tcW w:w="851" w:type="dxa"/>
            <w:vMerge w:val="continue"/>
            <w:vAlign w:val="center"/>
          </w:tcPr>
          <w:p>
            <w:pPr>
              <w:snapToGrid w:val="0"/>
              <w:rPr>
                <w:rFonts w:ascii="宋体" w:hAnsi="宋体" w:cs="仿宋_GB2312"/>
                <w:color w:val="000000"/>
                <w:sz w:val="21"/>
                <w:szCs w:val="21"/>
                <w:lang w:val="zh-CN"/>
              </w:rPr>
            </w:pPr>
          </w:p>
        </w:tc>
        <w:tc>
          <w:tcPr>
            <w:tcW w:w="326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sz w:val="24"/>
          <w:szCs w:val="24"/>
        </w:rPr>
      </w:pPr>
      <w:bookmarkStart w:id="91" w:name="_Toc165877862"/>
      <w:r>
        <w:rPr>
          <w:rFonts w:hint="eastAsia" w:ascii="宋体" w:hAnsi="宋体"/>
          <w:sz w:val="24"/>
          <w:szCs w:val="24"/>
        </w:rPr>
        <w:t>二、</w:t>
      </w:r>
      <w:bookmarkStart w:id="92" w:name="_Toc102227320"/>
      <w:bookmarkStart w:id="93" w:name="_Toc342913394"/>
      <w:r>
        <w:rPr>
          <w:rFonts w:hint="eastAsia" w:ascii="宋体" w:hAnsi="宋体"/>
          <w:sz w:val="24"/>
          <w:szCs w:val="24"/>
        </w:rPr>
        <w:t>评审标准</w:t>
      </w:r>
      <w:bookmarkEnd w:id="91"/>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163" w:type="dxa"/>
            <w:vAlign w:val="center"/>
          </w:tcPr>
          <w:p>
            <w:pPr>
              <w:spacing w:line="240" w:lineRule="atLeast"/>
              <w:ind w:firstLine="28"/>
              <w:jc w:val="center"/>
              <w:rPr>
                <w:rFonts w:ascii="宋体" w:hAnsi="宋体"/>
                <w:b/>
                <w:sz w:val="21"/>
                <w:szCs w:val="21"/>
              </w:rPr>
            </w:pPr>
            <w:r>
              <w:rPr>
                <w:rFonts w:ascii="宋体" w:hAnsi="宋体"/>
                <w:b/>
                <w:sz w:val="21"/>
                <w:szCs w:val="21"/>
              </w:rPr>
              <w:t>评分因素</w:t>
            </w:r>
          </w:p>
          <w:p>
            <w:pPr>
              <w:spacing w:line="240" w:lineRule="atLeast"/>
              <w:ind w:firstLine="28"/>
              <w:jc w:val="center"/>
              <w:rPr>
                <w:rFonts w:ascii="宋体" w:hAnsi="宋体"/>
                <w:b/>
                <w:sz w:val="21"/>
                <w:szCs w:val="21"/>
              </w:rPr>
            </w:pPr>
            <w:r>
              <w:rPr>
                <w:rFonts w:ascii="宋体" w:hAnsi="宋体"/>
                <w:b/>
                <w:sz w:val="21"/>
                <w:szCs w:val="21"/>
              </w:rPr>
              <w:t>及权值</w:t>
            </w:r>
          </w:p>
        </w:tc>
        <w:tc>
          <w:tcPr>
            <w:tcW w:w="822"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163"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（30%）</w:t>
            </w:r>
          </w:p>
        </w:tc>
        <w:tc>
          <w:tcPr>
            <w:tcW w:w="822" w:type="dxa"/>
            <w:vAlign w:val="center"/>
          </w:tcPr>
          <w:p>
            <w:pPr>
              <w:spacing w:line="240" w:lineRule="atLeast"/>
              <w:ind w:firstLine="28"/>
              <w:jc w:val="center"/>
              <w:rPr>
                <w:rFonts w:ascii="宋体" w:hAnsi="宋体"/>
                <w:sz w:val="21"/>
                <w:szCs w:val="21"/>
              </w:rPr>
            </w:pPr>
            <w:r>
              <w:rPr>
                <w:rFonts w:hint="eastAsia" w:ascii="宋体" w:hAnsi="宋体"/>
                <w:sz w:val="21"/>
                <w:szCs w:val="21"/>
              </w:rPr>
              <w:t>30分</w:t>
            </w:r>
          </w:p>
        </w:tc>
        <w:tc>
          <w:tcPr>
            <w:tcW w:w="5103"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根据供应商提出的具体工作安排计划进行评分。</w:t>
            </w:r>
          </w:p>
          <w:p>
            <w:pPr>
              <w:spacing w:line="240" w:lineRule="atLeast"/>
              <w:rPr>
                <w:rFonts w:ascii="宋体" w:hAnsi="宋体"/>
                <w:sz w:val="21"/>
                <w:szCs w:val="21"/>
              </w:rPr>
            </w:pPr>
            <w:r>
              <w:rPr>
                <w:rFonts w:hint="eastAsia" w:ascii="宋体" w:hAnsi="宋体"/>
                <w:sz w:val="21"/>
                <w:szCs w:val="21"/>
              </w:rPr>
              <w:t>优（工作安排合理、能高效完成发展推介及商务洽谈活动组织）得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良（工作安排合理、能比较高效完成发展推介及商务洽谈活动组织）得</w:t>
            </w:r>
            <w:r>
              <w:rPr>
                <w:rFonts w:ascii="宋体" w:hAnsi="宋体"/>
                <w:sz w:val="21"/>
                <w:szCs w:val="21"/>
              </w:rPr>
              <w:t>7</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一般（工作安排基本合理、完成发展推介及商务洽谈活动组织能力一般）得</w:t>
            </w:r>
            <w:r>
              <w:rPr>
                <w:rFonts w:ascii="宋体" w:hAnsi="宋体"/>
                <w:sz w:val="21"/>
                <w:szCs w:val="21"/>
              </w:rPr>
              <w:t>4</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差（工作安排不合理、完成发展推介及商务洽谈活动组织能力差）或未提供得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团队实力</w:t>
            </w:r>
          </w:p>
          <w:p>
            <w:pPr>
              <w:spacing w:line="240" w:lineRule="atLeast"/>
              <w:ind w:firstLine="28"/>
              <w:jc w:val="center"/>
              <w:rPr>
                <w:rFonts w:ascii="宋体" w:hAnsi="宋体"/>
                <w:sz w:val="21"/>
                <w:szCs w:val="21"/>
              </w:rPr>
            </w:pPr>
            <w:r>
              <w:rPr>
                <w:rFonts w:ascii="宋体" w:hAnsi="宋体"/>
                <w:sz w:val="21"/>
                <w:szCs w:val="21"/>
              </w:rPr>
              <w:t>1</w:t>
            </w:r>
            <w:r>
              <w:rPr>
                <w:rFonts w:hint="eastAsia" w:ascii="宋体" w:hAnsi="宋体"/>
                <w:sz w:val="21"/>
                <w:szCs w:val="21"/>
              </w:rPr>
              <w:t>5分</w:t>
            </w:r>
          </w:p>
        </w:tc>
        <w:tc>
          <w:tcPr>
            <w:tcW w:w="5103" w:type="dxa"/>
            <w:vAlign w:val="center"/>
          </w:tcPr>
          <w:p>
            <w:pPr>
              <w:widowControl/>
              <w:spacing w:line="240" w:lineRule="exact"/>
              <w:ind w:left="-38"/>
              <w:rPr>
                <w:rFonts w:ascii="宋体" w:hAnsi="宋体" w:cs="宋体"/>
                <w:sz w:val="21"/>
                <w:szCs w:val="21"/>
              </w:rPr>
            </w:pPr>
            <w:r>
              <w:rPr>
                <w:rFonts w:hint="eastAsia" w:ascii="宋体" w:hAnsi="宋体" w:cs="宋体"/>
                <w:sz w:val="21"/>
                <w:szCs w:val="21"/>
              </w:rPr>
              <w:t>1.项目负责人（6分）</w:t>
            </w:r>
          </w:p>
          <w:p>
            <w:pPr>
              <w:widowControl/>
              <w:spacing w:line="240" w:lineRule="exact"/>
              <w:ind w:left="-38"/>
              <w:rPr>
                <w:rFonts w:ascii="宋体" w:hAnsi="宋体" w:cs="宋体"/>
                <w:sz w:val="21"/>
                <w:szCs w:val="21"/>
              </w:rPr>
            </w:pPr>
            <w:r>
              <w:rPr>
                <w:rFonts w:hint="eastAsia" w:ascii="宋体" w:hAnsi="宋体" w:cs="宋体"/>
                <w:sz w:val="21"/>
                <w:szCs w:val="21"/>
              </w:rPr>
              <w:t>供应商拟派本项目的项目负责人具有参与各类会议或活动的组织实施，</w:t>
            </w:r>
            <w:r>
              <w:rPr>
                <w:rFonts w:hint="eastAsia" w:ascii="宋体" w:hAnsi="宋体"/>
                <w:sz w:val="21"/>
                <w:szCs w:val="21"/>
              </w:rPr>
              <w:t>或具有制造类或商贸类或物流类研究或调研或规划项目</w:t>
            </w:r>
            <w:r>
              <w:rPr>
                <w:rFonts w:hint="eastAsia" w:ascii="宋体" w:hAnsi="宋体" w:cs="宋体"/>
                <w:sz w:val="21"/>
                <w:szCs w:val="21"/>
              </w:rPr>
              <w:t>服务经验的，提供一个项目得2分，最高得3分；</w:t>
            </w:r>
          </w:p>
        </w:tc>
        <w:tc>
          <w:tcPr>
            <w:tcW w:w="1984" w:type="dxa"/>
            <w:vMerge w:val="restart"/>
            <w:vAlign w:val="center"/>
          </w:tcPr>
          <w:p>
            <w:pPr>
              <w:spacing w:line="240" w:lineRule="atLeast"/>
              <w:ind w:left="-38"/>
              <w:rPr>
                <w:rFonts w:ascii="宋体" w:hAnsi="宋体"/>
                <w:sz w:val="21"/>
                <w:szCs w:val="21"/>
              </w:rPr>
            </w:pPr>
            <w:r>
              <w:rPr>
                <w:rFonts w:hint="eastAsia" w:ascii="宋体" w:hAnsi="宋体"/>
                <w:sz w:val="21"/>
                <w:szCs w:val="21"/>
              </w:rPr>
              <w:t>提供相关经验证明及职称证复印件加盖供应商公章。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widowControl/>
              <w:spacing w:line="240" w:lineRule="exact"/>
              <w:ind w:left="-38"/>
              <w:rPr>
                <w:rFonts w:ascii="宋体" w:hAnsi="宋体" w:cs="宋体"/>
                <w:sz w:val="21"/>
                <w:szCs w:val="21"/>
              </w:rPr>
            </w:pPr>
            <w:r>
              <w:rPr>
                <w:rFonts w:hint="eastAsia" w:ascii="宋体" w:hAnsi="宋体" w:cs="宋体"/>
                <w:sz w:val="21"/>
                <w:szCs w:val="21"/>
              </w:rPr>
              <w:t>2.项目成员（4分）</w:t>
            </w:r>
          </w:p>
          <w:p>
            <w:pPr>
              <w:snapToGrid w:val="0"/>
              <w:rPr>
                <w:rFonts w:ascii="宋体" w:hAnsi="宋体"/>
                <w:sz w:val="21"/>
                <w:szCs w:val="21"/>
              </w:rPr>
            </w:pPr>
            <w:r>
              <w:rPr>
                <w:rFonts w:hint="eastAsia" w:ascii="宋体" w:hAnsi="宋体" w:cs="宋体"/>
                <w:sz w:val="21"/>
                <w:szCs w:val="21"/>
              </w:rPr>
              <w:t>供应商拟派本项目的项目成员具有参与各类会议或活动的组织实施，</w:t>
            </w:r>
            <w:r>
              <w:rPr>
                <w:rFonts w:hint="eastAsia" w:ascii="宋体" w:hAnsi="宋体"/>
                <w:sz w:val="21"/>
                <w:szCs w:val="21"/>
              </w:rPr>
              <w:t>或具有制造类或商贸类或物流类研究或调研或规划项目</w:t>
            </w:r>
            <w:r>
              <w:rPr>
                <w:rFonts w:hint="eastAsia" w:ascii="宋体" w:hAnsi="宋体" w:cs="宋体"/>
                <w:sz w:val="21"/>
                <w:szCs w:val="21"/>
              </w:rPr>
              <w:t>服务经验的，提供一人得1分，最高得4分；</w:t>
            </w:r>
          </w:p>
        </w:tc>
        <w:tc>
          <w:tcPr>
            <w:tcW w:w="1984" w:type="dxa"/>
            <w:vMerge w:val="continue"/>
            <w:tcBorders>
              <w:bottom w:val="single" w:color="auto" w:sz="4" w:space="0"/>
            </w:tcBorders>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napToGrid w:val="0"/>
              <w:rPr>
                <w:rFonts w:ascii="宋体" w:hAnsi="宋体"/>
                <w:sz w:val="21"/>
                <w:szCs w:val="21"/>
              </w:rPr>
            </w:pPr>
            <w:r>
              <w:rPr>
                <w:rFonts w:hint="eastAsia" w:ascii="宋体" w:hAnsi="宋体"/>
                <w:sz w:val="21"/>
                <w:szCs w:val="21"/>
              </w:rPr>
              <w:t>3.团队配置（5分）</w:t>
            </w:r>
          </w:p>
          <w:p>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pPr>
              <w:snapToGrid w:val="0"/>
              <w:rPr>
                <w:rFonts w:ascii="宋体" w:hAnsi="宋体"/>
                <w:sz w:val="21"/>
                <w:szCs w:val="21"/>
              </w:rPr>
            </w:pPr>
            <w:r>
              <w:rPr>
                <w:rFonts w:hint="eastAsia" w:ascii="宋体" w:hAnsi="宋体"/>
                <w:sz w:val="21"/>
                <w:szCs w:val="21"/>
              </w:rPr>
              <w:t>优（团队综合资历深厚、经验丰富）得</w:t>
            </w:r>
            <w:r>
              <w:rPr>
                <w:rFonts w:ascii="宋体" w:hAnsi="宋体"/>
                <w:sz w:val="21"/>
                <w:szCs w:val="21"/>
              </w:rPr>
              <w:t>5</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良（团队综合资历较深、经验较丰富）得</w:t>
            </w:r>
            <w:r>
              <w:rPr>
                <w:rFonts w:ascii="宋体" w:hAnsi="宋体"/>
                <w:sz w:val="21"/>
                <w:szCs w:val="21"/>
              </w:rPr>
              <w:t>3</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一般（团队综合资历、经验一般）得</w:t>
            </w:r>
            <w:r>
              <w:rPr>
                <w:rFonts w:ascii="宋体" w:hAnsi="宋体"/>
                <w:sz w:val="21"/>
                <w:szCs w:val="21"/>
              </w:rPr>
              <w:t>2</w:t>
            </w:r>
            <w:r>
              <w:rPr>
                <w:rFonts w:hint="eastAsia" w:ascii="宋体" w:hAnsi="宋体"/>
                <w:sz w:val="21"/>
                <w:szCs w:val="21"/>
              </w:rPr>
              <w:t>分；</w:t>
            </w:r>
          </w:p>
          <w:p>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tcBorders>
              <w:bottom w:val="single" w:color="auto" w:sz="4" w:space="0"/>
            </w:tcBorders>
            <w:vAlign w:val="center"/>
          </w:tcPr>
          <w:p>
            <w:pPr>
              <w:spacing w:line="240" w:lineRule="atLeast"/>
              <w:ind w:left="-38"/>
              <w:rPr>
                <w:rFonts w:ascii="宋体" w:hAnsi="宋体"/>
                <w:sz w:val="21"/>
                <w:szCs w:val="21"/>
              </w:rPr>
            </w:pPr>
            <w:r>
              <w:rPr>
                <w:rFonts w:hint="eastAsia" w:ascii="宋体" w:hAnsi="宋体"/>
                <w:sz w:val="21"/>
                <w:szCs w:val="21"/>
              </w:rPr>
              <w:t>拟派人员应为供应商在职员工，提供人员名单、供应商为其缴纳的社保证明、资历证明材料复印件，加盖供应商公章。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pPr>
              <w:rPr>
                <w:rFonts w:ascii="宋体" w:hAnsi="宋体"/>
                <w:sz w:val="21"/>
                <w:szCs w:val="21"/>
              </w:rPr>
            </w:pPr>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年1月1日至响应文件递交截止时间，供应商承担过各类活动或会议的组织实施，或承担过制造类或商贸类或物流类研究或调研或规划项目的，每有一个合同得3分，最多得1</w:t>
            </w:r>
            <w:r>
              <w:rPr>
                <w:rFonts w:ascii="宋体" w:hAnsi="宋体"/>
                <w:sz w:val="21"/>
                <w:szCs w:val="21"/>
              </w:rPr>
              <w:t>5</w:t>
            </w:r>
            <w:r>
              <w:rPr>
                <w:rFonts w:hint="eastAsia" w:ascii="宋体" w:hAnsi="宋体"/>
                <w:sz w:val="21"/>
                <w:szCs w:val="21"/>
              </w:rPr>
              <w:t>分。</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提供合同或相关证明材料复印件，加盖供应商公章。</w:t>
            </w:r>
          </w:p>
        </w:tc>
      </w:tr>
      <w:bookmarkEnd w:id="92"/>
      <w:bookmarkEnd w:id="93"/>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94" w:name="_Toc129767672"/>
      <w:bookmarkStart w:id="95" w:name="_Toc165877863"/>
      <w:r>
        <w:rPr>
          <w:rFonts w:hint="eastAsia" w:ascii="宋体" w:hAnsi="宋体"/>
          <w:color w:val="000000"/>
          <w:sz w:val="24"/>
          <w:szCs w:val="24"/>
        </w:rPr>
        <w:t>三、无效响应</w:t>
      </w:r>
      <w:bookmarkEnd w:id="94"/>
      <w:bookmarkEnd w:id="95"/>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96" w:name="_Toc129767673"/>
      <w:bookmarkStart w:id="97" w:name="_Toc165877864"/>
      <w:r>
        <w:rPr>
          <w:rFonts w:hint="eastAsia" w:ascii="宋体" w:hAnsi="宋体"/>
          <w:color w:val="000000"/>
          <w:sz w:val="24"/>
          <w:szCs w:val="24"/>
        </w:rPr>
        <w:t>四、采购终止</w:t>
      </w:r>
      <w:bookmarkEnd w:id="96"/>
      <w:bookmarkEnd w:id="97"/>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sz w:val="36"/>
          <w:szCs w:val="30"/>
        </w:rPr>
      </w:pPr>
      <w:bookmarkStart w:id="98" w:name="_Toc102227313"/>
      <w:bookmarkStart w:id="99" w:name="_Toc165877865"/>
      <w:r>
        <w:rPr>
          <w:rFonts w:hint="eastAsia" w:ascii="宋体" w:hAnsi="宋体" w:eastAsia="宋体"/>
          <w:sz w:val="36"/>
          <w:szCs w:val="30"/>
        </w:rPr>
        <w:t>第五篇  供应商须知</w:t>
      </w:r>
      <w:bookmarkEnd w:id="98"/>
      <w:bookmarkEnd w:id="99"/>
    </w:p>
    <w:p>
      <w:pPr>
        <w:pStyle w:val="6"/>
        <w:spacing w:before="0" w:after="0" w:line="360" w:lineRule="auto"/>
        <w:ind w:firstLine="480" w:firstLineChars="200"/>
        <w:rPr>
          <w:rFonts w:ascii="宋体" w:hAnsi="宋体"/>
          <w:sz w:val="24"/>
          <w:szCs w:val="24"/>
        </w:rPr>
      </w:pPr>
      <w:bookmarkStart w:id="100" w:name="_Toc342913389"/>
      <w:bookmarkStart w:id="101" w:name="_Toc165877866"/>
      <w:r>
        <w:rPr>
          <w:rFonts w:hint="eastAsia" w:ascii="宋体" w:hAnsi="宋体"/>
          <w:sz w:val="24"/>
          <w:szCs w:val="24"/>
        </w:rPr>
        <w:t>一、比选费用</w:t>
      </w:r>
      <w:bookmarkEnd w:id="100"/>
      <w:bookmarkEnd w:id="101"/>
    </w:p>
    <w:p>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sz w:val="24"/>
          <w:szCs w:val="24"/>
        </w:rPr>
      </w:pPr>
      <w:bookmarkStart w:id="102" w:name="_Toc165877867"/>
      <w:bookmarkStart w:id="103" w:name="_Toc342913391"/>
      <w:r>
        <w:rPr>
          <w:rFonts w:hint="eastAsia" w:ascii="宋体" w:hAnsi="宋体"/>
          <w:sz w:val="24"/>
          <w:szCs w:val="24"/>
        </w:rPr>
        <w:t>二、竞争性比选文件</w:t>
      </w:r>
      <w:bookmarkEnd w:id="102"/>
      <w:bookmarkEnd w:id="103"/>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4" w:name="_Toc318166429"/>
      <w:bookmarkStart w:id="105" w:name="_Toc318159349"/>
      <w:bookmarkStart w:id="106" w:name="_Toc318159780"/>
      <w:bookmarkStart w:id="107" w:name="_Toc318159160"/>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104"/>
    <w:bookmarkEnd w:id="105"/>
    <w:bookmarkEnd w:id="106"/>
    <w:bookmarkEnd w:id="107"/>
    <w:p>
      <w:pPr>
        <w:pStyle w:val="6"/>
        <w:spacing w:before="0" w:after="0" w:line="360" w:lineRule="auto"/>
        <w:ind w:firstLine="480" w:firstLineChars="200"/>
        <w:rPr>
          <w:rFonts w:ascii="宋体" w:hAnsi="宋体"/>
          <w:sz w:val="24"/>
          <w:szCs w:val="24"/>
        </w:rPr>
      </w:pPr>
      <w:bookmarkStart w:id="108" w:name="_Toc179714297"/>
      <w:bookmarkStart w:id="109" w:name="_Toc102227318"/>
      <w:bookmarkStart w:id="110" w:name="_Toc342913392"/>
      <w:bookmarkStart w:id="111" w:name="_Toc165877868"/>
      <w:r>
        <w:rPr>
          <w:rFonts w:hint="eastAsia" w:ascii="宋体" w:hAnsi="宋体"/>
          <w:sz w:val="24"/>
          <w:szCs w:val="24"/>
        </w:rPr>
        <w:t>三、比选要求</w:t>
      </w:r>
      <w:bookmarkEnd w:id="108"/>
      <w:bookmarkEnd w:id="109"/>
      <w:bookmarkEnd w:id="110"/>
      <w:bookmarkEnd w:id="111"/>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sz w:val="24"/>
          <w:szCs w:val="24"/>
        </w:rPr>
      </w:pPr>
      <w:bookmarkStart w:id="112" w:name="_Toc165877869"/>
      <w:r>
        <w:rPr>
          <w:rFonts w:hint="eastAsia" w:ascii="宋体" w:hAnsi="宋体"/>
          <w:sz w:val="24"/>
          <w:szCs w:val="24"/>
        </w:rPr>
        <w:t>四、成交供应商的确认和变更</w:t>
      </w:r>
      <w:bookmarkEnd w:id="112"/>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sz w:val="24"/>
          <w:szCs w:val="24"/>
        </w:rPr>
      </w:pPr>
      <w:bookmarkStart w:id="113" w:name="_Toc102227321"/>
      <w:bookmarkStart w:id="114" w:name="_Toc342913395"/>
      <w:bookmarkStart w:id="115" w:name="_Toc165877870"/>
      <w:r>
        <w:rPr>
          <w:rFonts w:hint="eastAsia" w:ascii="宋体" w:hAnsi="宋体"/>
          <w:sz w:val="24"/>
          <w:szCs w:val="24"/>
        </w:rPr>
        <w:t>五、成交通知</w:t>
      </w:r>
      <w:bookmarkEnd w:id="113"/>
      <w:bookmarkEnd w:id="114"/>
      <w:bookmarkEnd w:id="115"/>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sz w:val="24"/>
          <w:szCs w:val="24"/>
        </w:rPr>
      </w:pPr>
      <w:bookmarkStart w:id="116" w:name="_Toc165877871"/>
      <w:r>
        <w:rPr>
          <w:rFonts w:hint="eastAsia" w:ascii="宋体" w:hAnsi="宋体"/>
          <w:sz w:val="24"/>
          <w:szCs w:val="24"/>
        </w:rPr>
        <w:t>六、关于质疑和投诉</w:t>
      </w:r>
      <w:bookmarkEnd w:id="116"/>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w:t>
      </w:r>
      <w:r>
        <w:rPr>
          <w:rFonts w:hint="default" w:ascii="宋体" w:hAnsi="宋体"/>
          <w:sz w:val="24"/>
          <w:szCs w:val="24"/>
        </w:rPr>
        <w:t>受到伤害</w:t>
      </w:r>
      <w:r>
        <w:rPr>
          <w:rFonts w:hint="eastAsia" w:ascii="宋体" w:hAnsi="宋体"/>
          <w:sz w:val="24"/>
          <w:szCs w:val="24"/>
        </w:rPr>
        <w:t>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sz w:val="24"/>
          <w:szCs w:val="24"/>
        </w:rPr>
      </w:pPr>
      <w:bookmarkStart w:id="117" w:name="_Toc165877872"/>
      <w:r>
        <w:rPr>
          <w:rFonts w:hint="eastAsia" w:ascii="宋体" w:hAnsi="宋体"/>
          <w:sz w:val="24"/>
          <w:szCs w:val="24"/>
        </w:rPr>
        <w:t>七、采购代理服务费</w:t>
      </w:r>
      <w:bookmarkEnd w:id="117"/>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0" w:firstLineChars="200"/>
        <w:rPr>
          <w:rFonts w:ascii="宋体" w:hAnsi="宋体"/>
          <w:sz w:val="24"/>
          <w:szCs w:val="24"/>
        </w:rPr>
      </w:pPr>
      <w:bookmarkStart w:id="118" w:name="_Toc102227322"/>
      <w:bookmarkStart w:id="119" w:name="_Toc165877873"/>
      <w:bookmarkStart w:id="120" w:name="_Toc342913396"/>
      <w:bookmarkStart w:id="121" w:name="_Toc12789059"/>
      <w:bookmarkStart w:id="122" w:name="_Toc11641055"/>
      <w:r>
        <w:rPr>
          <w:rFonts w:hint="eastAsia" w:ascii="宋体" w:hAnsi="宋体"/>
          <w:sz w:val="24"/>
          <w:szCs w:val="24"/>
        </w:rPr>
        <w:t>八、签订</w:t>
      </w:r>
      <w:bookmarkEnd w:id="118"/>
      <w:r>
        <w:rPr>
          <w:rFonts w:hint="eastAsia" w:ascii="宋体" w:hAnsi="宋体"/>
          <w:sz w:val="24"/>
          <w:szCs w:val="24"/>
        </w:rPr>
        <w:t>合同</w:t>
      </w:r>
      <w:bookmarkEnd w:id="119"/>
      <w:bookmarkEnd w:id="120"/>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123" w:name="_Toc165877874"/>
      <w:r>
        <w:rPr>
          <w:rFonts w:hint="eastAsia" w:ascii="宋体" w:hAnsi="宋体" w:eastAsia="宋体"/>
          <w:sz w:val="36"/>
          <w:szCs w:val="30"/>
        </w:rPr>
        <w:t xml:space="preserve">第六篇  </w:t>
      </w:r>
      <w:bookmarkEnd w:id="121"/>
      <w:bookmarkEnd w:id="122"/>
      <w:r>
        <w:rPr>
          <w:rFonts w:hint="eastAsia" w:ascii="宋体" w:hAnsi="宋体" w:eastAsia="宋体"/>
          <w:sz w:val="36"/>
          <w:szCs w:val="30"/>
        </w:rPr>
        <w:t>合同草案条款</w:t>
      </w:r>
      <w:bookmarkEnd w:id="123"/>
    </w:p>
    <w:p>
      <w:pPr>
        <w:spacing w:line="360" w:lineRule="auto"/>
        <w:jc w:val="center"/>
        <w:rPr>
          <w:rFonts w:ascii="宋体" w:hAnsi="宋体"/>
          <w:b/>
          <w:sz w:val="44"/>
        </w:rPr>
      </w:pPr>
      <w:bookmarkStart w:id="124" w:name="_Hlt41879464"/>
      <w:bookmarkEnd w:id="124"/>
      <w:bookmarkStart w:id="125"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3"/>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25"/>
    <w:p>
      <w:pPr>
        <w:pStyle w:val="5"/>
        <w:spacing w:line="360" w:lineRule="auto"/>
        <w:jc w:val="center"/>
        <w:rPr>
          <w:rFonts w:ascii="宋体" w:hAnsi="宋体" w:eastAsia="宋体"/>
          <w:sz w:val="36"/>
          <w:szCs w:val="30"/>
        </w:rPr>
      </w:pPr>
      <w:bookmarkStart w:id="126" w:name="_Toc89693272"/>
      <w:bookmarkStart w:id="127" w:name="_Toc165877875"/>
      <w:r>
        <w:rPr>
          <w:rFonts w:ascii="宋体" w:hAnsi="宋体" w:eastAsia="宋体"/>
          <w:sz w:val="36"/>
          <w:szCs w:val="30"/>
        </w:rPr>
        <w:t>第七篇  响应文件编制要求</w:t>
      </w:r>
      <w:bookmarkEnd w:id="126"/>
      <w:bookmarkEnd w:id="127"/>
    </w:p>
    <w:p>
      <w:pPr>
        <w:pStyle w:val="6"/>
        <w:spacing w:before="0" w:after="0" w:line="360" w:lineRule="auto"/>
        <w:ind w:firstLine="480" w:firstLineChars="200"/>
        <w:rPr>
          <w:rFonts w:ascii="宋体" w:hAnsi="宋体"/>
          <w:sz w:val="24"/>
          <w:szCs w:val="24"/>
        </w:rPr>
      </w:pPr>
      <w:bookmarkStart w:id="128" w:name="_Toc165877876"/>
      <w:bookmarkStart w:id="129" w:name="_Toc89693273"/>
      <w:bookmarkStart w:id="130" w:name="_Toc129767687"/>
      <w:r>
        <w:rPr>
          <w:rFonts w:ascii="宋体" w:hAnsi="宋体"/>
          <w:sz w:val="24"/>
          <w:szCs w:val="24"/>
        </w:rPr>
        <w:t>一、经济部分</w:t>
      </w:r>
      <w:bookmarkEnd w:id="128"/>
      <w:bookmarkEnd w:id="129"/>
      <w:bookmarkEnd w:id="130"/>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31" w:name="_Toc78194469"/>
      <w:bookmarkStart w:id="132" w:name="_Toc165877877"/>
      <w:bookmarkStart w:id="133" w:name="_Toc89693274"/>
      <w:bookmarkStart w:id="134" w:name="_Toc129767688"/>
      <w:r>
        <w:rPr>
          <w:rFonts w:hint="eastAsia" w:ascii="宋体" w:hAnsi="宋体"/>
          <w:sz w:val="24"/>
          <w:szCs w:val="24"/>
        </w:rPr>
        <w:t>二、技术部分</w:t>
      </w:r>
      <w:bookmarkEnd w:id="131"/>
      <w:bookmarkEnd w:id="132"/>
      <w:bookmarkEnd w:id="133"/>
      <w:bookmarkEnd w:id="134"/>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35" w:name="_Toc129767689"/>
      <w:bookmarkStart w:id="136" w:name="_Toc165877878"/>
      <w:bookmarkStart w:id="137" w:name="_Toc89693275"/>
      <w:r>
        <w:rPr>
          <w:rFonts w:ascii="宋体" w:hAnsi="宋体"/>
          <w:sz w:val="24"/>
          <w:szCs w:val="24"/>
        </w:rPr>
        <w:t>三、商务部分</w:t>
      </w:r>
      <w:bookmarkEnd w:id="135"/>
      <w:bookmarkEnd w:id="136"/>
      <w:bookmarkEnd w:id="137"/>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38" w:name="_Toc89693276"/>
      <w:bookmarkStart w:id="139" w:name="_Toc129767690"/>
      <w:bookmarkStart w:id="140" w:name="_Toc165877879"/>
      <w:r>
        <w:rPr>
          <w:rFonts w:ascii="宋体" w:hAnsi="宋体"/>
          <w:sz w:val="24"/>
          <w:szCs w:val="24"/>
        </w:rPr>
        <w:t>四、资格条件及其他</w:t>
      </w:r>
      <w:bookmarkEnd w:id="138"/>
      <w:bookmarkEnd w:id="139"/>
      <w:bookmarkEnd w:id="140"/>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41" w:name="_Toc313008356"/>
      <w:bookmarkStart w:id="142" w:name="_Toc313888360"/>
      <w:bookmarkStart w:id="143" w:name="_Toc342913419"/>
      <w:bookmarkStart w:id="144" w:name="_Toc23764522"/>
      <w:bookmarkStart w:id="145" w:name="_Toc283382454"/>
      <w:bookmarkStart w:id="146" w:name="_Toc12789073"/>
      <w:r>
        <w:rPr>
          <w:rFonts w:hint="eastAsia"/>
          <w:b/>
          <w:sz w:val="24"/>
          <w:szCs w:val="24"/>
        </w:rPr>
        <w:t xml:space="preserve">    </w:t>
      </w:r>
      <w:r>
        <w:rPr>
          <w:b/>
          <w:sz w:val="24"/>
          <w:szCs w:val="24"/>
        </w:rPr>
        <w:t>一、经济部分</w:t>
      </w:r>
      <w:bookmarkEnd w:id="141"/>
      <w:bookmarkEnd w:id="142"/>
      <w:bookmarkEnd w:id="143"/>
      <w:bookmarkEnd w:id="144"/>
    </w:p>
    <w:bookmarkEnd w:id="145"/>
    <w:bookmarkEnd w:id="146"/>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47" w:name="_Toc23764523"/>
      <w:bookmarkStart w:id="148" w:name="_Toc313888361"/>
      <w:bookmarkStart w:id="149" w:name="_Toc313008357"/>
      <w:bookmarkStart w:id="150" w:name="_Toc342913420"/>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419"/>
        <w:gridCol w:w="2325"/>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1419" w:type="dxa"/>
            <w:vAlign w:val="center"/>
          </w:tcPr>
          <w:p>
            <w:pPr>
              <w:jc w:val="center"/>
              <w:rPr>
                <w:b/>
                <w:sz w:val="21"/>
                <w:szCs w:val="21"/>
              </w:rPr>
            </w:pPr>
            <w:r>
              <w:rPr>
                <w:rFonts w:hint="eastAsia"/>
                <w:b/>
                <w:sz w:val="21"/>
                <w:szCs w:val="21"/>
              </w:rPr>
              <w:t>分项名称</w:t>
            </w:r>
          </w:p>
        </w:tc>
        <w:tc>
          <w:tcPr>
            <w:tcW w:w="2325"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1419" w:type="dxa"/>
            <w:vAlign w:val="center"/>
          </w:tcPr>
          <w:p>
            <w:pPr>
              <w:jc w:val="center"/>
              <w:rPr>
                <w:bCs/>
                <w:kern w:val="0"/>
                <w:sz w:val="22"/>
              </w:rPr>
            </w:pPr>
          </w:p>
        </w:tc>
        <w:tc>
          <w:tcPr>
            <w:tcW w:w="2325"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1419" w:type="dxa"/>
            <w:vAlign w:val="center"/>
          </w:tcPr>
          <w:p>
            <w:pPr>
              <w:jc w:val="center"/>
              <w:rPr>
                <w:bCs/>
                <w:kern w:val="0"/>
                <w:sz w:val="22"/>
              </w:rPr>
            </w:pPr>
          </w:p>
        </w:tc>
        <w:tc>
          <w:tcPr>
            <w:tcW w:w="2325"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1419" w:type="dxa"/>
            <w:vAlign w:val="center"/>
          </w:tcPr>
          <w:p>
            <w:pPr>
              <w:jc w:val="center"/>
              <w:rPr>
                <w:sz w:val="21"/>
                <w:szCs w:val="21"/>
              </w:rPr>
            </w:pPr>
          </w:p>
        </w:tc>
        <w:tc>
          <w:tcPr>
            <w:tcW w:w="2325"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1419" w:type="dxa"/>
            <w:vAlign w:val="center"/>
          </w:tcPr>
          <w:p>
            <w:pPr>
              <w:jc w:val="center"/>
              <w:rPr>
                <w:b/>
                <w:sz w:val="21"/>
                <w:szCs w:val="21"/>
              </w:rPr>
            </w:pPr>
          </w:p>
        </w:tc>
        <w:tc>
          <w:tcPr>
            <w:tcW w:w="2325"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7"/>
      <w:bookmarkEnd w:id="148"/>
      <w:bookmarkEnd w:id="149"/>
      <w:bookmarkEnd w:id="150"/>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51" w:name="_Toc313888362"/>
      <w:bookmarkStart w:id="152" w:name="_Toc342913421"/>
      <w:bookmarkStart w:id="153" w:name="_Toc23764524"/>
      <w:bookmarkStart w:id="154" w:name="_Toc313008358"/>
      <w:r>
        <w:rPr>
          <w:rFonts w:hint="eastAsia"/>
          <w:sz w:val="24"/>
          <w:szCs w:val="24"/>
        </w:rPr>
        <w:t xml:space="preserve">   </w:t>
      </w:r>
      <w:r>
        <w:rPr>
          <w:rFonts w:hint="eastAsia"/>
          <w:b/>
          <w:sz w:val="24"/>
          <w:szCs w:val="24"/>
        </w:rPr>
        <w:t xml:space="preserve"> </w:t>
      </w:r>
      <w:r>
        <w:rPr>
          <w:b/>
          <w:sz w:val="24"/>
          <w:szCs w:val="24"/>
        </w:rPr>
        <w:t>三、商务部分</w:t>
      </w:r>
      <w:bookmarkEnd w:id="151"/>
      <w:bookmarkEnd w:id="152"/>
      <w:bookmarkEnd w:id="153"/>
      <w:bookmarkEnd w:id="154"/>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55" w:name="_Toc313008359"/>
      <w:bookmarkStart w:id="156" w:name="_Toc23764525"/>
      <w:bookmarkStart w:id="157" w:name="_Toc313888363"/>
      <w:bookmarkStart w:id="158" w:name="_Toc342913422"/>
      <w:r>
        <w:rPr>
          <w:rFonts w:hint="eastAsia"/>
          <w:b/>
          <w:sz w:val="24"/>
          <w:szCs w:val="24"/>
        </w:rPr>
        <w:t xml:space="preserve">    </w:t>
      </w:r>
      <w:r>
        <w:rPr>
          <w:b/>
          <w:sz w:val="24"/>
          <w:szCs w:val="24"/>
        </w:rPr>
        <w:t>四、资格条件及其他</w:t>
      </w:r>
      <w:bookmarkEnd w:id="155"/>
      <w:bookmarkEnd w:id="156"/>
      <w:bookmarkEnd w:id="157"/>
      <w:bookmarkEnd w:id="158"/>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5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59"/>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Source Sans Pro SemiBold">
    <w:panose1 w:val="020B0603030403020204"/>
    <w:charset w:val="00"/>
    <w:family w:val="auto"/>
    <w:pitch w:val="default"/>
    <w:sig w:usb0="600002F7" w:usb1="02000001" w:usb2="00000000" w:usb3="00000000" w:csb0="2000019F" w:csb1="00000000"/>
  </w:font>
  <w:font w:name="仿宋_GB2312">
    <w:altName w:val="文泉驿微米黑"/>
    <w:panose1 w:val="00000000000000000000"/>
    <w:charset w:val="86"/>
    <w:family w:val="modern"/>
    <w:pitch w:val="default"/>
    <w:sig w:usb0="00000000" w:usb1="00000000" w:usb2="00000000" w:usb3="00000000" w:csb0="00040000" w:csb1="00000000"/>
  </w:font>
  <w:font w:name="PMingLiU">
    <w:altName w:val="文泉驿微米黑"/>
    <w:panose1 w:val="02010601000101010101"/>
    <w:charset w:val="88"/>
    <w:family w:val="roman"/>
    <w:pitch w:val="default"/>
    <w:sig w:usb0="00000000" w:usb1="00000000" w:usb2="00000016" w:usb3="00000000" w:csb0="00100001" w:csb1="00000000"/>
  </w:font>
  <w:font w:name="Emoji icon">
    <w:panose1 w:val="00000500000000000000"/>
    <w:charset w:val="00"/>
    <w:family w:val="auto"/>
    <w:pitch w:val="default"/>
    <w:sig w:usb0="00000001" w:usb1="00000000" w:usb2="00000000" w:usb3="00000000" w:csb0="00000001" w:csb1="00000000"/>
  </w:font>
  <w:font w:name="Droid Sans Mono">
    <w:panose1 w:val="020B0609030804020204"/>
    <w:charset w:val="00"/>
    <w:family w:val="auto"/>
    <w:pitch w:val="default"/>
    <w:sig w:usb0="E00002EF" w:usb1="4000205B" w:usb2="00000028" w:usb3="00000000" w:csb0="2000019F" w:csb1="00000000"/>
  </w:font>
  <w:font w:name="_x000B__x000C_">
    <w:altName w:val="HarmonyOS Sans SC Light"/>
    <w:panose1 w:val="00000000000000000000"/>
    <w:charset w:val="00"/>
    <w:family w:val="roman"/>
    <w:pitch w:val="default"/>
    <w:sig w:usb0="00000000" w:usb1="00000000" w:usb2="00000000" w:usb3="00000000" w:csb0="00040001" w:csb1="00000000"/>
  </w:font>
  <w:font w:name="Verdana">
    <w:altName w:val="Noto Sans Myanmar Med"/>
    <w:panose1 w:val="020B0604030504040204"/>
    <w:charset w:val="00"/>
    <w:family w:val="swiss"/>
    <w:pitch w:val="default"/>
    <w:sig w:usb0="00000000" w:usb1="00000000" w:usb2="00000010" w:usb3="00000000" w:csb0="2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200101FF" w:csb1="20280000"/>
  </w:font>
  <w:font w:name="昆仑楷体">
    <w:altName w:val="文泉驿微米黑"/>
    <w:panose1 w:val="00000000000000000000"/>
    <w:charset w:val="86"/>
    <w:family w:val="modern"/>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10" w:usb3="00000000" w:csb0="00040000" w:csb1="00000000"/>
  </w:font>
  <w:font w:name="文鼎粗黑">
    <w:altName w:val="文泉驿微米黑"/>
    <w:panose1 w:val="00000000000000000000"/>
    <w:charset w:val="86"/>
    <w:family w:val="modern"/>
    <w:pitch w:val="default"/>
    <w:sig w:usb0="00000000" w:usb1="00000000" w:usb2="00000010" w:usb3="00000000" w:csb0="00040000" w:csb1="00000000"/>
  </w:font>
  <w:font w:name="Arial Narrow">
    <w:altName w:val="Source Sans Pro SemiBold"/>
    <w:panose1 w:val="020B0606020202030204"/>
    <w:charset w:val="00"/>
    <w:family w:val="swiss"/>
    <w:pitch w:val="default"/>
    <w:sig w:usb0="00000000" w:usb1="00000000" w:usb2="00000000" w:usb3="00000000" w:csb0="2000009F" w:csb1="DFD70000"/>
  </w:font>
  <w:font w:name="微软雅黑">
    <w:altName w:val="文泉驿微米黑"/>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ZTBkMTM4YzFjNDQxYzRlZWQ0OTdkODMyYTc3YWEifQ=="/>
  </w:docVars>
  <w:rsids>
    <w:rsidRoot w:val="00172A27"/>
    <w:rsid w:val="000002B4"/>
    <w:rsid w:val="00000498"/>
    <w:rsid w:val="00001023"/>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4B68"/>
    <w:rsid w:val="000552F4"/>
    <w:rsid w:val="000568F9"/>
    <w:rsid w:val="000574AB"/>
    <w:rsid w:val="00057688"/>
    <w:rsid w:val="000576E1"/>
    <w:rsid w:val="00057B29"/>
    <w:rsid w:val="00057B3A"/>
    <w:rsid w:val="00061192"/>
    <w:rsid w:val="00061599"/>
    <w:rsid w:val="00061D77"/>
    <w:rsid w:val="0006248D"/>
    <w:rsid w:val="00063981"/>
    <w:rsid w:val="00063B06"/>
    <w:rsid w:val="000645F1"/>
    <w:rsid w:val="000653C6"/>
    <w:rsid w:val="0006556C"/>
    <w:rsid w:val="0007233F"/>
    <w:rsid w:val="00075C5F"/>
    <w:rsid w:val="00077795"/>
    <w:rsid w:val="00080446"/>
    <w:rsid w:val="00080519"/>
    <w:rsid w:val="0008070D"/>
    <w:rsid w:val="00080A20"/>
    <w:rsid w:val="0008102B"/>
    <w:rsid w:val="000818A1"/>
    <w:rsid w:val="00083B84"/>
    <w:rsid w:val="0008426E"/>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5A8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0EF"/>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10C"/>
    <w:rsid w:val="00157E6F"/>
    <w:rsid w:val="00160A1A"/>
    <w:rsid w:val="00160D3D"/>
    <w:rsid w:val="00161270"/>
    <w:rsid w:val="00161EF0"/>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52"/>
    <w:rsid w:val="0018396D"/>
    <w:rsid w:val="00184C9A"/>
    <w:rsid w:val="00185891"/>
    <w:rsid w:val="001862A1"/>
    <w:rsid w:val="00186623"/>
    <w:rsid w:val="00186970"/>
    <w:rsid w:val="00186C50"/>
    <w:rsid w:val="001872E3"/>
    <w:rsid w:val="001879FD"/>
    <w:rsid w:val="00187CBA"/>
    <w:rsid w:val="00187FE3"/>
    <w:rsid w:val="00190D77"/>
    <w:rsid w:val="00190DA3"/>
    <w:rsid w:val="00190E36"/>
    <w:rsid w:val="001929B6"/>
    <w:rsid w:val="0019335B"/>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0F1C"/>
    <w:rsid w:val="001B2523"/>
    <w:rsid w:val="001B2E0D"/>
    <w:rsid w:val="001B3DBD"/>
    <w:rsid w:val="001B418D"/>
    <w:rsid w:val="001B4377"/>
    <w:rsid w:val="001B6EEA"/>
    <w:rsid w:val="001B74F5"/>
    <w:rsid w:val="001B7861"/>
    <w:rsid w:val="001B7942"/>
    <w:rsid w:val="001B7BB4"/>
    <w:rsid w:val="001C0E58"/>
    <w:rsid w:val="001C1FC7"/>
    <w:rsid w:val="001C2267"/>
    <w:rsid w:val="001C23E7"/>
    <w:rsid w:val="001C4803"/>
    <w:rsid w:val="001C4985"/>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8E1"/>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74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2E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6DF"/>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39BE"/>
    <w:rsid w:val="002B590B"/>
    <w:rsid w:val="002B71A5"/>
    <w:rsid w:val="002B7501"/>
    <w:rsid w:val="002B780C"/>
    <w:rsid w:val="002B7904"/>
    <w:rsid w:val="002C2136"/>
    <w:rsid w:val="002C2507"/>
    <w:rsid w:val="002C2E6E"/>
    <w:rsid w:val="002C3A48"/>
    <w:rsid w:val="002C3DFD"/>
    <w:rsid w:val="002C4781"/>
    <w:rsid w:val="002C5403"/>
    <w:rsid w:val="002C5DE2"/>
    <w:rsid w:val="002C5FF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2FA6"/>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2279"/>
    <w:rsid w:val="00313635"/>
    <w:rsid w:val="00313F79"/>
    <w:rsid w:val="003141B3"/>
    <w:rsid w:val="0031465E"/>
    <w:rsid w:val="00315274"/>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051"/>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0CD2"/>
    <w:rsid w:val="003C27CC"/>
    <w:rsid w:val="003C2A17"/>
    <w:rsid w:val="003C3A7F"/>
    <w:rsid w:val="003C3DD8"/>
    <w:rsid w:val="003C41F9"/>
    <w:rsid w:val="003C4A44"/>
    <w:rsid w:val="003C565D"/>
    <w:rsid w:val="003C5A43"/>
    <w:rsid w:val="003C6E36"/>
    <w:rsid w:val="003D07F3"/>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0DF9"/>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3CE"/>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1D0"/>
    <w:rsid w:val="00472944"/>
    <w:rsid w:val="00472AA2"/>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9EB"/>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6661"/>
    <w:rsid w:val="004C710D"/>
    <w:rsid w:val="004D0CD6"/>
    <w:rsid w:val="004D1016"/>
    <w:rsid w:val="004D3A62"/>
    <w:rsid w:val="004D7D78"/>
    <w:rsid w:val="004E12D8"/>
    <w:rsid w:val="004E156F"/>
    <w:rsid w:val="004E204B"/>
    <w:rsid w:val="004E4813"/>
    <w:rsid w:val="004E55DB"/>
    <w:rsid w:val="004E5F53"/>
    <w:rsid w:val="004E6781"/>
    <w:rsid w:val="004E6A84"/>
    <w:rsid w:val="004E7146"/>
    <w:rsid w:val="004E7695"/>
    <w:rsid w:val="004F2BD1"/>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C92"/>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148F"/>
    <w:rsid w:val="00552C49"/>
    <w:rsid w:val="0055348E"/>
    <w:rsid w:val="00556067"/>
    <w:rsid w:val="00556630"/>
    <w:rsid w:val="00556913"/>
    <w:rsid w:val="00557912"/>
    <w:rsid w:val="00557F14"/>
    <w:rsid w:val="00561590"/>
    <w:rsid w:val="0056241D"/>
    <w:rsid w:val="0056623E"/>
    <w:rsid w:val="00566A85"/>
    <w:rsid w:val="00566CF8"/>
    <w:rsid w:val="00566EB3"/>
    <w:rsid w:val="00567161"/>
    <w:rsid w:val="00567733"/>
    <w:rsid w:val="00567ABA"/>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4CC1"/>
    <w:rsid w:val="005902D9"/>
    <w:rsid w:val="00590D2B"/>
    <w:rsid w:val="00590FFC"/>
    <w:rsid w:val="00591C5B"/>
    <w:rsid w:val="00591CC6"/>
    <w:rsid w:val="00592557"/>
    <w:rsid w:val="00592E10"/>
    <w:rsid w:val="00593925"/>
    <w:rsid w:val="005951C4"/>
    <w:rsid w:val="00596015"/>
    <w:rsid w:val="0059605E"/>
    <w:rsid w:val="00596AB7"/>
    <w:rsid w:val="00596D7C"/>
    <w:rsid w:val="005A144C"/>
    <w:rsid w:val="005A1EA7"/>
    <w:rsid w:val="005A217B"/>
    <w:rsid w:val="005A2300"/>
    <w:rsid w:val="005A23E1"/>
    <w:rsid w:val="005A2995"/>
    <w:rsid w:val="005A3929"/>
    <w:rsid w:val="005A3B26"/>
    <w:rsid w:val="005A61C5"/>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05C4"/>
    <w:rsid w:val="005D1909"/>
    <w:rsid w:val="005D1A41"/>
    <w:rsid w:val="005D1DE8"/>
    <w:rsid w:val="005D1EF4"/>
    <w:rsid w:val="005D2489"/>
    <w:rsid w:val="005D37D0"/>
    <w:rsid w:val="005D4CBC"/>
    <w:rsid w:val="005D5E1D"/>
    <w:rsid w:val="005D703E"/>
    <w:rsid w:val="005D7278"/>
    <w:rsid w:val="005D73C5"/>
    <w:rsid w:val="005D77A3"/>
    <w:rsid w:val="005E0478"/>
    <w:rsid w:val="005E0972"/>
    <w:rsid w:val="005E1171"/>
    <w:rsid w:val="005E1C29"/>
    <w:rsid w:val="005E32B2"/>
    <w:rsid w:val="005E38D5"/>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7FE"/>
    <w:rsid w:val="00675A98"/>
    <w:rsid w:val="00675C59"/>
    <w:rsid w:val="00675DA1"/>
    <w:rsid w:val="00676483"/>
    <w:rsid w:val="0067699C"/>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1D57"/>
    <w:rsid w:val="006A22DE"/>
    <w:rsid w:val="006A3285"/>
    <w:rsid w:val="006A35C6"/>
    <w:rsid w:val="006A4A07"/>
    <w:rsid w:val="006A511B"/>
    <w:rsid w:val="006A523C"/>
    <w:rsid w:val="006A7395"/>
    <w:rsid w:val="006A756E"/>
    <w:rsid w:val="006B2530"/>
    <w:rsid w:val="006B3321"/>
    <w:rsid w:val="006B4899"/>
    <w:rsid w:val="006B56BA"/>
    <w:rsid w:val="006B5B3D"/>
    <w:rsid w:val="006B5BED"/>
    <w:rsid w:val="006B6F91"/>
    <w:rsid w:val="006B72DE"/>
    <w:rsid w:val="006B7837"/>
    <w:rsid w:val="006B7EFF"/>
    <w:rsid w:val="006C1D37"/>
    <w:rsid w:val="006C3449"/>
    <w:rsid w:val="006C5D17"/>
    <w:rsid w:val="006C5FC1"/>
    <w:rsid w:val="006C6D1C"/>
    <w:rsid w:val="006C772C"/>
    <w:rsid w:val="006C7984"/>
    <w:rsid w:val="006C7CBC"/>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9D5"/>
    <w:rsid w:val="006E3DDF"/>
    <w:rsid w:val="006E3FE8"/>
    <w:rsid w:val="006E412F"/>
    <w:rsid w:val="006E4372"/>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12C4"/>
    <w:rsid w:val="00702122"/>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416D"/>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08A"/>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BA7"/>
    <w:rsid w:val="00791DC6"/>
    <w:rsid w:val="0079288D"/>
    <w:rsid w:val="00792CD2"/>
    <w:rsid w:val="007931C8"/>
    <w:rsid w:val="007937B6"/>
    <w:rsid w:val="00794D1E"/>
    <w:rsid w:val="007959AC"/>
    <w:rsid w:val="00796723"/>
    <w:rsid w:val="0079726B"/>
    <w:rsid w:val="00797841"/>
    <w:rsid w:val="007A1846"/>
    <w:rsid w:val="007A1919"/>
    <w:rsid w:val="007A20E0"/>
    <w:rsid w:val="007A2DA6"/>
    <w:rsid w:val="007A369F"/>
    <w:rsid w:val="007A3A3A"/>
    <w:rsid w:val="007A4430"/>
    <w:rsid w:val="007A4D61"/>
    <w:rsid w:val="007A67A7"/>
    <w:rsid w:val="007A68CA"/>
    <w:rsid w:val="007A73AD"/>
    <w:rsid w:val="007B02B9"/>
    <w:rsid w:val="007B2204"/>
    <w:rsid w:val="007B3635"/>
    <w:rsid w:val="007B4B60"/>
    <w:rsid w:val="007B4E1B"/>
    <w:rsid w:val="007B5581"/>
    <w:rsid w:val="007B6D79"/>
    <w:rsid w:val="007B7037"/>
    <w:rsid w:val="007C0124"/>
    <w:rsid w:val="007C04D9"/>
    <w:rsid w:val="007C0842"/>
    <w:rsid w:val="007C08AD"/>
    <w:rsid w:val="007C0F78"/>
    <w:rsid w:val="007C1B6E"/>
    <w:rsid w:val="007C20BD"/>
    <w:rsid w:val="007C29B0"/>
    <w:rsid w:val="007C3750"/>
    <w:rsid w:val="007C3DBA"/>
    <w:rsid w:val="007C593D"/>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E6D4A"/>
    <w:rsid w:val="007F029F"/>
    <w:rsid w:val="007F17FC"/>
    <w:rsid w:val="007F2690"/>
    <w:rsid w:val="007F2B97"/>
    <w:rsid w:val="007F3377"/>
    <w:rsid w:val="007F3C50"/>
    <w:rsid w:val="007F541D"/>
    <w:rsid w:val="007F6999"/>
    <w:rsid w:val="007F6CB3"/>
    <w:rsid w:val="007F7139"/>
    <w:rsid w:val="00800AC9"/>
    <w:rsid w:val="008020D2"/>
    <w:rsid w:val="008024F5"/>
    <w:rsid w:val="00802DF1"/>
    <w:rsid w:val="00802EB2"/>
    <w:rsid w:val="008033CB"/>
    <w:rsid w:val="00803898"/>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414"/>
    <w:rsid w:val="00823F36"/>
    <w:rsid w:val="008242F5"/>
    <w:rsid w:val="008247D9"/>
    <w:rsid w:val="00825C46"/>
    <w:rsid w:val="00825D94"/>
    <w:rsid w:val="008264A7"/>
    <w:rsid w:val="008266A6"/>
    <w:rsid w:val="00826D42"/>
    <w:rsid w:val="00827398"/>
    <w:rsid w:val="008278CB"/>
    <w:rsid w:val="00830F57"/>
    <w:rsid w:val="00831D86"/>
    <w:rsid w:val="00833AEF"/>
    <w:rsid w:val="00833FA6"/>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0A43"/>
    <w:rsid w:val="0086150B"/>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1A47"/>
    <w:rsid w:val="008C299C"/>
    <w:rsid w:val="008C3244"/>
    <w:rsid w:val="008C341F"/>
    <w:rsid w:val="008C4934"/>
    <w:rsid w:val="008C499D"/>
    <w:rsid w:val="008C4A46"/>
    <w:rsid w:val="008C510F"/>
    <w:rsid w:val="008C56FE"/>
    <w:rsid w:val="008C5AAB"/>
    <w:rsid w:val="008C630D"/>
    <w:rsid w:val="008C6586"/>
    <w:rsid w:val="008C6769"/>
    <w:rsid w:val="008D027C"/>
    <w:rsid w:val="008D0550"/>
    <w:rsid w:val="008D0FC7"/>
    <w:rsid w:val="008D2351"/>
    <w:rsid w:val="008D2D66"/>
    <w:rsid w:val="008D44A0"/>
    <w:rsid w:val="008D49F3"/>
    <w:rsid w:val="008D4A23"/>
    <w:rsid w:val="008D54A7"/>
    <w:rsid w:val="008D5633"/>
    <w:rsid w:val="008D61EA"/>
    <w:rsid w:val="008E0581"/>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5DCD"/>
    <w:rsid w:val="009360F6"/>
    <w:rsid w:val="00936F66"/>
    <w:rsid w:val="0093759D"/>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12D"/>
    <w:rsid w:val="0095112F"/>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868"/>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E3"/>
    <w:rsid w:val="00981DFD"/>
    <w:rsid w:val="00983B43"/>
    <w:rsid w:val="009844DD"/>
    <w:rsid w:val="00985462"/>
    <w:rsid w:val="00985F09"/>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5EB"/>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77"/>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6743"/>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48F8"/>
    <w:rsid w:val="00A64CA8"/>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0BE8"/>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B0C"/>
    <w:rsid w:val="00AB70CD"/>
    <w:rsid w:val="00AB7481"/>
    <w:rsid w:val="00AB77AA"/>
    <w:rsid w:val="00AB79DB"/>
    <w:rsid w:val="00AB7F65"/>
    <w:rsid w:val="00AC02C3"/>
    <w:rsid w:val="00AC18DD"/>
    <w:rsid w:val="00AC2B04"/>
    <w:rsid w:val="00AC33AD"/>
    <w:rsid w:val="00AC37E5"/>
    <w:rsid w:val="00AC3812"/>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416"/>
    <w:rsid w:val="00AE5971"/>
    <w:rsid w:val="00AE5D62"/>
    <w:rsid w:val="00AE64DB"/>
    <w:rsid w:val="00AE72EC"/>
    <w:rsid w:val="00AE7519"/>
    <w:rsid w:val="00AE798D"/>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3DD"/>
    <w:rsid w:val="00B168D4"/>
    <w:rsid w:val="00B200AA"/>
    <w:rsid w:val="00B206CB"/>
    <w:rsid w:val="00B21DED"/>
    <w:rsid w:val="00B22021"/>
    <w:rsid w:val="00B22D71"/>
    <w:rsid w:val="00B230AC"/>
    <w:rsid w:val="00B23A86"/>
    <w:rsid w:val="00B2511D"/>
    <w:rsid w:val="00B251E0"/>
    <w:rsid w:val="00B2565F"/>
    <w:rsid w:val="00B25B64"/>
    <w:rsid w:val="00B269CD"/>
    <w:rsid w:val="00B2720B"/>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BFB"/>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C24"/>
    <w:rsid w:val="00B87E13"/>
    <w:rsid w:val="00B90CA5"/>
    <w:rsid w:val="00B917E7"/>
    <w:rsid w:val="00B91910"/>
    <w:rsid w:val="00B92ED1"/>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2F"/>
    <w:rsid w:val="00BB3AD9"/>
    <w:rsid w:val="00BB3C62"/>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2FD1"/>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0837"/>
    <w:rsid w:val="00BF1176"/>
    <w:rsid w:val="00BF46A7"/>
    <w:rsid w:val="00BF4ADB"/>
    <w:rsid w:val="00BF4D96"/>
    <w:rsid w:val="00BF5230"/>
    <w:rsid w:val="00BF6307"/>
    <w:rsid w:val="00BF7A28"/>
    <w:rsid w:val="00C00B6B"/>
    <w:rsid w:val="00C0133F"/>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17BD2"/>
    <w:rsid w:val="00C20D8D"/>
    <w:rsid w:val="00C21574"/>
    <w:rsid w:val="00C21766"/>
    <w:rsid w:val="00C22D61"/>
    <w:rsid w:val="00C23214"/>
    <w:rsid w:val="00C2329C"/>
    <w:rsid w:val="00C23675"/>
    <w:rsid w:val="00C23C31"/>
    <w:rsid w:val="00C23FD0"/>
    <w:rsid w:val="00C240C8"/>
    <w:rsid w:val="00C26513"/>
    <w:rsid w:val="00C2653B"/>
    <w:rsid w:val="00C27CD1"/>
    <w:rsid w:val="00C310C9"/>
    <w:rsid w:val="00C31C6E"/>
    <w:rsid w:val="00C32088"/>
    <w:rsid w:val="00C324FF"/>
    <w:rsid w:val="00C328C9"/>
    <w:rsid w:val="00C32C04"/>
    <w:rsid w:val="00C32C98"/>
    <w:rsid w:val="00C339A4"/>
    <w:rsid w:val="00C35994"/>
    <w:rsid w:val="00C3668D"/>
    <w:rsid w:val="00C36891"/>
    <w:rsid w:val="00C37080"/>
    <w:rsid w:val="00C37F72"/>
    <w:rsid w:val="00C37FC8"/>
    <w:rsid w:val="00C4017D"/>
    <w:rsid w:val="00C418E1"/>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5DEA"/>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0ED2"/>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1AE"/>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31"/>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472AC"/>
    <w:rsid w:val="00D5092F"/>
    <w:rsid w:val="00D52376"/>
    <w:rsid w:val="00D52531"/>
    <w:rsid w:val="00D54475"/>
    <w:rsid w:val="00D546AD"/>
    <w:rsid w:val="00D555C3"/>
    <w:rsid w:val="00D55A9E"/>
    <w:rsid w:val="00D55D20"/>
    <w:rsid w:val="00D57CF1"/>
    <w:rsid w:val="00D60272"/>
    <w:rsid w:val="00D612C2"/>
    <w:rsid w:val="00D61E40"/>
    <w:rsid w:val="00D64E3B"/>
    <w:rsid w:val="00D654A1"/>
    <w:rsid w:val="00D70BFE"/>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601"/>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A3C"/>
    <w:rsid w:val="00DB1F69"/>
    <w:rsid w:val="00DB2360"/>
    <w:rsid w:val="00DB24F4"/>
    <w:rsid w:val="00DB36ED"/>
    <w:rsid w:val="00DB4190"/>
    <w:rsid w:val="00DB4794"/>
    <w:rsid w:val="00DB4D23"/>
    <w:rsid w:val="00DB51C9"/>
    <w:rsid w:val="00DB5986"/>
    <w:rsid w:val="00DB5B8F"/>
    <w:rsid w:val="00DB5C3E"/>
    <w:rsid w:val="00DB628E"/>
    <w:rsid w:val="00DB6762"/>
    <w:rsid w:val="00DB6DFE"/>
    <w:rsid w:val="00DB6EFB"/>
    <w:rsid w:val="00DC0895"/>
    <w:rsid w:val="00DC0F27"/>
    <w:rsid w:val="00DC1348"/>
    <w:rsid w:val="00DC1AC9"/>
    <w:rsid w:val="00DC25BD"/>
    <w:rsid w:val="00DC4714"/>
    <w:rsid w:val="00DC4B8E"/>
    <w:rsid w:val="00DC5E48"/>
    <w:rsid w:val="00DC6214"/>
    <w:rsid w:val="00DC69E0"/>
    <w:rsid w:val="00DC782B"/>
    <w:rsid w:val="00DD01AE"/>
    <w:rsid w:val="00DD0754"/>
    <w:rsid w:val="00DD1A2E"/>
    <w:rsid w:val="00DD1FA7"/>
    <w:rsid w:val="00DD214D"/>
    <w:rsid w:val="00DD3DB4"/>
    <w:rsid w:val="00DD4A01"/>
    <w:rsid w:val="00DD54FD"/>
    <w:rsid w:val="00DD6F04"/>
    <w:rsid w:val="00DD7A02"/>
    <w:rsid w:val="00DE4636"/>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2710"/>
    <w:rsid w:val="00E030A0"/>
    <w:rsid w:val="00E03253"/>
    <w:rsid w:val="00E04F63"/>
    <w:rsid w:val="00E0549C"/>
    <w:rsid w:val="00E05704"/>
    <w:rsid w:val="00E06106"/>
    <w:rsid w:val="00E06E27"/>
    <w:rsid w:val="00E075A1"/>
    <w:rsid w:val="00E079A9"/>
    <w:rsid w:val="00E1024C"/>
    <w:rsid w:val="00E10462"/>
    <w:rsid w:val="00E10661"/>
    <w:rsid w:val="00E10784"/>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1DBB"/>
    <w:rsid w:val="00E52847"/>
    <w:rsid w:val="00E52A51"/>
    <w:rsid w:val="00E53933"/>
    <w:rsid w:val="00E577A1"/>
    <w:rsid w:val="00E57F6B"/>
    <w:rsid w:val="00E623BF"/>
    <w:rsid w:val="00E62456"/>
    <w:rsid w:val="00E632FB"/>
    <w:rsid w:val="00E641A8"/>
    <w:rsid w:val="00E658AD"/>
    <w:rsid w:val="00E65CA6"/>
    <w:rsid w:val="00E65E1B"/>
    <w:rsid w:val="00E662E8"/>
    <w:rsid w:val="00E66508"/>
    <w:rsid w:val="00E66C3B"/>
    <w:rsid w:val="00E673C1"/>
    <w:rsid w:val="00E70AA6"/>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65A"/>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610D"/>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703"/>
    <w:rsid w:val="00EE49B5"/>
    <w:rsid w:val="00EE58B2"/>
    <w:rsid w:val="00EE5A62"/>
    <w:rsid w:val="00EE5D09"/>
    <w:rsid w:val="00EE6258"/>
    <w:rsid w:val="00EE62D8"/>
    <w:rsid w:val="00EE7822"/>
    <w:rsid w:val="00EF0027"/>
    <w:rsid w:val="00EF0E72"/>
    <w:rsid w:val="00EF1119"/>
    <w:rsid w:val="00EF163B"/>
    <w:rsid w:val="00EF1F0B"/>
    <w:rsid w:val="00EF2517"/>
    <w:rsid w:val="00EF2D55"/>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649"/>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3692F"/>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610"/>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2D91"/>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41D8"/>
    <w:rsid w:val="00FD5823"/>
    <w:rsid w:val="00FD5F5C"/>
    <w:rsid w:val="00FD6531"/>
    <w:rsid w:val="00FD6617"/>
    <w:rsid w:val="00FD7369"/>
    <w:rsid w:val="00FD73EE"/>
    <w:rsid w:val="00FE02BF"/>
    <w:rsid w:val="00FE0A73"/>
    <w:rsid w:val="00FE1C27"/>
    <w:rsid w:val="00FE249F"/>
    <w:rsid w:val="00FE2AE4"/>
    <w:rsid w:val="00FE480E"/>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B56484"/>
    <w:rsid w:val="03B84697"/>
    <w:rsid w:val="040669F4"/>
    <w:rsid w:val="05370FE1"/>
    <w:rsid w:val="08613ED7"/>
    <w:rsid w:val="08FE48C8"/>
    <w:rsid w:val="090C0806"/>
    <w:rsid w:val="098B0C04"/>
    <w:rsid w:val="09AA5678"/>
    <w:rsid w:val="0A5E4659"/>
    <w:rsid w:val="0AEB5FE9"/>
    <w:rsid w:val="0B605985"/>
    <w:rsid w:val="0CA8710F"/>
    <w:rsid w:val="0DF86579"/>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087837"/>
    <w:rsid w:val="301A4E70"/>
    <w:rsid w:val="304C0F7A"/>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BC2984"/>
    <w:rsid w:val="49CA6C65"/>
    <w:rsid w:val="4A455FF0"/>
    <w:rsid w:val="4A77022A"/>
    <w:rsid w:val="4B3118C3"/>
    <w:rsid w:val="4B49460C"/>
    <w:rsid w:val="4BFD2018"/>
    <w:rsid w:val="4C0F52AD"/>
    <w:rsid w:val="4C3B0E2F"/>
    <w:rsid w:val="4CAB0D7C"/>
    <w:rsid w:val="4D0038F1"/>
    <w:rsid w:val="4F667E20"/>
    <w:rsid w:val="4FF35FAD"/>
    <w:rsid w:val="5054095A"/>
    <w:rsid w:val="509800C2"/>
    <w:rsid w:val="515A150F"/>
    <w:rsid w:val="523D1B41"/>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94B690C"/>
    <w:rsid w:val="69644310"/>
    <w:rsid w:val="6A93762C"/>
    <w:rsid w:val="6A996F13"/>
    <w:rsid w:val="6A9B2760"/>
    <w:rsid w:val="6C011206"/>
    <w:rsid w:val="6C4130E2"/>
    <w:rsid w:val="6C6C4759"/>
    <w:rsid w:val="6C910893"/>
    <w:rsid w:val="6D6313BE"/>
    <w:rsid w:val="6EBE69BB"/>
    <w:rsid w:val="6EC5514E"/>
    <w:rsid w:val="70302D78"/>
    <w:rsid w:val="70FF71F1"/>
    <w:rsid w:val="7255060F"/>
    <w:rsid w:val="729F162E"/>
    <w:rsid w:val="7549288D"/>
    <w:rsid w:val="77460B34"/>
    <w:rsid w:val="777423E0"/>
    <w:rsid w:val="787C2959"/>
    <w:rsid w:val="78D55E45"/>
    <w:rsid w:val="7BF94230"/>
    <w:rsid w:val="7C5D4075"/>
    <w:rsid w:val="7C97301E"/>
    <w:rsid w:val="7D5B1D38"/>
    <w:rsid w:val="7F2F30B3"/>
    <w:rsid w:val="F3DFA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font11"/>
    <w:basedOn w:val="60"/>
    <w:qFormat/>
    <w:uiPriority w:val="0"/>
    <w:rPr>
      <w:rFonts w:hint="eastAsia" w:ascii="宋体" w:hAnsi="宋体" w:eastAsia="宋体" w:cs="宋体"/>
      <w:b/>
      <w:bCs/>
      <w:color w:val="000000"/>
      <w:sz w:val="15"/>
      <w:szCs w:val="15"/>
      <w:u w:val="none"/>
    </w:rPr>
  </w:style>
  <w:style w:type="character" w:customStyle="1" w:styleId="271">
    <w:name w:val="font21"/>
    <w:basedOn w:val="60"/>
    <w:qFormat/>
    <w:uiPriority w:val="0"/>
    <w:rPr>
      <w:rFonts w:hint="eastAsia" w:ascii="宋体" w:hAnsi="宋体" w:eastAsia="宋体" w:cs="宋体"/>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3821</Words>
  <Characters>21786</Characters>
  <Lines>181</Lines>
  <Paragraphs>51</Paragraphs>
  <TotalTime>10</TotalTime>
  <ScaleCrop>false</ScaleCrop>
  <LinksUpToDate>false</LinksUpToDate>
  <CharactersWithSpaces>25556</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2022-03-07T14:30:00Z</dcterms:created>
  <dc:creator>罗成</dc:creator>
  <cp:lastModifiedBy>刘小小呀</cp:lastModifiedBy>
  <cp:lastPrinted>2020-09-18T15:14:00Z</cp:lastPrinted>
  <dcterms:modified xsi:type="dcterms:W3CDTF">2025-02-25T18:23:58Z</dcterms:modified>
  <dc:title>竞争性谈判文件</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724EE76639CEA9642C9ABD67906D6BD3_43</vt:lpwstr>
  </property>
</Properties>
</file>