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20D9">
      <w:pPr>
        <w:pStyle w:val="11"/>
        <w:keepNext w:val="0"/>
        <w:keepLines w:val="0"/>
        <w:pageBreakBefore w:val="0"/>
        <w:widowControl w:val="0"/>
        <w:kinsoku/>
        <w:wordWrap/>
        <w:overflowPunct/>
        <w:topLinePunct w:val="0"/>
        <w:autoSpaceDE/>
        <w:autoSpaceDN/>
        <w:bidi w:val="0"/>
        <w:adjustRightInd/>
        <w:snapToGrid/>
        <w:spacing w:after="180" w:line="560" w:lineRule="exact"/>
        <w:ind w:firstLine="0"/>
        <w:textAlignment w:val="auto"/>
        <w:rPr>
          <w:rFonts w:hint="default" w:ascii="方正黑体_GBK" w:hAnsi="方正黑体_GBK" w:eastAsia="方正黑体_GBK" w:cs="方正黑体_GBK"/>
          <w:sz w:val="32"/>
          <w:szCs w:val="32"/>
          <w:lang w:val="en-US" w:eastAsia="zh-CN"/>
        </w:rPr>
      </w:pPr>
      <w:bookmarkStart w:id="2" w:name="_GoBack"/>
      <w:bookmarkEnd w:id="2"/>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78CA42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响应文件</w:t>
      </w:r>
    </w:p>
    <w:p w14:paraId="295644FD">
      <w:pPr>
        <w:pStyle w:val="3"/>
      </w:pPr>
    </w:p>
    <w:p w14:paraId="63F742F8">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报价部分</w:t>
      </w:r>
    </w:p>
    <w:p w14:paraId="159DE4BF">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方正仿宋_GBK"/>
          <w:sz w:val="32"/>
          <w:szCs w:val="32"/>
          <w:lang w:val="en-US" w:eastAsia="zh-CN"/>
        </w:rPr>
        <w:t>格式自拟。</w:t>
      </w:r>
    </w:p>
    <w:p w14:paraId="2FDFF8B5">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技术部分</w:t>
      </w:r>
    </w:p>
    <w:p w14:paraId="2A08B73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u w:val="none"/>
          <w:lang w:eastAsia="zh-CN"/>
        </w:rPr>
      </w:pPr>
      <w:bookmarkStart w:id="0" w:name="bookmark30"/>
      <w:r>
        <w:rPr>
          <w:rFonts w:hint="eastAsia" w:ascii="仿宋" w:hAnsi="仿宋" w:eastAsia="仿宋" w:cs="仿宋"/>
          <w:u w:val="none"/>
          <w:lang w:eastAsia="zh-CN"/>
        </w:rPr>
        <w:t>格式自拟。</w:t>
      </w:r>
    </w:p>
    <w:bookmarkEnd w:id="0"/>
    <w:p w14:paraId="53936B49">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商务部分</w:t>
      </w:r>
    </w:p>
    <w:p w14:paraId="19666242">
      <w:pPr>
        <w:pStyle w:val="11"/>
        <w:keepNext w:val="0"/>
        <w:keepLines w:val="0"/>
        <w:pageBreakBefore w:val="0"/>
        <w:widowControl w:val="0"/>
        <w:tabs>
          <w:tab w:val="left" w:pos="1637"/>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u w:val="none"/>
          <w:lang w:val="en-US" w:eastAsia="zh-CN"/>
        </w:rPr>
      </w:pPr>
      <w:bookmarkStart w:id="1" w:name="bookmark33"/>
      <w:r>
        <w:rPr>
          <w:rFonts w:hint="eastAsia" w:ascii="仿宋" w:hAnsi="仿宋" w:eastAsia="仿宋" w:cs="仿宋"/>
          <w:u w:val="none"/>
          <w:lang w:eastAsia="zh-CN"/>
        </w:rPr>
        <w:t>格式自拟。</w:t>
      </w:r>
    </w:p>
    <w:bookmarkEnd w:id="1"/>
    <w:p w14:paraId="1E32A090">
      <w:pPr>
        <w:pStyle w:val="11"/>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2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eastAsia="zh-CN"/>
        </w:rPr>
        <w:tab/>
      </w:r>
      <w:r>
        <w:rPr>
          <w:rFonts w:hint="eastAsia" w:ascii="方正黑体_GBK" w:hAnsi="方正黑体_GBK" w:eastAsia="方正黑体_GBK" w:cs="方正黑体_GBK"/>
          <w:sz w:val="32"/>
          <w:szCs w:val="32"/>
          <w:lang w:eastAsia="zh-CN"/>
        </w:rPr>
        <w:t>其他资料</w:t>
      </w:r>
    </w:p>
    <w:p w14:paraId="79DA839B">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（一）服务质量承诺（自附）；</w:t>
      </w:r>
    </w:p>
    <w:p w14:paraId="790E405E">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仿宋" w:hAnsi="仿宋" w:eastAsia="仿宋" w:cs="仿宋"/>
          <w:lang w:eastAsia="zh-CN"/>
        </w:rPr>
        <w:t>（二）</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法人营业执照（副本）</w:t>
      </w:r>
      <w:r>
        <w:rPr>
          <w:rFonts w:hint="eastAsia" w:ascii="Times New Roman" w:hAnsi="Times New Roman" w:eastAsia="方正仿宋_GBK" w:cs="方正仿宋_GBK"/>
          <w:sz w:val="32"/>
          <w:szCs w:val="32"/>
          <w:lang w:val="en-US" w:eastAsia="zh-CN"/>
        </w:rPr>
        <w:t>、报价人</w:t>
      </w:r>
      <w:r>
        <w:rPr>
          <w:rFonts w:hint="default" w:ascii="Times New Roman" w:hAnsi="Times New Roman" w:eastAsia="方正仿宋_GBK" w:cs="方正仿宋_GBK"/>
          <w:sz w:val="32"/>
          <w:szCs w:val="32"/>
          <w:lang w:val="en-US" w:eastAsia="zh-CN"/>
        </w:rPr>
        <w:t>法定代表人身份证明和法定代表人授权代表委托书</w:t>
      </w:r>
      <w:r>
        <w:rPr>
          <w:rFonts w:hint="eastAsia" w:ascii="Times New Roman" w:hAnsi="Times New Roman" w:eastAsia="方正仿宋_GBK" w:cs="方正仿宋_GBK"/>
          <w:sz w:val="32"/>
          <w:szCs w:val="32"/>
          <w:lang w:val="en-US" w:eastAsia="zh-CN"/>
        </w:rPr>
        <w:t>（格式自拟）；</w:t>
      </w:r>
    </w:p>
    <w:p w14:paraId="50EEC8AA">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default" w:ascii="Times New Roman" w:hAnsi="Times New Roman" w:eastAsia="方正仿宋_GBK" w:cs="方正仿宋_GBK"/>
          <w:sz w:val="32"/>
          <w:szCs w:val="32"/>
          <w:lang w:val="en-US" w:eastAsia="zh-CN"/>
        </w:rPr>
        <w:t>参加</w:t>
      </w:r>
      <w:r>
        <w:rPr>
          <w:rFonts w:hint="eastAsia" w:ascii="Times New Roman" w:hAnsi="Times New Roman" w:eastAsia="方正仿宋_GBK" w:cs="方正仿宋_GBK"/>
          <w:sz w:val="32"/>
          <w:szCs w:val="32"/>
          <w:lang w:val="en-US" w:eastAsia="zh-CN"/>
        </w:rPr>
        <w:t>本</w:t>
      </w:r>
      <w:r>
        <w:rPr>
          <w:rFonts w:hint="default" w:ascii="Times New Roman" w:hAnsi="Times New Roman" w:eastAsia="方正仿宋_GBK" w:cs="方正仿宋_GBK"/>
          <w:sz w:val="32"/>
          <w:szCs w:val="32"/>
          <w:lang w:val="en-US" w:eastAsia="zh-CN"/>
        </w:rPr>
        <w:t>采购活动前三年内，在经营活动中没有重大违法记录</w:t>
      </w:r>
      <w:r>
        <w:rPr>
          <w:rFonts w:hint="eastAsia" w:ascii="Times New Roman" w:hAnsi="Times New Roman" w:eastAsia="方正仿宋_GBK" w:cs="方正仿宋_GBK"/>
          <w:sz w:val="32"/>
          <w:szCs w:val="32"/>
          <w:lang w:val="en-US" w:eastAsia="zh-CN"/>
        </w:rPr>
        <w:t>的书面声明（格式自拟）；</w:t>
      </w:r>
    </w:p>
    <w:p w14:paraId="1CB0E79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w:t>
      </w:r>
      <w:r>
        <w:rPr>
          <w:rFonts w:hint="default" w:ascii="Times New Roman" w:hAnsi="Times New Roman" w:eastAsia="方正仿宋_GBK" w:cs="方正仿宋_GBK"/>
          <w:sz w:val="32"/>
          <w:szCs w:val="32"/>
          <w:lang w:val="en-US" w:eastAsia="zh-CN"/>
        </w:rPr>
        <w:t>有依法缴纳税收的良好记录</w:t>
      </w:r>
      <w:r>
        <w:rPr>
          <w:rFonts w:hint="eastAsia" w:ascii="Times New Roman" w:hAnsi="Times New Roman" w:eastAsia="方正仿宋_GBK" w:cs="方正仿宋_GBK"/>
          <w:sz w:val="32"/>
          <w:szCs w:val="32"/>
          <w:lang w:val="en-US" w:eastAsia="zh-CN"/>
        </w:rPr>
        <w:t>的</w:t>
      </w:r>
      <w:r>
        <w:rPr>
          <w:rFonts w:hint="default" w:ascii="Times New Roman" w:hAnsi="Times New Roman" w:eastAsia="方正仿宋_GBK" w:cs="方正仿宋_GBK"/>
          <w:sz w:val="32"/>
          <w:szCs w:val="32"/>
          <w:lang w:val="en-US" w:eastAsia="zh-CN"/>
        </w:rPr>
        <w:t>书面声明</w:t>
      </w:r>
      <w:r>
        <w:rPr>
          <w:rFonts w:hint="eastAsia" w:ascii="Times New Roman" w:hAnsi="Times New Roman" w:eastAsia="方正仿宋_GBK" w:cs="方正仿宋_GBK"/>
          <w:sz w:val="32"/>
          <w:szCs w:val="32"/>
          <w:lang w:val="en-US" w:eastAsia="zh-CN"/>
        </w:rPr>
        <w:t>（格式自拟）；</w:t>
      </w:r>
    </w:p>
    <w:p w14:paraId="6ED3B983">
      <w:pPr>
        <w:pStyle w:val="11"/>
        <w:keepNext w:val="0"/>
        <w:keepLines w:val="0"/>
        <w:pageBreakBefore w:val="0"/>
        <w:widowControl w:val="0"/>
        <w:kinsoku/>
        <w:wordWrap/>
        <w:overflowPunct/>
        <w:topLinePunct w:val="0"/>
        <w:autoSpaceDE/>
        <w:autoSpaceDN/>
        <w:bidi w:val="0"/>
        <w:adjustRightInd/>
        <w:snapToGrid/>
        <w:spacing w:line="560" w:lineRule="exact"/>
        <w:ind w:firstLine="620"/>
        <w:textAlignment w:val="auto"/>
        <w:rPr>
          <w:rFonts w:hint="eastAsia" w:ascii="仿宋" w:hAnsi="仿宋" w:eastAsia="仿宋" w:cs="仿宋"/>
          <w:lang w:eastAsia="zh-CN"/>
        </w:rPr>
      </w:pPr>
      <w:r>
        <w:rPr>
          <w:rFonts w:hint="eastAsia" w:ascii="仿宋" w:hAnsi="仿宋" w:eastAsia="仿宋" w:cs="仿宋"/>
          <w:lang w:eastAsia="zh-CN"/>
        </w:rPr>
        <w:t>（五）其他资料（自附）。</w:t>
      </w:r>
    </w:p>
    <w:p w14:paraId="19141A70">
      <w:r>
        <w:br w:type="page"/>
      </w:r>
    </w:p>
    <w:p w14:paraId="52DFA25A">
      <w:pPr>
        <w:keepNext w:val="0"/>
        <w:keepLines w:val="0"/>
        <w:widowControl w:val="0"/>
        <w:suppressLineNumbers w:val="0"/>
        <w:autoSpaceDE w:val="0"/>
        <w:autoSpaceDN/>
        <w:adjustRightInd w:val="0"/>
        <w:snapToGrid w:val="0"/>
        <w:spacing w:before="0" w:beforeAutospacing="0" w:after="0" w:afterAutospacing="0" w:line="560" w:lineRule="exact"/>
        <w:ind w:left="0" w:right="0"/>
        <w:jc w:val="left"/>
        <w:rPr>
          <w:rFonts w:hint="eastAsia" w:ascii="方正黑体_GBK" w:hAnsi="方正黑体_GBK" w:eastAsia="方正黑体_GBK" w:cs="方正黑体_GBK"/>
          <w:b/>
          <w:bCs w:val="0"/>
          <w:color w:val="000000"/>
          <w:kern w:val="2"/>
          <w:sz w:val="44"/>
          <w:szCs w:val="44"/>
        </w:rPr>
      </w:pPr>
      <w:r>
        <w:rPr>
          <w:rFonts w:hint="eastAsia" w:ascii="方正黑体_GBK" w:hAnsi="方正黑体_GBK" w:eastAsia="方正黑体_GBK" w:cs="方正黑体_GBK"/>
          <w:kern w:val="2"/>
          <w:sz w:val="32"/>
          <w:szCs w:val="32"/>
          <w:lang w:val="en-US" w:eastAsia="zh-CN" w:bidi="ar"/>
        </w:rPr>
        <w:t>附件2：</w:t>
      </w:r>
    </w:p>
    <w:p w14:paraId="2A30D935">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数字陆海新通道应用开发期云资源</w:t>
      </w:r>
    </w:p>
    <w:p w14:paraId="302534C6">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rPr>
          <w:rFonts w:hint="eastAsia" w:ascii="方正小标宋_GBK" w:hAnsi="仿宋" w:eastAsia="方正小标宋_GBK" w:cs="Times New Roman"/>
          <w:kern w:val="2"/>
          <w:sz w:val="44"/>
          <w:szCs w:val="44"/>
        </w:rPr>
      </w:pPr>
      <w:r>
        <w:rPr>
          <w:rFonts w:hint="eastAsia" w:ascii="方正小标宋_GBK" w:hAnsi="方正小标宋_GBK" w:eastAsia="方正小标宋_GBK" w:cs="方正小标宋_GBK"/>
          <w:bCs/>
          <w:color w:val="000000"/>
          <w:kern w:val="2"/>
          <w:sz w:val="44"/>
          <w:szCs w:val="44"/>
          <w:lang w:val="en-US" w:eastAsia="zh-CN" w:bidi="ar"/>
        </w:rPr>
        <w:t>租赁服务商评审标准</w:t>
      </w: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8"/>
        <w:gridCol w:w="798"/>
        <w:gridCol w:w="4883"/>
        <w:gridCol w:w="2085"/>
      </w:tblGrid>
      <w:tr w14:paraId="7120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D7D7D7"/>
            <w:noWrap w:val="0"/>
            <w:vAlign w:val="center"/>
          </w:tcPr>
          <w:p w14:paraId="6F37023B">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序号</w:t>
            </w:r>
          </w:p>
        </w:tc>
        <w:tc>
          <w:tcPr>
            <w:tcW w:w="1328" w:type="dxa"/>
            <w:shd w:val="clear" w:color="auto" w:fill="D7D7D7"/>
            <w:noWrap w:val="0"/>
            <w:vAlign w:val="center"/>
          </w:tcPr>
          <w:p w14:paraId="043DD01A">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评分因素</w:t>
            </w:r>
          </w:p>
          <w:p w14:paraId="4BA68B56">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及权重</w:t>
            </w:r>
          </w:p>
        </w:tc>
        <w:tc>
          <w:tcPr>
            <w:tcW w:w="798" w:type="dxa"/>
            <w:shd w:val="clear" w:color="auto" w:fill="D7D7D7"/>
            <w:noWrap w:val="0"/>
            <w:vAlign w:val="center"/>
          </w:tcPr>
          <w:p w14:paraId="679FC812">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分值</w:t>
            </w:r>
          </w:p>
        </w:tc>
        <w:tc>
          <w:tcPr>
            <w:tcW w:w="4883" w:type="dxa"/>
            <w:shd w:val="clear" w:color="auto" w:fill="D7D7D7"/>
            <w:noWrap w:val="0"/>
            <w:vAlign w:val="center"/>
          </w:tcPr>
          <w:p w14:paraId="55301864">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评分标准</w:t>
            </w:r>
          </w:p>
        </w:tc>
        <w:tc>
          <w:tcPr>
            <w:tcW w:w="2085" w:type="dxa"/>
            <w:shd w:val="clear" w:color="auto" w:fill="D7D7D7"/>
            <w:noWrap w:val="0"/>
            <w:vAlign w:val="center"/>
          </w:tcPr>
          <w:p w14:paraId="71826380">
            <w:pPr>
              <w:pStyle w:val="7"/>
              <w:keepNext w:val="0"/>
              <w:keepLines w:val="0"/>
              <w:widowControl w:val="0"/>
              <w:suppressLineNumbers w:val="0"/>
              <w:autoSpaceDE w:val="0"/>
              <w:autoSpaceDN/>
              <w:snapToGrid w:val="0"/>
              <w:spacing w:before="120" w:beforeAutospacing="0" w:after="120" w:afterAutospacing="0" w:line="360" w:lineRule="auto"/>
              <w:ind w:left="0" w:right="0"/>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kern w:val="0"/>
                <w:sz w:val="24"/>
                <w:szCs w:val="24"/>
                <w:lang w:val="en-US" w:eastAsia="zh-CN" w:bidi="ar"/>
              </w:rPr>
              <w:t>说明</w:t>
            </w:r>
          </w:p>
        </w:tc>
      </w:tr>
      <w:tr w14:paraId="19E6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14:paraId="0AA04F61">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1</w:t>
            </w:r>
          </w:p>
        </w:tc>
        <w:tc>
          <w:tcPr>
            <w:tcW w:w="1328" w:type="dxa"/>
            <w:noWrap w:val="0"/>
            <w:vAlign w:val="center"/>
          </w:tcPr>
          <w:p w14:paraId="5EDD976A">
            <w:pPr>
              <w:keepNext w:val="0"/>
              <w:keepLines w:val="0"/>
              <w:widowControl w:val="0"/>
              <w:suppressLineNumbers w:val="0"/>
              <w:autoSpaceDE w:val="0"/>
              <w:autoSpaceDN/>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w:t>
            </w:r>
          </w:p>
          <w:p w14:paraId="5334DD85">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6A72DAD">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10</w:t>
            </w:r>
          </w:p>
        </w:tc>
        <w:tc>
          <w:tcPr>
            <w:tcW w:w="4883" w:type="dxa"/>
            <w:noWrap w:val="0"/>
            <w:vAlign w:val="center"/>
          </w:tcPr>
          <w:p w14:paraId="304076C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满足比选文件要求且报价最低的供应商的最低折扣为比选基准折扣，其价格分为满分。按照下列公式计算每个供应商的比选报价得分。</w:t>
            </w:r>
          </w:p>
          <w:p w14:paraId="53B1AB1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比选报价得分=（比选基准折扣/比选报价折扣）×价格权值×</w:t>
            </w:r>
            <w:r>
              <w:rPr>
                <w:rFonts w:hint="default" w:ascii="Times New Roman" w:hAnsi="Times New Roman" w:eastAsia="方正仿宋_GBK" w:cs="Times New Roman"/>
                <w:color w:val="000000"/>
                <w:kern w:val="0"/>
                <w:sz w:val="24"/>
                <w:szCs w:val="24"/>
                <w:lang w:val="en-US" w:eastAsia="zh-CN" w:bidi="ar"/>
              </w:rPr>
              <w:t>100</w:t>
            </w:r>
          </w:p>
        </w:tc>
        <w:tc>
          <w:tcPr>
            <w:tcW w:w="2085" w:type="dxa"/>
            <w:noWrap w:val="0"/>
            <w:vAlign w:val="center"/>
          </w:tcPr>
          <w:p w14:paraId="31534D6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12D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34" w:type="dxa"/>
            <w:vMerge w:val="restart"/>
            <w:noWrap w:val="0"/>
            <w:vAlign w:val="center"/>
          </w:tcPr>
          <w:p w14:paraId="6A143405">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2</w:t>
            </w:r>
          </w:p>
        </w:tc>
        <w:tc>
          <w:tcPr>
            <w:tcW w:w="1328" w:type="dxa"/>
            <w:vMerge w:val="restart"/>
            <w:noWrap w:val="0"/>
            <w:vAlign w:val="center"/>
          </w:tcPr>
          <w:p w14:paraId="497B3E24">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技术部分</w:t>
            </w:r>
          </w:p>
          <w:p w14:paraId="2ED27A4A">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5E3B37DB">
            <w:pPr>
              <w:keepNext w:val="0"/>
              <w:keepLines w:val="0"/>
              <w:widowControl w:val="0"/>
              <w:suppressLineNumbers w:val="0"/>
              <w:autoSpaceDE w:val="0"/>
              <w:autoSpaceDN/>
              <w:snapToGrid w:val="0"/>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51FFCA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实施方案：</w:t>
            </w:r>
          </w:p>
          <w:p w14:paraId="4B07CB3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供应商针对本项目制定的项目总体实施方案,内容包含总体工作思路、实施方案、对工作推进路线的理解和认识、措施和对策等：</w:t>
            </w:r>
          </w:p>
          <w:p w14:paraId="3175280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项目总体实施方案思路清晰，全面合理，表述准确且可操作性强的，得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778E291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项目总体实施方案思路较清晰，较全面合理，表述准确且有可操作性的，得</w:t>
            </w: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p w14:paraId="0CBE73C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项目总体实施方案思路基本清晰，虽较粗略，但有一定的可操作性，得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6B9D3C9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项目总体实施方案思路不清晰，不全面、缺乏合理性或未提供的，得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23D7591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56D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34" w:type="dxa"/>
            <w:vMerge w:val="continue"/>
            <w:noWrap w:val="0"/>
            <w:vAlign w:val="center"/>
          </w:tcPr>
          <w:p w14:paraId="05ABA7FD">
            <w:pPr>
              <w:rPr>
                <w:rFonts w:hint="default" w:ascii="Times New Roman" w:hAnsi="Times New Roman" w:cs="Times New Roman"/>
                <w:sz w:val="20"/>
                <w:szCs w:val="20"/>
              </w:rPr>
            </w:pPr>
          </w:p>
        </w:tc>
        <w:tc>
          <w:tcPr>
            <w:tcW w:w="1328" w:type="dxa"/>
            <w:vMerge w:val="continue"/>
            <w:noWrap w:val="0"/>
            <w:vAlign w:val="center"/>
          </w:tcPr>
          <w:p w14:paraId="426D6B94">
            <w:pPr>
              <w:rPr>
                <w:rFonts w:hint="default" w:ascii="Times New Roman" w:hAnsi="Times New Roman" w:cs="Times New Roman"/>
                <w:sz w:val="20"/>
                <w:szCs w:val="20"/>
              </w:rPr>
            </w:pPr>
          </w:p>
        </w:tc>
        <w:tc>
          <w:tcPr>
            <w:tcW w:w="798" w:type="dxa"/>
            <w:noWrap w:val="0"/>
            <w:vAlign w:val="center"/>
          </w:tcPr>
          <w:p w14:paraId="79011A7D">
            <w:pPr>
              <w:pStyle w:val="7"/>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254A91A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安全方案：</w:t>
            </w:r>
          </w:p>
          <w:p w14:paraId="22C60A51">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供应商针对本项目制定系统设计安全方案，安全方案应按照网络安全等级保护</w:t>
            </w:r>
            <w:r>
              <w:rPr>
                <w:rFonts w:hint="default" w:ascii="Times New Roman" w:hAnsi="Times New Roman" w:eastAsia="方正仿宋_GBK"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三级及以上标准设计：</w:t>
            </w:r>
          </w:p>
          <w:p w14:paraId="60DDAA6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安全方案满足文件中的要求，完全符合有关技术规定，表述合理清晰，操作性强，经济适用，得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64166C5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安全方案满足文件中的要求，符合有关技术规定，表述较合理，较清晰，具有可操作性，比较适用的，得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039D9A3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安全方案满足文件中的要求，基本符合有关技术规定，表述虽较粗略，但具有可操作性，得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76389BD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安全方案不满足文件要求，表述不合理、不清晰、不具有可操作性或未提供，得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48101EAD">
            <w:pPr>
              <w:keepNext w:val="0"/>
              <w:keepLines w:val="0"/>
              <w:widowControl w:val="0"/>
              <w:suppressLineNumbers w:val="0"/>
              <w:autoSpaceDE w:val="0"/>
              <w:autoSpaceDN/>
              <w:snapToGrid w:val="0"/>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739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continue"/>
            <w:noWrap w:val="0"/>
            <w:vAlign w:val="center"/>
          </w:tcPr>
          <w:p w14:paraId="2747E4B5">
            <w:pPr>
              <w:rPr>
                <w:rFonts w:hint="default" w:ascii="Times New Roman" w:hAnsi="Times New Roman" w:cs="Times New Roman"/>
                <w:sz w:val="20"/>
                <w:szCs w:val="20"/>
              </w:rPr>
            </w:pPr>
          </w:p>
        </w:tc>
        <w:tc>
          <w:tcPr>
            <w:tcW w:w="1328" w:type="dxa"/>
            <w:vMerge w:val="continue"/>
            <w:noWrap w:val="0"/>
            <w:vAlign w:val="center"/>
          </w:tcPr>
          <w:p w14:paraId="1E1216BD">
            <w:pPr>
              <w:rPr>
                <w:rFonts w:hint="default" w:ascii="Times New Roman" w:hAnsi="Times New Roman" w:cs="Times New Roman"/>
                <w:sz w:val="20"/>
                <w:szCs w:val="20"/>
              </w:rPr>
            </w:pPr>
          </w:p>
        </w:tc>
        <w:tc>
          <w:tcPr>
            <w:tcW w:w="798" w:type="dxa"/>
            <w:noWrap w:val="0"/>
            <w:vAlign w:val="center"/>
          </w:tcPr>
          <w:p w14:paraId="04769B35">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7BE3BE8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云服务培训方案：</w:t>
            </w:r>
          </w:p>
          <w:p w14:paraId="10A4EE1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供应商提供的云服务培训方案：</w:t>
            </w:r>
          </w:p>
          <w:p w14:paraId="2418646C">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方正仿宋_GBK" w:hAnsi="方正仿宋_GBK" w:eastAsia="方正仿宋_GBK" w:cs="方正仿宋_GBK"/>
                <w:color w:val="000000"/>
                <w:kern w:val="0"/>
                <w:sz w:val="24"/>
                <w:szCs w:val="24"/>
                <w:lang w:val="en-US" w:eastAsia="zh-CN" w:bidi="ar"/>
              </w:rPr>
              <w:t>服务培训方案具有详细计划和完善的培训内容，全面清晰的，得</w:t>
            </w:r>
            <w:r>
              <w:rPr>
                <w:rFonts w:hint="eastAsia" w:ascii="Times New Roman" w:hAnsi="Times New Roman" w:cs="Times New Roman"/>
                <w:color w:val="000000"/>
                <w:kern w:val="0"/>
                <w:sz w:val="24"/>
                <w:szCs w:val="24"/>
                <w:lang w:val="en-US" w:eastAsia="zh-CN" w:bidi="ar"/>
              </w:rPr>
              <w:t>20</w:t>
            </w:r>
            <w:r>
              <w:rPr>
                <w:rFonts w:hint="eastAsia" w:ascii="方正仿宋_GBK" w:hAnsi="方正仿宋_GBK" w:eastAsia="方正仿宋_GBK" w:cs="方正仿宋_GBK"/>
                <w:color w:val="000000"/>
                <w:kern w:val="0"/>
                <w:sz w:val="24"/>
                <w:szCs w:val="24"/>
                <w:lang w:val="en-US" w:eastAsia="zh-CN" w:bidi="ar"/>
              </w:rPr>
              <w:t>分；</w:t>
            </w:r>
          </w:p>
          <w:p w14:paraId="1D5E0B40">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2.</w:t>
            </w:r>
            <w:r>
              <w:rPr>
                <w:rFonts w:hint="eastAsia" w:ascii="方正仿宋_GBK" w:hAnsi="方正仿宋_GBK" w:eastAsia="方正仿宋_GBK" w:cs="方正仿宋_GBK"/>
                <w:color w:val="000000"/>
                <w:kern w:val="0"/>
                <w:sz w:val="24"/>
                <w:szCs w:val="24"/>
                <w:lang w:val="en-US" w:eastAsia="zh-CN" w:bidi="ar"/>
              </w:rPr>
              <w:t>服务培训方案有较为详细的计划和完善的培训内容，较全面清晰的，得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p w14:paraId="768DABA2">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r>
              <w:rPr>
                <w:rFonts w:hint="eastAsia" w:ascii="方正仿宋_GBK" w:hAnsi="方正仿宋_GBK" w:eastAsia="方正仿宋_GBK" w:cs="方正仿宋_GBK"/>
                <w:color w:val="000000"/>
                <w:kern w:val="0"/>
                <w:sz w:val="24"/>
                <w:szCs w:val="24"/>
                <w:lang w:val="en-US" w:eastAsia="zh-CN" w:bidi="ar"/>
              </w:rPr>
              <w:t>服务培训方案有培训计划和培训内容，但需要完善的，得</w:t>
            </w:r>
            <w:r>
              <w:rPr>
                <w:rFonts w:hint="eastAsia" w:ascii="Times New Roman" w:hAnsi="Times New Roman" w:cs="Times New Roman"/>
                <w:color w:val="000000"/>
                <w:kern w:val="0"/>
                <w:sz w:val="24"/>
                <w:szCs w:val="24"/>
                <w:lang w:val="en-US" w:eastAsia="zh-CN" w:bidi="ar"/>
              </w:rPr>
              <w:t>10</w:t>
            </w:r>
            <w:r>
              <w:rPr>
                <w:rFonts w:hint="eastAsia" w:ascii="方正仿宋_GBK" w:hAnsi="方正仿宋_GBK" w:eastAsia="方正仿宋_GBK" w:cs="方正仿宋_GBK"/>
                <w:color w:val="000000"/>
                <w:kern w:val="0"/>
                <w:sz w:val="24"/>
                <w:szCs w:val="24"/>
                <w:lang w:val="en-US" w:eastAsia="zh-CN" w:bidi="ar"/>
              </w:rPr>
              <w:t>分；</w:t>
            </w:r>
          </w:p>
          <w:p w14:paraId="7F5F031D">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4.</w:t>
            </w:r>
            <w:r>
              <w:rPr>
                <w:rFonts w:hint="eastAsia" w:ascii="方正仿宋_GBK" w:hAnsi="方正仿宋_GBK" w:eastAsia="方正仿宋_GBK" w:cs="方正仿宋_GBK"/>
                <w:color w:val="000000"/>
                <w:kern w:val="0"/>
                <w:sz w:val="24"/>
                <w:szCs w:val="24"/>
                <w:lang w:val="en-US" w:eastAsia="zh-CN" w:bidi="ar"/>
              </w:rPr>
              <w:t>服务培训方案无培训计划和内容，或未提供的，得</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6CD8359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p>
        </w:tc>
      </w:tr>
      <w:tr w14:paraId="15AF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restart"/>
            <w:noWrap w:val="0"/>
            <w:vAlign w:val="center"/>
          </w:tcPr>
          <w:p w14:paraId="0901D64D">
            <w:pPr>
              <w:keepNext w:val="0"/>
              <w:keepLines w:val="0"/>
              <w:widowControl w:val="0"/>
              <w:suppressLineNumbers w:val="0"/>
              <w:autoSpaceDE w:val="0"/>
              <w:autoSpaceDN/>
              <w:snapToGrid w:val="0"/>
              <w:spacing w:before="0" w:beforeAutospacing="0" w:after="0" w:afterAutospacing="0"/>
              <w:ind w:left="0" w:right="0" w:firstLine="28"/>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3</w:t>
            </w:r>
          </w:p>
        </w:tc>
        <w:tc>
          <w:tcPr>
            <w:tcW w:w="1328" w:type="dxa"/>
            <w:vMerge w:val="restart"/>
            <w:noWrap w:val="0"/>
            <w:vAlign w:val="center"/>
          </w:tcPr>
          <w:p w14:paraId="01085047">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商务部分</w:t>
            </w:r>
          </w:p>
          <w:p w14:paraId="7219FFE5">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w:t>
            </w:r>
            <w:r>
              <w:rPr>
                <w:rFonts w:hint="eastAsia" w:ascii="方正仿宋_GBK" w:hAnsi="方正仿宋_GBK" w:eastAsia="方正仿宋_GBK" w:cs="方正仿宋_GBK"/>
                <w:color w:val="000000"/>
                <w:kern w:val="0"/>
                <w:sz w:val="24"/>
                <w:szCs w:val="24"/>
                <w:lang w:val="en-US" w:eastAsia="zh-CN" w:bidi="ar"/>
              </w:rPr>
              <w:t>）</w:t>
            </w:r>
          </w:p>
        </w:tc>
        <w:tc>
          <w:tcPr>
            <w:tcW w:w="798" w:type="dxa"/>
            <w:noWrap w:val="0"/>
            <w:vAlign w:val="center"/>
          </w:tcPr>
          <w:p w14:paraId="18B89379">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3DF6E944">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0"/>
                <w:sz w:val="24"/>
                <w:szCs w:val="24"/>
                <w:lang w:val="en-US" w:eastAsia="zh-CN" w:bidi="ar"/>
              </w:rPr>
              <w:t>政务云平台密码测评：</w:t>
            </w:r>
          </w:p>
          <w:p w14:paraId="593A116C">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云服务商提供的重庆政务云平台通过商用密码应用安全性评估，提供报告扫描件得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5292265E">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提供密评机构发布的商用密码应用安全性评估报告扫描件并加盖云服务商公章或投标专用章</w:t>
            </w:r>
          </w:p>
        </w:tc>
      </w:tr>
      <w:tr w14:paraId="1073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34" w:type="dxa"/>
            <w:vMerge w:val="continue"/>
            <w:noWrap w:val="0"/>
            <w:vAlign w:val="center"/>
          </w:tcPr>
          <w:p w14:paraId="6F0CF0F0">
            <w:pPr>
              <w:rPr>
                <w:rFonts w:hint="default" w:ascii="Times New Roman" w:hAnsi="Times New Roman" w:cs="Times New Roman"/>
                <w:sz w:val="20"/>
                <w:szCs w:val="20"/>
              </w:rPr>
            </w:pPr>
          </w:p>
        </w:tc>
        <w:tc>
          <w:tcPr>
            <w:tcW w:w="1328" w:type="dxa"/>
            <w:vMerge w:val="continue"/>
            <w:noWrap w:val="0"/>
            <w:vAlign w:val="center"/>
          </w:tcPr>
          <w:p w14:paraId="749B5BC7">
            <w:pPr>
              <w:rPr>
                <w:rFonts w:hint="default" w:ascii="Times New Roman" w:hAnsi="Times New Roman" w:cs="Times New Roman"/>
                <w:sz w:val="20"/>
                <w:szCs w:val="20"/>
              </w:rPr>
            </w:pPr>
          </w:p>
        </w:tc>
        <w:tc>
          <w:tcPr>
            <w:tcW w:w="798" w:type="dxa"/>
            <w:noWrap w:val="0"/>
            <w:vAlign w:val="center"/>
          </w:tcPr>
          <w:p w14:paraId="0BD3FD29">
            <w:pPr>
              <w:keepNext w:val="0"/>
              <w:keepLines w:val="0"/>
              <w:widowControl w:val="0"/>
              <w:suppressLineNumbers w:val="0"/>
              <w:autoSpaceDE w:val="0"/>
              <w:autoSpaceDN/>
              <w:spacing w:before="0" w:beforeAutospacing="0" w:after="0" w:afterAutospacing="0"/>
              <w:ind w:left="0" w:right="0"/>
              <w:jc w:val="center"/>
              <w:rPr>
                <w:rFonts w:hint="eastAsia" w:ascii="方正仿宋_GBK" w:hAnsi="方正仿宋_GBK" w:eastAsia="方正仿宋_GBK" w:cs="方正仿宋_GBK"/>
                <w:color w:val="000000"/>
                <w:sz w:val="24"/>
                <w:szCs w:val="24"/>
              </w:rPr>
            </w:pPr>
            <w:r>
              <w:rPr>
                <w:rFonts w:hint="default" w:ascii="Times New Roman" w:hAnsi="Times New Roman" w:eastAsia="方正仿宋_GBK" w:cs="Times New Roman"/>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5</w:t>
            </w:r>
            <w:r>
              <w:rPr>
                <w:rFonts w:hint="eastAsia" w:ascii="方正仿宋_GBK" w:hAnsi="方正仿宋_GBK" w:eastAsia="方正仿宋_GBK" w:cs="方正仿宋_GBK"/>
                <w:color w:val="000000"/>
                <w:kern w:val="0"/>
                <w:sz w:val="24"/>
                <w:szCs w:val="24"/>
                <w:lang w:val="en-US" w:eastAsia="zh-CN" w:bidi="ar"/>
              </w:rPr>
              <w:t>分</w:t>
            </w:r>
          </w:p>
        </w:tc>
        <w:tc>
          <w:tcPr>
            <w:tcW w:w="4883" w:type="dxa"/>
            <w:noWrap w:val="0"/>
            <w:vAlign w:val="center"/>
          </w:tcPr>
          <w:p w14:paraId="5A943B4A">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政务云平台等保测评：</w:t>
            </w:r>
          </w:p>
          <w:p w14:paraId="445C20E3">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云服务商提供的重庆政务云平台通过网络安全等级保护测评，提供报告扫描件得</w:t>
            </w:r>
            <w:r>
              <w:rPr>
                <w:rFonts w:hint="eastAsia" w:ascii="Times New Roman" w:hAnsi="Times New Roman" w:cs="Times New Roman"/>
                <w:color w:val="000000"/>
                <w:kern w:val="0"/>
                <w:sz w:val="24"/>
                <w:szCs w:val="24"/>
                <w:lang w:val="en-US" w:eastAsia="zh-CN" w:bidi="ar"/>
              </w:rPr>
              <w:t>15</w:t>
            </w:r>
            <w:r>
              <w:rPr>
                <w:rFonts w:hint="eastAsia" w:ascii="方正仿宋_GBK" w:hAnsi="方正仿宋_GBK" w:eastAsia="方正仿宋_GBK" w:cs="方正仿宋_GBK"/>
                <w:color w:val="000000"/>
                <w:kern w:val="0"/>
                <w:sz w:val="24"/>
                <w:szCs w:val="24"/>
                <w:lang w:val="en-US" w:eastAsia="zh-CN" w:bidi="ar"/>
              </w:rPr>
              <w:t>分。</w:t>
            </w:r>
          </w:p>
        </w:tc>
        <w:tc>
          <w:tcPr>
            <w:tcW w:w="2085" w:type="dxa"/>
            <w:noWrap w:val="0"/>
            <w:vAlign w:val="center"/>
          </w:tcPr>
          <w:p w14:paraId="05C81D4B">
            <w:pPr>
              <w:keepNext w:val="0"/>
              <w:keepLines w:val="0"/>
              <w:widowControl w:val="0"/>
              <w:suppressLineNumbers w:val="0"/>
              <w:autoSpaceDE w:val="0"/>
              <w:autoSpaceDN/>
              <w:spacing w:before="0" w:beforeAutospacing="0" w:after="0" w:afterAutospacing="0"/>
              <w:ind w:left="0" w:right="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提供等保测评机构发布的网络安全等级保护测评报告扫描件并加盖云服务商公章或投标专用章。</w:t>
            </w:r>
          </w:p>
        </w:tc>
      </w:tr>
    </w:tbl>
    <w:p w14:paraId="2AB8DC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hAnsi="方正仿宋_GBK" w:eastAsia="方正仿宋_GBK" w:cs="方正仿宋_GBK"/>
          <w:kern w:val="2"/>
          <w:sz w:val="32"/>
          <w:szCs w:val="32"/>
          <w:lang w:val="en-US" w:eastAsia="zh-CN" w:bidi="ar"/>
        </w:rPr>
        <w:t>说明：专家评审组认为投标人的报价明显低于其他通过符合性审查投标人的报价，有可能影响产品质量或者不能诚信履约的，应当要求其在评标现场合理的时间内提供书面说明，必要时提交相关证明材料；投标人不能证明其报价合理性的，专家评审组应当将其作为无效投标处理。</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C159F8C6-0604-482E-914D-90AC9F492F12}"/>
  </w:font>
  <w:font w:name="方正小标宋_GBK">
    <w:panose1 w:val="02000000000000000000"/>
    <w:charset w:val="86"/>
    <w:family w:val="auto"/>
    <w:pitch w:val="default"/>
    <w:sig w:usb0="00000001" w:usb1="080E0000" w:usb2="00000000" w:usb3="00000000" w:csb0="00040000" w:csb1="00000000"/>
    <w:embedRegular r:id="rId2" w:fontKey="{3F5056EF-BF19-4FF5-BF7A-F38A4C899825}"/>
  </w:font>
  <w:font w:name="方正仿宋_GBK">
    <w:panose1 w:val="02000000000000000000"/>
    <w:charset w:val="86"/>
    <w:family w:val="auto"/>
    <w:pitch w:val="default"/>
    <w:sig w:usb0="00000001" w:usb1="080E0000" w:usb2="00000000" w:usb3="00000000" w:csb0="00040000" w:csb1="00000000"/>
    <w:embedRegular r:id="rId3" w:fontKey="{551235DD-0F6C-4E4A-9CE1-9B4B0AC259BD}"/>
  </w:font>
  <w:font w:name="仿宋">
    <w:panose1 w:val="02010609060101010101"/>
    <w:charset w:val="86"/>
    <w:family w:val="modern"/>
    <w:pitch w:val="default"/>
    <w:sig w:usb0="800002BF" w:usb1="38CF7CFA" w:usb2="00000016" w:usb3="00000000" w:csb0="00040001" w:csb1="00000000"/>
    <w:embedRegular r:id="rId4" w:fontKey="{06346169-FD2E-4E24-97FE-6FF977ADC3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FDEB">
    <w:pPr>
      <w:keepNext w:val="0"/>
      <w:keepLines w:val="0"/>
      <w:widowControl/>
      <w:suppressLineNumbers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D3AAC">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7D3AAC">
                    <w:pPr>
                      <w:keepNext w:val="0"/>
                      <w:keepLines w:val="0"/>
                      <w:widowControl/>
                      <w:suppressLineNumbers w:val="0"/>
                      <w:spacing w:before="0" w:beforeAutospacing="0" w:after="0" w:afterAutospacing="0"/>
                      <w:ind w:left="0" w:right="0"/>
                      <w:jc w:val="right"/>
                    </w:pPr>
                    <w:r>
                      <w:rPr>
                        <w:rFonts w:hint="eastAsia" w:ascii="宋体" w:hAnsi="宋体" w:eastAsia="宋体" w:cs="宋体"/>
                        <w:color w:val="000000"/>
                        <w:kern w:val="2"/>
                        <w:sz w:val="28"/>
                        <w:szCs w:val="28"/>
                        <w:lang w:val="en-US" w:eastAsia="zh-CN" w:bidi="ar"/>
                      </w:rPr>
                      <w:t>―</w:t>
                    </w:r>
                    <w:r>
                      <w:rPr>
                        <w:rFonts w:ascii="Times New Roman" w:hAnsi="Times New Roman" w:eastAsia="Times New Roman" w:cs="Times New Roman"/>
                        <w:color w:val="000000"/>
                        <w:kern w:val="0"/>
                        <w:sz w:val="28"/>
                        <w:szCs w:val="28"/>
                        <w:lang w:val="en-US" w:eastAsia="zh-CN" w:bidi="ar"/>
                      </w:rPr>
                      <w:t xml:space="preserve"> </w:t>
                    </w:r>
                    <w:r>
                      <w:rPr>
                        <w:rFonts w:ascii="Times New Roman" w:hAnsi="Times New Roman" w:eastAsia="Times New Roman" w:cs="Times New Roman"/>
                        <w:color w:val="000000"/>
                        <w:kern w:val="0"/>
                        <w:sz w:val="28"/>
                        <w:szCs w:val="28"/>
                        <w:lang w:val="en-US" w:eastAsia="zh-CN" w:bidi="ar"/>
                      </w:rPr>
                      <w:fldChar w:fldCharType="begin"/>
                    </w:r>
                    <w:r>
                      <w:rPr>
                        <w:rFonts w:ascii="Times New Roman" w:hAnsi="Times New Roman" w:eastAsia="Times New Roman" w:cs="Times New Roman"/>
                        <w:color w:val="000000"/>
                        <w:kern w:val="0"/>
                        <w:sz w:val="28"/>
                        <w:szCs w:val="28"/>
                        <w:lang w:val="en-US" w:eastAsia="zh-CN" w:bidi="ar"/>
                      </w:rPr>
                      <w:instrText xml:space="preserve"> PAGE </w:instrText>
                    </w:r>
                    <w:r>
                      <w:rPr>
                        <w:rFonts w:ascii="Times New Roman" w:hAnsi="Times New Roman" w:eastAsia="Times New Roman" w:cs="Times New Roman"/>
                        <w:color w:val="000000"/>
                        <w:kern w:val="0"/>
                        <w:sz w:val="28"/>
                        <w:szCs w:val="28"/>
                        <w:lang w:val="en-US" w:eastAsia="zh-CN" w:bidi="ar"/>
                      </w:rPr>
                      <w:fldChar w:fldCharType="separate"/>
                    </w:r>
                    <w:r>
                      <w:rPr>
                        <w:rFonts w:ascii="Times New Roman" w:hAnsi="Times New Roman" w:eastAsia="Times New Roman" w:cs="Times New Roman"/>
                        <w:color w:val="000000"/>
                        <w:kern w:val="0"/>
                        <w:sz w:val="28"/>
                        <w:szCs w:val="28"/>
                        <w:lang w:val="en-US" w:eastAsia="zh-CN" w:bidi="ar"/>
                      </w:rPr>
                      <w:t>2</w:t>
                    </w:r>
                    <w:r>
                      <w:rPr>
                        <w:rFonts w:ascii="Times New Roman" w:hAnsi="Times New Roman" w:eastAsia="Times New Roman" w:cs="Times New Roman"/>
                        <w:color w:val="000000"/>
                        <w:kern w:val="0"/>
                        <w:sz w:val="28"/>
                        <w:szCs w:val="28"/>
                        <w:lang w:val="en-US" w:eastAsia="zh-CN" w:bidi="ar"/>
                      </w:rPr>
                      <w:fldChar w:fldCharType="end"/>
                    </w:r>
                    <w:r>
                      <w:rPr>
                        <w:rFonts w:ascii="Times New Roman" w:hAnsi="Times New Roman" w:eastAsia="Times New Roman" w:cs="Times New Roman"/>
                        <w:color w:val="000000"/>
                        <w:kern w:val="0"/>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6712"/>
    <w:rsid w:val="268D3191"/>
    <w:rsid w:val="26BD82EC"/>
    <w:rsid w:val="33FBC9C8"/>
    <w:rsid w:val="3BFB28D3"/>
    <w:rsid w:val="58CC2261"/>
    <w:rsid w:val="5B7FC297"/>
    <w:rsid w:val="5FA753E8"/>
    <w:rsid w:val="66CF08E7"/>
    <w:rsid w:val="6AEB64E1"/>
    <w:rsid w:val="6EB7C4BA"/>
    <w:rsid w:val="77319A06"/>
    <w:rsid w:val="7AFFFA48"/>
    <w:rsid w:val="7DF73094"/>
    <w:rsid w:val="7DFFC716"/>
    <w:rsid w:val="7F5B4214"/>
    <w:rsid w:val="7FC7D035"/>
    <w:rsid w:val="7FCBF4C0"/>
    <w:rsid w:val="83DD69DF"/>
    <w:rsid w:val="9BCB7E94"/>
    <w:rsid w:val="9FEF2617"/>
    <w:rsid w:val="B6FF49D2"/>
    <w:rsid w:val="B9FFB947"/>
    <w:rsid w:val="BCFFEACC"/>
    <w:rsid w:val="BF9B3E77"/>
    <w:rsid w:val="D7CF3400"/>
    <w:rsid w:val="DBF72BAA"/>
    <w:rsid w:val="DBFF403D"/>
    <w:rsid w:val="DF9EF186"/>
    <w:rsid w:val="E59FEE40"/>
    <w:rsid w:val="EBDE924D"/>
    <w:rsid w:val="ED762089"/>
    <w:rsid w:val="EEFF982C"/>
    <w:rsid w:val="F5FB5B65"/>
    <w:rsid w:val="F9FA223C"/>
    <w:rsid w:val="FB536928"/>
    <w:rsid w:val="FBEE7541"/>
    <w:rsid w:val="FFEFA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1"/>
    <w:qFormat/>
    <w:uiPriority w:val="0"/>
    <w:rPr>
      <w:rFonts w:ascii="仿宋_GB2312" w:eastAsia="仿宋_GB2312"/>
      <w:sz w:val="32"/>
    </w:rPr>
  </w:style>
  <w:style w:type="paragraph" w:styleId="4">
    <w:name w:val="Body Text Indent"/>
    <w:basedOn w:val="1"/>
    <w:qFormat/>
    <w:uiPriority w:val="0"/>
    <w:pPr>
      <w:spacing w:line="700" w:lineRule="exact"/>
      <w:ind w:left="960"/>
    </w:pPr>
    <w:rPr>
      <w:sz w:val="44"/>
    </w:rPr>
  </w:style>
  <w:style w:type="paragraph" w:styleId="5">
    <w:name w:val="footer"/>
    <w:basedOn w:val="1"/>
    <w:unhideWhenUsed/>
    <w:qFormat/>
    <w:uiPriority w:val="99"/>
    <w:pPr>
      <w:widowControl/>
      <w:tabs>
        <w:tab w:val="center" w:pos="4680"/>
        <w:tab w:val="right" w:pos="9360"/>
      </w:tabs>
    </w:pPr>
    <w:rPr>
      <w:rFonts w:ascii="Calibri" w:hAnsi="Calibri" w:eastAsia="宋体"/>
      <w:color w:val="auto"/>
      <w:sz w:val="22"/>
      <w:szCs w:val="22"/>
      <w:lang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spacing w:after="120" w:line="240" w:lineRule="auto"/>
      <w:ind w:left="420" w:leftChars="200" w:firstLine="420" w:firstLineChars="200"/>
    </w:pPr>
  </w:style>
  <w:style w:type="paragraph" w:customStyle="1" w:styleId="11">
    <w:name w:val="Style 6"/>
    <w:basedOn w:val="1"/>
    <w:qFormat/>
    <w:uiPriority w:val="0"/>
    <w:pPr>
      <w:spacing w:line="420" w:lineRule="auto"/>
      <w:ind w:firstLine="400"/>
    </w:pPr>
    <w:rPr>
      <w:rFonts w:ascii="宋体" w:hAnsi="宋体" w:eastAsia="宋体" w:cs="宋体"/>
      <w:sz w:val="30"/>
      <w:szCs w:val="30"/>
    </w:rPr>
  </w:style>
  <w:style w:type="paragraph" w:customStyle="1" w:styleId="12">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1237</Words>
  <Characters>1276</Characters>
  <Lines>1</Lines>
  <Paragraphs>1</Paragraphs>
  <TotalTime>0</TotalTime>
  <ScaleCrop>false</ScaleCrop>
  <LinksUpToDate>false</LinksUpToDate>
  <CharactersWithSpaces>1280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2025-03-07T02:45:00Z</dcterms:created>
  <dc:creator>administrator</dc:creator>
  <cp:lastModifiedBy>刘小小呀</cp:lastModifiedBy>
  <cp:lastPrinted>2025-03-29T00:41:00Z</cp:lastPrinted>
  <dcterms:modified xsi:type="dcterms:W3CDTF">2025-06-18T08:10:52Z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3A7F2F8E8A48491AAB480B9BAE8C9B24_13</vt:lpwstr>
  </property>
  <property fmtid="{D5CDD505-2E9C-101B-9397-08002B2CF9AE}" pid="4" name="KSOTemplateDocerSaveRecord">
    <vt:lpwstr>eyJoZGlkIjoiMmI0ODg4MDVkZmE5N2JkMDUxNDQyOWZiZmFjMzU1OWUiLCJ1c2VySWQiOiIzMDQwNzk4OTgifQ==</vt:lpwstr>
  </property>
</Properties>
</file>