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28798E">
      <w:pPr>
        <w:wordWrap w:val="0"/>
        <w:jc w:val="right"/>
        <w:rPr>
          <w:color w:val="auto"/>
        </w:rPr>
      </w:pPr>
      <w:bookmarkStart w:id="171" w:name="_GoBack"/>
      <w:bookmarkEnd w:id="171"/>
      <w:r>
        <w:rPr>
          <w:rFonts w:hint="eastAsia"/>
          <w:color w:val="auto"/>
        </w:rPr>
        <w:t>采购代理机构备</w:t>
      </w:r>
      <w:r>
        <w:rPr>
          <w:rFonts w:hint="eastAsia" w:ascii="宋体" w:hAnsi="宋体"/>
          <w:color w:val="auto"/>
        </w:rPr>
        <w:t>案号：CQCBJQ2506-269</w:t>
      </w:r>
    </w:p>
    <w:p w14:paraId="2B1F2587">
      <w:pPr>
        <w:jc w:val="center"/>
        <w:rPr>
          <w:color w:val="auto"/>
        </w:rPr>
      </w:pPr>
    </w:p>
    <w:p w14:paraId="7F966512">
      <w:pPr>
        <w:jc w:val="center"/>
        <w:outlineLvl w:val="0"/>
        <w:rPr>
          <w:rFonts w:hint="eastAsia" w:ascii="宋体" w:hAnsi="宋体"/>
          <w:b/>
          <w:color w:val="auto"/>
          <w:sz w:val="48"/>
          <w:szCs w:val="48"/>
          <w:lang w:eastAsia="zh-CN"/>
        </w:rPr>
      </w:pPr>
    </w:p>
    <w:p w14:paraId="29455F75">
      <w:pPr>
        <w:jc w:val="center"/>
        <w:outlineLvl w:val="0"/>
        <w:rPr>
          <w:rFonts w:hint="eastAsia" w:ascii="宋体" w:hAnsi="宋体"/>
          <w:b/>
          <w:color w:val="auto"/>
          <w:sz w:val="48"/>
          <w:szCs w:val="48"/>
          <w:lang w:eastAsia="zh-CN"/>
        </w:rPr>
      </w:pPr>
      <w:r>
        <w:rPr>
          <w:rFonts w:hint="eastAsia" w:ascii="宋体" w:hAnsi="宋体"/>
          <w:b/>
          <w:color w:val="auto"/>
          <w:sz w:val="48"/>
          <w:szCs w:val="48"/>
          <w:lang w:eastAsia="zh-CN"/>
        </w:rPr>
        <w:t>聘请第三方服务机构对</w:t>
      </w:r>
    </w:p>
    <w:p w14:paraId="49F9E93B">
      <w:pPr>
        <w:jc w:val="center"/>
        <w:outlineLvl w:val="0"/>
        <w:rPr>
          <w:rFonts w:hint="default" w:ascii="宋体" w:hAnsi="宋体" w:eastAsia="宋体"/>
          <w:b/>
          <w:color w:val="auto"/>
          <w:sz w:val="48"/>
          <w:szCs w:val="48"/>
          <w:lang w:val="en-US" w:eastAsia="zh-CN"/>
        </w:rPr>
      </w:pPr>
      <w:r>
        <w:rPr>
          <w:rFonts w:hint="eastAsia" w:ascii="宋体" w:hAnsi="宋体"/>
          <w:b/>
          <w:color w:val="auto"/>
          <w:sz w:val="48"/>
          <w:szCs w:val="48"/>
          <w:lang w:eastAsia="zh-CN"/>
        </w:rPr>
        <w:t>重点专项资金</w:t>
      </w:r>
      <w:r>
        <w:rPr>
          <w:rFonts w:hint="eastAsia" w:ascii="宋体" w:hAnsi="宋体"/>
          <w:b/>
          <w:color w:val="auto"/>
          <w:sz w:val="48"/>
          <w:szCs w:val="48"/>
          <w:lang w:val="en-US" w:eastAsia="zh-CN"/>
        </w:rPr>
        <w:t>进行</w:t>
      </w:r>
      <w:r>
        <w:rPr>
          <w:rFonts w:hint="eastAsia" w:ascii="宋体" w:hAnsi="宋体"/>
          <w:b/>
          <w:color w:val="auto"/>
          <w:sz w:val="48"/>
          <w:szCs w:val="48"/>
          <w:lang w:eastAsia="zh-CN"/>
        </w:rPr>
        <w:t>统一审计</w:t>
      </w:r>
      <w:r>
        <w:rPr>
          <w:rFonts w:hint="eastAsia" w:ascii="宋体" w:hAnsi="宋体"/>
          <w:b/>
          <w:color w:val="auto"/>
          <w:sz w:val="48"/>
          <w:szCs w:val="48"/>
          <w:lang w:val="en-US" w:eastAsia="zh-CN"/>
        </w:rPr>
        <w:t>项目</w:t>
      </w:r>
    </w:p>
    <w:p w14:paraId="53685483">
      <w:pPr>
        <w:jc w:val="center"/>
        <w:outlineLvl w:val="0"/>
        <w:rPr>
          <w:color w:val="auto"/>
          <w:sz w:val="44"/>
          <w:szCs w:val="44"/>
        </w:rPr>
      </w:pPr>
    </w:p>
    <w:p w14:paraId="14578EE9">
      <w:pPr>
        <w:jc w:val="center"/>
        <w:outlineLvl w:val="0"/>
        <w:rPr>
          <w:color w:val="auto"/>
          <w:sz w:val="44"/>
          <w:szCs w:val="44"/>
        </w:rPr>
      </w:pPr>
    </w:p>
    <w:p w14:paraId="422CF21D">
      <w:pPr>
        <w:jc w:val="center"/>
        <w:outlineLvl w:val="0"/>
        <w:rPr>
          <w:color w:val="auto"/>
          <w:sz w:val="44"/>
          <w:szCs w:val="44"/>
        </w:rPr>
      </w:pPr>
    </w:p>
    <w:p w14:paraId="5BE81E99">
      <w:pPr>
        <w:jc w:val="center"/>
        <w:outlineLvl w:val="0"/>
        <w:rPr>
          <w:color w:val="auto"/>
          <w:sz w:val="44"/>
          <w:szCs w:val="44"/>
        </w:rPr>
      </w:pPr>
    </w:p>
    <w:p w14:paraId="200936FD">
      <w:pPr>
        <w:jc w:val="center"/>
        <w:outlineLvl w:val="0"/>
        <w:rPr>
          <w:color w:val="auto"/>
          <w:sz w:val="44"/>
          <w:szCs w:val="44"/>
        </w:rPr>
      </w:pPr>
    </w:p>
    <w:p w14:paraId="01AE74F1">
      <w:pPr>
        <w:jc w:val="center"/>
        <w:outlineLvl w:val="0"/>
        <w:rPr>
          <w:color w:val="auto"/>
          <w:spacing w:val="80"/>
          <w:sz w:val="72"/>
          <w:szCs w:val="72"/>
        </w:rPr>
      </w:pPr>
      <w:r>
        <w:rPr>
          <w:color w:val="auto"/>
          <w:spacing w:val="80"/>
          <w:sz w:val="72"/>
          <w:szCs w:val="72"/>
        </w:rPr>
        <w:t>竞争性比选文件</w:t>
      </w:r>
    </w:p>
    <w:p w14:paraId="3FA6AFFB">
      <w:pPr>
        <w:spacing w:line="700" w:lineRule="exact"/>
        <w:jc w:val="center"/>
        <w:rPr>
          <w:rFonts w:hint="default" w:eastAsia="宋体"/>
          <w:color w:val="auto"/>
          <w:sz w:val="36"/>
          <w:szCs w:val="30"/>
          <w:highlight w:val="none"/>
          <w:lang w:val="en-US" w:eastAsia="zh-CN"/>
        </w:rPr>
      </w:pPr>
      <w:r>
        <w:rPr>
          <w:color w:val="auto"/>
          <w:sz w:val="36"/>
          <w:szCs w:val="30"/>
        </w:rPr>
        <w:t>项目号：</w:t>
      </w:r>
      <w:r>
        <w:rPr>
          <w:rFonts w:hint="eastAsia" w:ascii="宋体" w:hAnsi="宋体"/>
          <w:color w:val="auto"/>
          <w:sz w:val="36"/>
          <w:szCs w:val="30"/>
          <w:highlight w:val="none"/>
          <w:lang w:eastAsia="zh-CN"/>
        </w:rPr>
        <w:t>SZFKAWLCG202</w:t>
      </w:r>
      <w:r>
        <w:rPr>
          <w:rFonts w:hint="eastAsia" w:ascii="宋体" w:hAnsi="宋体"/>
          <w:color w:val="auto"/>
          <w:sz w:val="36"/>
          <w:szCs w:val="30"/>
          <w:highlight w:val="none"/>
          <w:lang w:val="en-US" w:eastAsia="zh-CN"/>
        </w:rPr>
        <w:t>5</w:t>
      </w:r>
      <w:r>
        <w:rPr>
          <w:rFonts w:hint="eastAsia" w:ascii="宋体" w:hAnsi="宋体"/>
          <w:color w:val="auto"/>
          <w:sz w:val="36"/>
          <w:szCs w:val="30"/>
          <w:highlight w:val="none"/>
          <w:lang w:eastAsia="zh-CN"/>
        </w:rPr>
        <w:t>-</w:t>
      </w:r>
      <w:r>
        <w:rPr>
          <w:rFonts w:hint="eastAsia" w:ascii="宋体" w:hAnsi="宋体"/>
          <w:color w:val="auto"/>
          <w:sz w:val="36"/>
          <w:szCs w:val="30"/>
          <w:highlight w:val="none"/>
          <w:lang w:val="en-US" w:eastAsia="zh-CN"/>
        </w:rPr>
        <w:t>008</w:t>
      </w:r>
    </w:p>
    <w:p w14:paraId="13F17D7B">
      <w:pPr>
        <w:spacing w:line="700" w:lineRule="exact"/>
        <w:jc w:val="center"/>
        <w:rPr>
          <w:color w:val="auto"/>
          <w:sz w:val="36"/>
          <w:szCs w:val="30"/>
        </w:rPr>
      </w:pPr>
    </w:p>
    <w:p w14:paraId="3C474625">
      <w:pPr>
        <w:spacing w:line="700" w:lineRule="exact"/>
        <w:ind w:firstLine="2700" w:firstLineChars="750"/>
        <w:rPr>
          <w:rFonts w:ascii="宋体" w:hAnsi="宋体"/>
          <w:color w:val="auto"/>
          <w:sz w:val="36"/>
          <w:szCs w:val="30"/>
        </w:rPr>
      </w:pPr>
    </w:p>
    <w:p w14:paraId="7B76150C">
      <w:pPr>
        <w:spacing w:line="700" w:lineRule="exact"/>
        <w:jc w:val="center"/>
        <w:rPr>
          <w:rFonts w:ascii="宋体" w:hAnsi="宋体"/>
          <w:b/>
          <w:color w:val="auto"/>
          <w:sz w:val="30"/>
          <w:szCs w:val="30"/>
        </w:rPr>
      </w:pPr>
    </w:p>
    <w:p w14:paraId="2FD7BD6D">
      <w:pPr>
        <w:spacing w:line="700" w:lineRule="exact"/>
        <w:jc w:val="center"/>
        <w:rPr>
          <w:rFonts w:ascii="宋体" w:hAnsi="宋体"/>
          <w:b/>
          <w:color w:val="auto"/>
          <w:sz w:val="30"/>
          <w:szCs w:val="30"/>
        </w:rPr>
      </w:pPr>
    </w:p>
    <w:p w14:paraId="0F6EE2D6">
      <w:pPr>
        <w:spacing w:line="700" w:lineRule="exact"/>
        <w:jc w:val="center"/>
        <w:rPr>
          <w:rFonts w:ascii="宋体" w:hAnsi="宋体"/>
          <w:b/>
          <w:color w:val="auto"/>
          <w:sz w:val="30"/>
          <w:szCs w:val="30"/>
        </w:rPr>
      </w:pPr>
    </w:p>
    <w:p w14:paraId="6CF2DF23">
      <w:pPr>
        <w:pStyle w:val="3"/>
        <w:rPr>
          <w:color w:val="auto"/>
        </w:rPr>
      </w:pPr>
    </w:p>
    <w:p w14:paraId="1F1BCAD0">
      <w:pPr>
        <w:rPr>
          <w:color w:val="auto"/>
        </w:rPr>
      </w:pPr>
    </w:p>
    <w:p w14:paraId="3D05B756">
      <w:pPr>
        <w:pStyle w:val="2"/>
        <w:rPr>
          <w:color w:val="auto"/>
        </w:rPr>
      </w:pPr>
    </w:p>
    <w:p w14:paraId="1B6D2E62">
      <w:pPr>
        <w:pStyle w:val="2"/>
        <w:rPr>
          <w:color w:val="auto"/>
        </w:rPr>
      </w:pPr>
    </w:p>
    <w:p w14:paraId="0690806E">
      <w:pPr>
        <w:spacing w:line="700" w:lineRule="exact"/>
        <w:ind w:left="84" w:leftChars="30"/>
        <w:jc w:val="left"/>
        <w:rPr>
          <w:color w:val="auto"/>
          <w:sz w:val="36"/>
          <w:szCs w:val="30"/>
        </w:rPr>
      </w:pPr>
      <w:r>
        <w:rPr>
          <w:rFonts w:hint="eastAsia"/>
          <w:color w:val="auto"/>
          <w:sz w:val="36"/>
          <w:szCs w:val="30"/>
        </w:rPr>
        <w:t xml:space="preserve">    </w:t>
      </w:r>
      <w:r>
        <w:rPr>
          <w:color w:val="auto"/>
          <w:sz w:val="36"/>
          <w:szCs w:val="30"/>
        </w:rPr>
        <w:t>采   购   人：</w:t>
      </w:r>
      <w:r>
        <w:rPr>
          <w:rFonts w:hint="eastAsia"/>
          <w:color w:val="auto"/>
          <w:sz w:val="36"/>
          <w:szCs w:val="30"/>
        </w:rPr>
        <w:t>重庆市人民政府口岸和物流办公室</w:t>
      </w:r>
    </w:p>
    <w:p w14:paraId="6E0D820B">
      <w:pPr>
        <w:spacing w:line="700" w:lineRule="exact"/>
        <w:jc w:val="center"/>
        <w:rPr>
          <w:color w:val="auto"/>
          <w:sz w:val="36"/>
          <w:szCs w:val="30"/>
        </w:rPr>
      </w:pPr>
      <w:r>
        <w:rPr>
          <w:color w:val="auto"/>
          <w:sz w:val="36"/>
          <w:szCs w:val="30"/>
        </w:rPr>
        <w:t>采购代理机构：重庆市中基致信招标代理有限公司</w:t>
      </w:r>
    </w:p>
    <w:p w14:paraId="68E74537">
      <w:pPr>
        <w:spacing w:line="700" w:lineRule="exact"/>
        <w:jc w:val="center"/>
        <w:rPr>
          <w:color w:val="auto"/>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auto"/>
          <w:sz w:val="36"/>
          <w:szCs w:val="30"/>
        </w:rPr>
        <w:t>二</w:t>
      </w:r>
      <w:r>
        <w:rPr>
          <w:rFonts w:hint="eastAsia"/>
          <w:color w:val="auto"/>
          <w:sz w:val="36"/>
          <w:szCs w:val="30"/>
        </w:rPr>
        <w:t>〇</w:t>
      </w:r>
      <w:r>
        <w:rPr>
          <w:color w:val="auto"/>
          <w:sz w:val="36"/>
          <w:szCs w:val="30"/>
        </w:rPr>
        <w:t>二</w:t>
      </w:r>
      <w:r>
        <w:rPr>
          <w:rFonts w:hint="eastAsia"/>
          <w:color w:val="auto"/>
          <w:sz w:val="36"/>
          <w:szCs w:val="30"/>
          <w:lang w:val="en-US" w:eastAsia="zh-CN"/>
        </w:rPr>
        <w:t>五</w:t>
      </w:r>
      <w:r>
        <w:rPr>
          <w:color w:val="auto"/>
          <w:sz w:val="36"/>
          <w:szCs w:val="30"/>
        </w:rPr>
        <w:t>年</w:t>
      </w:r>
      <w:r>
        <w:rPr>
          <w:rFonts w:hint="eastAsia"/>
          <w:color w:val="auto"/>
          <w:sz w:val="36"/>
          <w:szCs w:val="30"/>
          <w:lang w:val="en-US" w:eastAsia="zh-CN"/>
        </w:rPr>
        <w:t>六</w:t>
      </w:r>
      <w:r>
        <w:rPr>
          <w:color w:val="auto"/>
          <w:sz w:val="36"/>
          <w:szCs w:val="30"/>
        </w:rPr>
        <w:t>月</w:t>
      </w:r>
    </w:p>
    <w:p w14:paraId="12FC4F5A">
      <w:pPr>
        <w:pageBreakBefore/>
        <w:spacing w:line="480" w:lineRule="exact"/>
        <w:jc w:val="center"/>
        <w:outlineLvl w:val="0"/>
        <w:rPr>
          <w:rFonts w:ascii="宋体" w:hAnsi="宋体"/>
          <w:color w:val="auto"/>
          <w:sz w:val="44"/>
          <w:szCs w:val="28"/>
        </w:rPr>
      </w:pPr>
      <w:r>
        <w:rPr>
          <w:rFonts w:hint="eastAsia" w:ascii="宋体" w:hAnsi="宋体"/>
          <w:color w:val="auto"/>
          <w:sz w:val="44"/>
          <w:szCs w:val="28"/>
        </w:rPr>
        <w:t>目   录</w:t>
      </w:r>
    </w:p>
    <w:p w14:paraId="6C54AE05">
      <w:pPr>
        <w:pStyle w:val="46"/>
        <w:tabs>
          <w:tab w:val="right" w:leader="dot" w:pos="9525"/>
        </w:tabs>
      </w:pPr>
      <w:r>
        <w:rPr>
          <w:rFonts w:hint="eastAsia" w:ascii="宋体" w:hAnsi="宋体"/>
          <w:color w:val="auto"/>
          <w:sz w:val="24"/>
          <w:szCs w:val="24"/>
        </w:rPr>
        <w:fldChar w:fldCharType="begin"/>
      </w:r>
      <w:r>
        <w:rPr>
          <w:rFonts w:hint="eastAsia" w:ascii="宋体" w:hAnsi="宋体"/>
          <w:color w:val="auto"/>
          <w:sz w:val="24"/>
          <w:szCs w:val="24"/>
        </w:rPr>
        <w:instrText xml:space="preserve"> TOC \o "1-3" \h \z </w:instrText>
      </w:r>
      <w:r>
        <w:rPr>
          <w:rFonts w:hint="eastAsia" w:ascii="宋体" w:hAnsi="宋体"/>
          <w:color w:val="auto"/>
          <w:sz w:val="24"/>
          <w:szCs w:val="24"/>
        </w:rPr>
        <w:fldChar w:fldCharType="separate"/>
      </w:r>
      <w:r>
        <w:rPr>
          <w:rFonts w:hint="eastAsia" w:ascii="宋体" w:hAnsi="宋体"/>
          <w:color w:val="auto"/>
          <w:szCs w:val="24"/>
        </w:rPr>
        <w:fldChar w:fldCharType="begin"/>
      </w:r>
      <w:r>
        <w:rPr>
          <w:rFonts w:hint="eastAsia" w:ascii="宋体" w:hAnsi="宋体"/>
          <w:szCs w:val="24"/>
        </w:rPr>
        <w:instrText xml:space="preserve"> HYPERLINK \l _Toc3533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_Toc3533 \h </w:instrText>
      </w:r>
      <w:r>
        <w:fldChar w:fldCharType="separate"/>
      </w:r>
      <w:r>
        <w:t>- 3 -</w:t>
      </w:r>
      <w:r>
        <w:fldChar w:fldCharType="end"/>
      </w:r>
      <w:r>
        <w:rPr>
          <w:rFonts w:hint="eastAsia" w:ascii="宋体" w:hAnsi="宋体"/>
          <w:color w:val="auto"/>
          <w:szCs w:val="24"/>
        </w:rPr>
        <w:fldChar w:fldCharType="end"/>
      </w:r>
    </w:p>
    <w:p w14:paraId="206ED855">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_Toc16032 </w:instrText>
      </w:r>
      <w:r>
        <w:rPr>
          <w:rFonts w:hint="eastAsia" w:ascii="宋体" w:hAnsi="宋体"/>
          <w:szCs w:val="24"/>
        </w:rPr>
        <w:fldChar w:fldCharType="separate"/>
      </w:r>
      <w:r>
        <w:rPr>
          <w:rFonts w:hint="eastAsia" w:ascii="宋体" w:hAnsi="宋体"/>
          <w:szCs w:val="24"/>
        </w:rPr>
        <w:t>一、竞争性比选内容</w:t>
      </w:r>
      <w:r>
        <w:tab/>
      </w:r>
      <w:r>
        <w:fldChar w:fldCharType="begin"/>
      </w:r>
      <w:r>
        <w:instrText xml:space="preserve"> PAGEREF _Toc16032 \h </w:instrText>
      </w:r>
      <w:r>
        <w:fldChar w:fldCharType="separate"/>
      </w:r>
      <w:r>
        <w:t>- 3 -</w:t>
      </w:r>
      <w:r>
        <w:fldChar w:fldCharType="end"/>
      </w:r>
      <w:r>
        <w:rPr>
          <w:rFonts w:hint="eastAsia" w:ascii="宋体" w:hAnsi="宋体"/>
          <w:color w:val="auto"/>
          <w:szCs w:val="24"/>
        </w:rPr>
        <w:fldChar w:fldCharType="end"/>
      </w:r>
    </w:p>
    <w:p w14:paraId="1249890A">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_Toc21133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_Toc21133 \h </w:instrText>
      </w:r>
      <w:r>
        <w:fldChar w:fldCharType="separate"/>
      </w:r>
      <w:r>
        <w:t>- 3 -</w:t>
      </w:r>
      <w:r>
        <w:fldChar w:fldCharType="end"/>
      </w:r>
      <w:r>
        <w:rPr>
          <w:rFonts w:hint="eastAsia" w:ascii="宋体" w:hAnsi="宋体"/>
          <w:color w:val="auto"/>
          <w:szCs w:val="24"/>
        </w:rPr>
        <w:fldChar w:fldCharType="end"/>
      </w:r>
    </w:p>
    <w:p w14:paraId="16C95E74">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_Toc28615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_Toc28615 \h </w:instrText>
      </w:r>
      <w:r>
        <w:fldChar w:fldCharType="separate"/>
      </w:r>
      <w:r>
        <w:t>- 3 -</w:t>
      </w:r>
      <w:r>
        <w:fldChar w:fldCharType="end"/>
      </w:r>
      <w:r>
        <w:rPr>
          <w:rFonts w:hint="eastAsia" w:ascii="宋体" w:hAnsi="宋体"/>
          <w:color w:val="auto"/>
          <w:szCs w:val="24"/>
        </w:rPr>
        <w:fldChar w:fldCharType="end"/>
      </w:r>
    </w:p>
    <w:p w14:paraId="6D0EA9D1">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_Toc26760 </w:instrText>
      </w:r>
      <w:r>
        <w:rPr>
          <w:rFonts w:hint="eastAsia" w:ascii="宋体" w:hAnsi="宋体"/>
          <w:szCs w:val="24"/>
        </w:rPr>
        <w:fldChar w:fldCharType="separate"/>
      </w:r>
      <w:r>
        <w:rPr>
          <w:rFonts w:hint="eastAsia" w:ascii="宋体" w:hAnsi="宋体"/>
          <w:szCs w:val="24"/>
        </w:rPr>
        <w:t>四、比选有关说明</w:t>
      </w:r>
      <w:r>
        <w:tab/>
      </w:r>
      <w:r>
        <w:fldChar w:fldCharType="begin"/>
      </w:r>
      <w:r>
        <w:instrText xml:space="preserve"> PAGEREF _Toc26760 \h </w:instrText>
      </w:r>
      <w:r>
        <w:fldChar w:fldCharType="separate"/>
      </w:r>
      <w:r>
        <w:t>- 3 -</w:t>
      </w:r>
      <w:r>
        <w:fldChar w:fldCharType="end"/>
      </w:r>
      <w:r>
        <w:rPr>
          <w:rFonts w:hint="eastAsia" w:ascii="宋体" w:hAnsi="宋体"/>
          <w:color w:val="auto"/>
          <w:szCs w:val="24"/>
        </w:rPr>
        <w:fldChar w:fldCharType="end"/>
      </w:r>
    </w:p>
    <w:p w14:paraId="1DE260CD">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_Toc15013 </w:instrText>
      </w:r>
      <w:r>
        <w:rPr>
          <w:rFonts w:hint="eastAsia" w:ascii="宋体" w:hAnsi="宋体"/>
          <w:szCs w:val="24"/>
        </w:rPr>
        <w:fldChar w:fldCharType="separate"/>
      </w:r>
      <w:r>
        <w:rPr>
          <w:rFonts w:hint="eastAsia" w:ascii="宋体" w:hAnsi="宋体"/>
          <w:szCs w:val="24"/>
        </w:rPr>
        <w:t>五、比选保证金</w:t>
      </w:r>
      <w:r>
        <w:tab/>
      </w:r>
      <w:r>
        <w:fldChar w:fldCharType="begin"/>
      </w:r>
      <w:r>
        <w:instrText xml:space="preserve"> PAGEREF _Toc15013 \h </w:instrText>
      </w:r>
      <w:r>
        <w:fldChar w:fldCharType="separate"/>
      </w:r>
      <w:r>
        <w:t>- 5 -</w:t>
      </w:r>
      <w:r>
        <w:fldChar w:fldCharType="end"/>
      </w:r>
      <w:r>
        <w:rPr>
          <w:rFonts w:hint="eastAsia" w:ascii="宋体" w:hAnsi="宋体"/>
          <w:color w:val="auto"/>
          <w:szCs w:val="24"/>
        </w:rPr>
        <w:fldChar w:fldCharType="end"/>
      </w:r>
    </w:p>
    <w:p w14:paraId="366F4AEE">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_Toc17947 </w:instrText>
      </w:r>
      <w:r>
        <w:rPr>
          <w:rFonts w:hint="eastAsia" w:ascii="宋体" w:hAnsi="宋体"/>
          <w:szCs w:val="24"/>
        </w:rPr>
        <w:fldChar w:fldCharType="separate"/>
      </w:r>
      <w:r>
        <w:rPr>
          <w:rFonts w:hint="eastAsia" w:ascii="宋体" w:hAnsi="宋体"/>
          <w:szCs w:val="24"/>
        </w:rPr>
        <w:t>六、采购项目需落实的政府采购政策</w:t>
      </w:r>
      <w:r>
        <w:tab/>
      </w:r>
      <w:r>
        <w:fldChar w:fldCharType="begin"/>
      </w:r>
      <w:r>
        <w:instrText xml:space="preserve"> PAGEREF _Toc17947 \h </w:instrText>
      </w:r>
      <w:r>
        <w:fldChar w:fldCharType="separate"/>
      </w:r>
      <w:r>
        <w:t>- 5 -</w:t>
      </w:r>
      <w:r>
        <w:fldChar w:fldCharType="end"/>
      </w:r>
      <w:r>
        <w:rPr>
          <w:rFonts w:hint="eastAsia" w:ascii="宋体" w:hAnsi="宋体"/>
          <w:color w:val="auto"/>
          <w:szCs w:val="24"/>
        </w:rPr>
        <w:fldChar w:fldCharType="end"/>
      </w:r>
    </w:p>
    <w:p w14:paraId="46BB555E">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_Toc14723 </w:instrText>
      </w:r>
      <w:r>
        <w:rPr>
          <w:rFonts w:hint="eastAsia" w:ascii="宋体" w:hAnsi="宋体"/>
          <w:szCs w:val="24"/>
        </w:rPr>
        <w:fldChar w:fldCharType="separate"/>
      </w:r>
      <w:r>
        <w:rPr>
          <w:rFonts w:hint="eastAsia" w:ascii="宋体" w:hAnsi="宋体"/>
          <w:szCs w:val="24"/>
        </w:rPr>
        <w:t>七、其它有关规定</w:t>
      </w:r>
      <w:r>
        <w:tab/>
      </w:r>
      <w:r>
        <w:fldChar w:fldCharType="begin"/>
      </w:r>
      <w:r>
        <w:instrText xml:space="preserve"> PAGEREF _Toc14723 \h </w:instrText>
      </w:r>
      <w:r>
        <w:fldChar w:fldCharType="separate"/>
      </w:r>
      <w:r>
        <w:t>- 6 -</w:t>
      </w:r>
      <w:r>
        <w:fldChar w:fldCharType="end"/>
      </w:r>
      <w:r>
        <w:rPr>
          <w:rFonts w:hint="eastAsia" w:ascii="宋体" w:hAnsi="宋体"/>
          <w:color w:val="auto"/>
          <w:szCs w:val="24"/>
        </w:rPr>
        <w:fldChar w:fldCharType="end"/>
      </w:r>
    </w:p>
    <w:p w14:paraId="1D3BF80C">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_Toc3170 </w:instrText>
      </w:r>
      <w:r>
        <w:rPr>
          <w:rFonts w:hint="eastAsia" w:ascii="宋体" w:hAnsi="宋体"/>
          <w:szCs w:val="24"/>
        </w:rPr>
        <w:fldChar w:fldCharType="separate"/>
      </w:r>
      <w:r>
        <w:rPr>
          <w:rFonts w:hint="eastAsia" w:ascii="宋体" w:hAnsi="宋体"/>
          <w:szCs w:val="24"/>
        </w:rPr>
        <w:t>八、联系方式</w:t>
      </w:r>
      <w:r>
        <w:tab/>
      </w:r>
      <w:r>
        <w:fldChar w:fldCharType="begin"/>
      </w:r>
      <w:r>
        <w:instrText xml:space="preserve"> PAGEREF _Toc3170 \h </w:instrText>
      </w:r>
      <w:r>
        <w:fldChar w:fldCharType="separate"/>
      </w:r>
      <w:r>
        <w:t>- 6 -</w:t>
      </w:r>
      <w:r>
        <w:fldChar w:fldCharType="end"/>
      </w:r>
      <w:r>
        <w:rPr>
          <w:rFonts w:hint="eastAsia" w:ascii="宋体" w:hAnsi="宋体"/>
          <w:color w:val="auto"/>
          <w:szCs w:val="24"/>
        </w:rPr>
        <w:fldChar w:fldCharType="end"/>
      </w:r>
    </w:p>
    <w:p w14:paraId="26AFC85C">
      <w:pPr>
        <w:pStyle w:val="46"/>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_Toc309 </w:instrText>
      </w:r>
      <w:r>
        <w:rPr>
          <w:rFonts w:hint="eastAsia" w:ascii="宋体" w:hAnsi="宋体"/>
          <w:szCs w:val="24"/>
        </w:rPr>
        <w:fldChar w:fldCharType="separate"/>
      </w:r>
      <w:r>
        <w:rPr>
          <w:rFonts w:hint="eastAsia" w:ascii="宋体" w:hAnsi="宋体" w:eastAsia="宋体"/>
          <w:szCs w:val="30"/>
        </w:rPr>
        <w:t>第二篇  采购技术和服务需求</w:t>
      </w:r>
      <w:r>
        <w:tab/>
      </w:r>
      <w:r>
        <w:fldChar w:fldCharType="begin"/>
      </w:r>
      <w:r>
        <w:instrText xml:space="preserve"> PAGEREF _Toc309 \h </w:instrText>
      </w:r>
      <w:r>
        <w:fldChar w:fldCharType="separate"/>
      </w:r>
      <w:r>
        <w:t>- 7 -</w:t>
      </w:r>
      <w:r>
        <w:fldChar w:fldCharType="end"/>
      </w:r>
      <w:r>
        <w:rPr>
          <w:rFonts w:hint="eastAsia" w:ascii="宋体" w:hAnsi="宋体"/>
          <w:color w:val="auto"/>
          <w:szCs w:val="24"/>
        </w:rPr>
        <w:fldChar w:fldCharType="end"/>
      </w:r>
    </w:p>
    <w:p w14:paraId="26139786">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_Toc15451 </w:instrText>
      </w:r>
      <w:r>
        <w:rPr>
          <w:rFonts w:hint="eastAsia" w:ascii="宋体" w:hAnsi="宋体"/>
          <w:szCs w:val="24"/>
        </w:rPr>
        <w:fldChar w:fldCharType="separate"/>
      </w:r>
      <w:r>
        <w:rPr>
          <w:rFonts w:hint="eastAsia" w:ascii="宋体" w:hAnsi="宋体"/>
          <w:szCs w:val="24"/>
        </w:rPr>
        <w:t>一、项目概况</w:t>
      </w:r>
      <w:r>
        <w:tab/>
      </w:r>
      <w:r>
        <w:fldChar w:fldCharType="begin"/>
      </w:r>
      <w:r>
        <w:instrText xml:space="preserve"> PAGEREF _Toc15451 \h </w:instrText>
      </w:r>
      <w:r>
        <w:fldChar w:fldCharType="separate"/>
      </w:r>
      <w:r>
        <w:t>- 7 -</w:t>
      </w:r>
      <w:r>
        <w:fldChar w:fldCharType="end"/>
      </w:r>
      <w:r>
        <w:rPr>
          <w:rFonts w:hint="eastAsia" w:ascii="宋体" w:hAnsi="宋体"/>
          <w:color w:val="auto"/>
          <w:szCs w:val="24"/>
        </w:rPr>
        <w:fldChar w:fldCharType="end"/>
      </w:r>
    </w:p>
    <w:p w14:paraId="08F06606">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_Toc22582 </w:instrText>
      </w:r>
      <w:r>
        <w:rPr>
          <w:rFonts w:hint="eastAsia" w:ascii="宋体" w:hAnsi="宋体"/>
          <w:szCs w:val="24"/>
        </w:rPr>
        <w:fldChar w:fldCharType="separate"/>
      </w:r>
      <w:r>
        <w:rPr>
          <w:rFonts w:hint="eastAsia" w:ascii="宋体" w:hAnsi="宋体"/>
          <w:szCs w:val="24"/>
        </w:rPr>
        <w:t>※二、服务内容</w:t>
      </w:r>
      <w:r>
        <w:tab/>
      </w:r>
      <w:r>
        <w:fldChar w:fldCharType="begin"/>
      </w:r>
      <w:r>
        <w:instrText xml:space="preserve"> PAGEREF _Toc22582 \h </w:instrText>
      </w:r>
      <w:r>
        <w:fldChar w:fldCharType="separate"/>
      </w:r>
      <w:r>
        <w:t>- 7 -</w:t>
      </w:r>
      <w:r>
        <w:fldChar w:fldCharType="end"/>
      </w:r>
      <w:r>
        <w:rPr>
          <w:rFonts w:hint="eastAsia" w:ascii="宋体" w:hAnsi="宋体"/>
          <w:color w:val="auto"/>
          <w:szCs w:val="24"/>
        </w:rPr>
        <w:fldChar w:fldCharType="end"/>
      </w:r>
    </w:p>
    <w:p w14:paraId="174CC20D">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_Toc3630 </w:instrText>
      </w:r>
      <w:r>
        <w:rPr>
          <w:rFonts w:hint="eastAsia" w:ascii="宋体" w:hAnsi="宋体"/>
          <w:szCs w:val="24"/>
        </w:rPr>
        <w:fldChar w:fldCharType="separate"/>
      </w:r>
      <w:r>
        <w:rPr>
          <w:rFonts w:hint="eastAsia" w:ascii="宋体" w:hAnsi="宋体"/>
          <w:szCs w:val="24"/>
        </w:rPr>
        <w:t>※三、服务要求</w:t>
      </w:r>
      <w:r>
        <w:tab/>
      </w:r>
      <w:r>
        <w:fldChar w:fldCharType="begin"/>
      </w:r>
      <w:r>
        <w:instrText xml:space="preserve"> PAGEREF _Toc3630 \h </w:instrText>
      </w:r>
      <w:r>
        <w:fldChar w:fldCharType="separate"/>
      </w:r>
      <w:r>
        <w:t>- 9 -</w:t>
      </w:r>
      <w:r>
        <w:fldChar w:fldCharType="end"/>
      </w:r>
      <w:r>
        <w:rPr>
          <w:rFonts w:hint="eastAsia" w:ascii="宋体" w:hAnsi="宋体"/>
          <w:color w:val="auto"/>
          <w:szCs w:val="24"/>
        </w:rPr>
        <w:fldChar w:fldCharType="end"/>
      </w:r>
    </w:p>
    <w:p w14:paraId="1BD0C8E5">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_Toc15201 </w:instrText>
      </w:r>
      <w:r>
        <w:rPr>
          <w:rFonts w:hint="eastAsia" w:ascii="宋体" w:hAnsi="宋体"/>
          <w:szCs w:val="24"/>
        </w:rPr>
        <w:fldChar w:fldCharType="separate"/>
      </w:r>
      <w:r>
        <w:rPr>
          <w:rFonts w:hint="eastAsia" w:ascii="宋体" w:hAnsi="宋体"/>
          <w:szCs w:val="24"/>
        </w:rPr>
        <w:t>※四、保密要求</w:t>
      </w:r>
      <w:r>
        <w:tab/>
      </w:r>
      <w:r>
        <w:fldChar w:fldCharType="begin"/>
      </w:r>
      <w:r>
        <w:instrText xml:space="preserve"> PAGEREF _Toc15201 \h </w:instrText>
      </w:r>
      <w:r>
        <w:fldChar w:fldCharType="separate"/>
      </w:r>
      <w:r>
        <w:t>- 10 -</w:t>
      </w:r>
      <w:r>
        <w:fldChar w:fldCharType="end"/>
      </w:r>
      <w:r>
        <w:rPr>
          <w:rFonts w:hint="eastAsia" w:ascii="宋体" w:hAnsi="宋体"/>
          <w:color w:val="auto"/>
          <w:szCs w:val="24"/>
        </w:rPr>
        <w:fldChar w:fldCharType="end"/>
      </w:r>
    </w:p>
    <w:p w14:paraId="0DE7DFFE">
      <w:pPr>
        <w:pStyle w:val="46"/>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_Toc17255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_Toc17255 \h </w:instrText>
      </w:r>
      <w:r>
        <w:fldChar w:fldCharType="separate"/>
      </w:r>
      <w:r>
        <w:t>- 11 -</w:t>
      </w:r>
      <w:r>
        <w:fldChar w:fldCharType="end"/>
      </w:r>
      <w:r>
        <w:rPr>
          <w:rFonts w:hint="eastAsia" w:ascii="宋体" w:hAnsi="宋体"/>
          <w:color w:val="auto"/>
          <w:szCs w:val="24"/>
        </w:rPr>
        <w:fldChar w:fldCharType="end"/>
      </w:r>
    </w:p>
    <w:p w14:paraId="345B6CCE">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_Toc17827 </w:instrText>
      </w:r>
      <w:r>
        <w:rPr>
          <w:rFonts w:hint="eastAsia" w:ascii="宋体" w:hAnsi="宋体"/>
          <w:szCs w:val="24"/>
        </w:rPr>
        <w:fldChar w:fldCharType="separate"/>
      </w:r>
      <w:r>
        <w:rPr>
          <w:rFonts w:hint="eastAsia" w:ascii="宋体" w:hAnsi="宋体"/>
          <w:szCs w:val="24"/>
        </w:rPr>
        <w:t>一、服务时间、地点及验收方式</w:t>
      </w:r>
      <w:r>
        <w:tab/>
      </w:r>
      <w:r>
        <w:fldChar w:fldCharType="begin"/>
      </w:r>
      <w:r>
        <w:instrText xml:space="preserve"> PAGEREF _Toc17827 \h </w:instrText>
      </w:r>
      <w:r>
        <w:fldChar w:fldCharType="separate"/>
      </w:r>
      <w:r>
        <w:t>- 11 -</w:t>
      </w:r>
      <w:r>
        <w:fldChar w:fldCharType="end"/>
      </w:r>
      <w:r>
        <w:rPr>
          <w:rFonts w:hint="eastAsia" w:ascii="宋体" w:hAnsi="宋体"/>
          <w:color w:val="auto"/>
          <w:szCs w:val="24"/>
        </w:rPr>
        <w:fldChar w:fldCharType="end"/>
      </w:r>
    </w:p>
    <w:p w14:paraId="505FA231">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_Toc21620 </w:instrText>
      </w:r>
      <w:r>
        <w:rPr>
          <w:rFonts w:hint="eastAsia" w:ascii="宋体" w:hAnsi="宋体"/>
          <w:szCs w:val="24"/>
        </w:rPr>
        <w:fldChar w:fldCharType="separate"/>
      </w:r>
      <w:r>
        <w:rPr>
          <w:rFonts w:hint="eastAsia" w:ascii="宋体" w:hAnsi="宋体"/>
          <w:szCs w:val="24"/>
        </w:rPr>
        <w:t>※二、报价要求</w:t>
      </w:r>
      <w:r>
        <w:tab/>
      </w:r>
      <w:r>
        <w:fldChar w:fldCharType="begin"/>
      </w:r>
      <w:r>
        <w:instrText xml:space="preserve"> PAGEREF _Toc21620 \h </w:instrText>
      </w:r>
      <w:r>
        <w:fldChar w:fldCharType="separate"/>
      </w:r>
      <w:r>
        <w:t>- 11 -</w:t>
      </w:r>
      <w:r>
        <w:fldChar w:fldCharType="end"/>
      </w:r>
      <w:r>
        <w:rPr>
          <w:rFonts w:hint="eastAsia" w:ascii="宋体" w:hAnsi="宋体"/>
          <w:color w:val="auto"/>
          <w:szCs w:val="24"/>
        </w:rPr>
        <w:fldChar w:fldCharType="end"/>
      </w:r>
    </w:p>
    <w:p w14:paraId="5952CF77">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_Toc31266 </w:instrText>
      </w:r>
      <w:r>
        <w:rPr>
          <w:rFonts w:hint="eastAsia" w:ascii="宋体" w:hAnsi="宋体"/>
          <w:szCs w:val="24"/>
        </w:rPr>
        <w:fldChar w:fldCharType="separate"/>
      </w:r>
      <w:r>
        <w:rPr>
          <w:rFonts w:hint="eastAsia" w:ascii="宋体" w:hAnsi="宋体"/>
          <w:szCs w:val="24"/>
        </w:rPr>
        <w:t>※三、付款方式</w:t>
      </w:r>
      <w:r>
        <w:tab/>
      </w:r>
      <w:r>
        <w:fldChar w:fldCharType="begin"/>
      </w:r>
      <w:r>
        <w:instrText xml:space="preserve"> PAGEREF _Toc31266 \h </w:instrText>
      </w:r>
      <w:r>
        <w:fldChar w:fldCharType="separate"/>
      </w:r>
      <w:r>
        <w:t>- 11 -</w:t>
      </w:r>
      <w:r>
        <w:fldChar w:fldCharType="end"/>
      </w:r>
      <w:r>
        <w:rPr>
          <w:rFonts w:hint="eastAsia" w:ascii="宋体" w:hAnsi="宋体"/>
          <w:color w:val="auto"/>
          <w:szCs w:val="24"/>
        </w:rPr>
        <w:fldChar w:fldCharType="end"/>
      </w:r>
    </w:p>
    <w:p w14:paraId="43420C2D">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_Toc6822 </w:instrText>
      </w:r>
      <w:r>
        <w:rPr>
          <w:rFonts w:hint="eastAsia" w:ascii="宋体" w:hAnsi="宋体"/>
          <w:szCs w:val="24"/>
        </w:rPr>
        <w:fldChar w:fldCharType="separate"/>
      </w:r>
      <w:r>
        <w:rPr>
          <w:rFonts w:hint="eastAsia" w:ascii="宋体" w:hAnsi="宋体"/>
          <w:szCs w:val="24"/>
        </w:rPr>
        <w:t>四、知识产权</w:t>
      </w:r>
      <w:r>
        <w:tab/>
      </w:r>
      <w:r>
        <w:fldChar w:fldCharType="begin"/>
      </w:r>
      <w:r>
        <w:instrText xml:space="preserve"> PAGEREF _Toc6822 \h </w:instrText>
      </w:r>
      <w:r>
        <w:fldChar w:fldCharType="separate"/>
      </w:r>
      <w:r>
        <w:t>- 11 -</w:t>
      </w:r>
      <w:r>
        <w:fldChar w:fldCharType="end"/>
      </w:r>
      <w:r>
        <w:rPr>
          <w:rFonts w:hint="eastAsia" w:ascii="宋体" w:hAnsi="宋体"/>
          <w:color w:val="auto"/>
          <w:szCs w:val="24"/>
        </w:rPr>
        <w:fldChar w:fldCharType="end"/>
      </w:r>
    </w:p>
    <w:p w14:paraId="4FA1D468">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_Toc11429 </w:instrText>
      </w:r>
      <w:r>
        <w:rPr>
          <w:rFonts w:hint="eastAsia" w:ascii="宋体" w:hAnsi="宋体"/>
          <w:szCs w:val="24"/>
        </w:rPr>
        <w:fldChar w:fldCharType="separate"/>
      </w:r>
      <w:r>
        <w:rPr>
          <w:rFonts w:hint="eastAsia" w:ascii="宋体" w:hAnsi="宋体"/>
          <w:szCs w:val="24"/>
        </w:rPr>
        <w:t>五、其他</w:t>
      </w:r>
      <w:r>
        <w:tab/>
      </w:r>
      <w:r>
        <w:fldChar w:fldCharType="begin"/>
      </w:r>
      <w:r>
        <w:instrText xml:space="preserve"> PAGEREF _Toc11429 \h </w:instrText>
      </w:r>
      <w:r>
        <w:fldChar w:fldCharType="separate"/>
      </w:r>
      <w:r>
        <w:t>- 12 -</w:t>
      </w:r>
      <w:r>
        <w:fldChar w:fldCharType="end"/>
      </w:r>
      <w:r>
        <w:rPr>
          <w:rFonts w:hint="eastAsia" w:ascii="宋体" w:hAnsi="宋体"/>
          <w:color w:val="auto"/>
          <w:szCs w:val="24"/>
        </w:rPr>
        <w:fldChar w:fldCharType="end"/>
      </w:r>
    </w:p>
    <w:p w14:paraId="548E0FE9">
      <w:pPr>
        <w:pStyle w:val="46"/>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_Toc25461 </w:instrText>
      </w:r>
      <w:r>
        <w:rPr>
          <w:rFonts w:hint="eastAsia" w:ascii="宋体" w:hAnsi="宋体"/>
          <w:szCs w:val="24"/>
        </w:rPr>
        <w:fldChar w:fldCharType="separate"/>
      </w:r>
      <w:r>
        <w:rPr>
          <w:rFonts w:hint="eastAsia" w:ascii="宋体" w:hAnsi="宋体" w:eastAsia="宋体"/>
          <w:szCs w:val="30"/>
        </w:rPr>
        <w:t>第四篇  比选程序及方法、评审标准、无效响应和采购终止</w:t>
      </w:r>
      <w:r>
        <w:tab/>
      </w:r>
      <w:r>
        <w:fldChar w:fldCharType="begin"/>
      </w:r>
      <w:r>
        <w:instrText xml:space="preserve"> PAGEREF _Toc25461 \h </w:instrText>
      </w:r>
      <w:r>
        <w:fldChar w:fldCharType="separate"/>
      </w:r>
      <w:r>
        <w:t>- 13 -</w:t>
      </w:r>
      <w:r>
        <w:fldChar w:fldCharType="end"/>
      </w:r>
      <w:r>
        <w:rPr>
          <w:rFonts w:hint="eastAsia" w:ascii="宋体" w:hAnsi="宋体"/>
          <w:color w:val="auto"/>
          <w:szCs w:val="24"/>
        </w:rPr>
        <w:fldChar w:fldCharType="end"/>
      </w:r>
    </w:p>
    <w:p w14:paraId="37C9CC43">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_Toc25162 </w:instrText>
      </w:r>
      <w:r>
        <w:rPr>
          <w:rFonts w:hint="eastAsia" w:ascii="宋体" w:hAnsi="宋体"/>
          <w:szCs w:val="24"/>
        </w:rPr>
        <w:fldChar w:fldCharType="separate"/>
      </w:r>
      <w:r>
        <w:rPr>
          <w:rFonts w:hint="eastAsia" w:ascii="宋体" w:hAnsi="宋体"/>
          <w:szCs w:val="24"/>
        </w:rPr>
        <w:t>一、比选程序及方法</w:t>
      </w:r>
      <w:r>
        <w:tab/>
      </w:r>
      <w:r>
        <w:fldChar w:fldCharType="begin"/>
      </w:r>
      <w:r>
        <w:instrText xml:space="preserve"> PAGEREF _Toc25162 \h </w:instrText>
      </w:r>
      <w:r>
        <w:fldChar w:fldCharType="separate"/>
      </w:r>
      <w:r>
        <w:t>- 13 -</w:t>
      </w:r>
      <w:r>
        <w:fldChar w:fldCharType="end"/>
      </w:r>
      <w:r>
        <w:rPr>
          <w:rFonts w:hint="eastAsia" w:ascii="宋体" w:hAnsi="宋体"/>
          <w:color w:val="auto"/>
          <w:szCs w:val="24"/>
        </w:rPr>
        <w:fldChar w:fldCharType="end"/>
      </w:r>
    </w:p>
    <w:p w14:paraId="16A83D85">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_Toc32495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_Toc32495 \h </w:instrText>
      </w:r>
      <w:r>
        <w:fldChar w:fldCharType="separate"/>
      </w:r>
      <w:r>
        <w:t>- 15 -</w:t>
      </w:r>
      <w:r>
        <w:fldChar w:fldCharType="end"/>
      </w:r>
      <w:r>
        <w:rPr>
          <w:rFonts w:hint="eastAsia" w:ascii="宋体" w:hAnsi="宋体"/>
          <w:color w:val="auto"/>
          <w:szCs w:val="24"/>
        </w:rPr>
        <w:fldChar w:fldCharType="end"/>
      </w:r>
    </w:p>
    <w:p w14:paraId="65E35FF2">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_Toc5316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_Toc5316 \h </w:instrText>
      </w:r>
      <w:r>
        <w:fldChar w:fldCharType="separate"/>
      </w:r>
      <w:r>
        <w:t>- 16 -</w:t>
      </w:r>
      <w:r>
        <w:fldChar w:fldCharType="end"/>
      </w:r>
      <w:r>
        <w:rPr>
          <w:rFonts w:hint="eastAsia" w:ascii="宋体" w:hAnsi="宋体"/>
          <w:color w:val="auto"/>
          <w:szCs w:val="24"/>
        </w:rPr>
        <w:fldChar w:fldCharType="end"/>
      </w:r>
    </w:p>
    <w:p w14:paraId="32405A8D">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_Toc10858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_Toc10858 \h </w:instrText>
      </w:r>
      <w:r>
        <w:fldChar w:fldCharType="separate"/>
      </w:r>
      <w:r>
        <w:t>- 17 -</w:t>
      </w:r>
      <w:r>
        <w:fldChar w:fldCharType="end"/>
      </w:r>
      <w:r>
        <w:rPr>
          <w:rFonts w:hint="eastAsia" w:ascii="宋体" w:hAnsi="宋体"/>
          <w:color w:val="auto"/>
          <w:szCs w:val="24"/>
        </w:rPr>
        <w:fldChar w:fldCharType="end"/>
      </w:r>
    </w:p>
    <w:p w14:paraId="3C608316">
      <w:pPr>
        <w:pStyle w:val="46"/>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_Toc21690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_Toc21690 \h </w:instrText>
      </w:r>
      <w:r>
        <w:fldChar w:fldCharType="separate"/>
      </w:r>
      <w:r>
        <w:t>- 18 -</w:t>
      </w:r>
      <w:r>
        <w:fldChar w:fldCharType="end"/>
      </w:r>
      <w:r>
        <w:rPr>
          <w:rFonts w:hint="eastAsia" w:ascii="宋体" w:hAnsi="宋体"/>
          <w:color w:val="auto"/>
          <w:szCs w:val="24"/>
        </w:rPr>
        <w:fldChar w:fldCharType="end"/>
      </w:r>
    </w:p>
    <w:p w14:paraId="696C29A4">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_Toc497 </w:instrText>
      </w:r>
      <w:r>
        <w:rPr>
          <w:rFonts w:hint="eastAsia" w:ascii="宋体" w:hAnsi="宋体"/>
          <w:szCs w:val="24"/>
        </w:rPr>
        <w:fldChar w:fldCharType="separate"/>
      </w:r>
      <w:r>
        <w:rPr>
          <w:rFonts w:hint="eastAsia" w:ascii="宋体" w:hAnsi="宋体"/>
          <w:szCs w:val="24"/>
        </w:rPr>
        <w:t>一、比选费用</w:t>
      </w:r>
      <w:r>
        <w:tab/>
      </w:r>
      <w:r>
        <w:fldChar w:fldCharType="begin"/>
      </w:r>
      <w:r>
        <w:instrText xml:space="preserve"> PAGEREF _Toc497 \h </w:instrText>
      </w:r>
      <w:r>
        <w:fldChar w:fldCharType="separate"/>
      </w:r>
      <w:r>
        <w:t>- 18 -</w:t>
      </w:r>
      <w:r>
        <w:fldChar w:fldCharType="end"/>
      </w:r>
      <w:r>
        <w:rPr>
          <w:rFonts w:hint="eastAsia" w:ascii="宋体" w:hAnsi="宋体"/>
          <w:color w:val="auto"/>
          <w:szCs w:val="24"/>
        </w:rPr>
        <w:fldChar w:fldCharType="end"/>
      </w:r>
    </w:p>
    <w:p w14:paraId="513E1497">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_Toc27654 </w:instrText>
      </w:r>
      <w:r>
        <w:rPr>
          <w:rFonts w:hint="eastAsia" w:ascii="宋体" w:hAnsi="宋体"/>
          <w:szCs w:val="24"/>
        </w:rPr>
        <w:fldChar w:fldCharType="separate"/>
      </w:r>
      <w:r>
        <w:rPr>
          <w:rFonts w:hint="eastAsia" w:ascii="宋体" w:hAnsi="宋体"/>
          <w:szCs w:val="24"/>
        </w:rPr>
        <w:t>二、竞争性比选文件</w:t>
      </w:r>
      <w:r>
        <w:tab/>
      </w:r>
      <w:r>
        <w:fldChar w:fldCharType="begin"/>
      </w:r>
      <w:r>
        <w:instrText xml:space="preserve"> PAGEREF _Toc27654 \h </w:instrText>
      </w:r>
      <w:r>
        <w:fldChar w:fldCharType="separate"/>
      </w:r>
      <w:r>
        <w:t>- 18 -</w:t>
      </w:r>
      <w:r>
        <w:fldChar w:fldCharType="end"/>
      </w:r>
      <w:r>
        <w:rPr>
          <w:rFonts w:hint="eastAsia" w:ascii="宋体" w:hAnsi="宋体"/>
          <w:color w:val="auto"/>
          <w:szCs w:val="24"/>
        </w:rPr>
        <w:fldChar w:fldCharType="end"/>
      </w:r>
    </w:p>
    <w:p w14:paraId="20B5557F">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_Toc13837 </w:instrText>
      </w:r>
      <w:r>
        <w:rPr>
          <w:rFonts w:hint="eastAsia" w:ascii="宋体" w:hAnsi="宋体"/>
          <w:szCs w:val="24"/>
        </w:rPr>
        <w:fldChar w:fldCharType="separate"/>
      </w:r>
      <w:r>
        <w:rPr>
          <w:rFonts w:hint="eastAsia" w:ascii="宋体" w:hAnsi="宋体"/>
          <w:szCs w:val="24"/>
        </w:rPr>
        <w:t>三、比选要求</w:t>
      </w:r>
      <w:r>
        <w:tab/>
      </w:r>
      <w:r>
        <w:fldChar w:fldCharType="begin"/>
      </w:r>
      <w:r>
        <w:instrText xml:space="preserve"> PAGEREF _Toc13837 \h </w:instrText>
      </w:r>
      <w:r>
        <w:fldChar w:fldCharType="separate"/>
      </w:r>
      <w:r>
        <w:t>- 18 -</w:t>
      </w:r>
      <w:r>
        <w:fldChar w:fldCharType="end"/>
      </w:r>
      <w:r>
        <w:rPr>
          <w:rFonts w:hint="eastAsia" w:ascii="宋体" w:hAnsi="宋体"/>
          <w:color w:val="auto"/>
          <w:szCs w:val="24"/>
        </w:rPr>
        <w:fldChar w:fldCharType="end"/>
      </w:r>
    </w:p>
    <w:p w14:paraId="18E68FCD">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_Toc26326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_Toc26326 \h </w:instrText>
      </w:r>
      <w:r>
        <w:fldChar w:fldCharType="separate"/>
      </w:r>
      <w:r>
        <w:t>- 20 -</w:t>
      </w:r>
      <w:r>
        <w:fldChar w:fldCharType="end"/>
      </w:r>
      <w:r>
        <w:rPr>
          <w:rFonts w:hint="eastAsia" w:ascii="宋体" w:hAnsi="宋体"/>
          <w:color w:val="auto"/>
          <w:szCs w:val="24"/>
        </w:rPr>
        <w:fldChar w:fldCharType="end"/>
      </w:r>
    </w:p>
    <w:p w14:paraId="03D38109">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_Toc28882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_Toc28882 \h </w:instrText>
      </w:r>
      <w:r>
        <w:fldChar w:fldCharType="separate"/>
      </w:r>
      <w:r>
        <w:t>- 20 -</w:t>
      </w:r>
      <w:r>
        <w:fldChar w:fldCharType="end"/>
      </w:r>
      <w:r>
        <w:rPr>
          <w:rFonts w:hint="eastAsia" w:ascii="宋体" w:hAnsi="宋体"/>
          <w:color w:val="auto"/>
          <w:szCs w:val="24"/>
        </w:rPr>
        <w:fldChar w:fldCharType="end"/>
      </w:r>
    </w:p>
    <w:p w14:paraId="1C6B3A85">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_Toc25351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_Toc25351 \h </w:instrText>
      </w:r>
      <w:r>
        <w:fldChar w:fldCharType="separate"/>
      </w:r>
      <w:r>
        <w:t>- 20 -</w:t>
      </w:r>
      <w:r>
        <w:fldChar w:fldCharType="end"/>
      </w:r>
      <w:r>
        <w:rPr>
          <w:rFonts w:hint="eastAsia" w:ascii="宋体" w:hAnsi="宋体"/>
          <w:color w:val="auto"/>
          <w:szCs w:val="24"/>
        </w:rPr>
        <w:fldChar w:fldCharType="end"/>
      </w:r>
    </w:p>
    <w:p w14:paraId="01380F9B">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_Toc27738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_Toc27738 \h </w:instrText>
      </w:r>
      <w:r>
        <w:fldChar w:fldCharType="separate"/>
      </w:r>
      <w:r>
        <w:t>- 22 -</w:t>
      </w:r>
      <w:r>
        <w:fldChar w:fldCharType="end"/>
      </w:r>
      <w:r>
        <w:rPr>
          <w:rFonts w:hint="eastAsia" w:ascii="宋体" w:hAnsi="宋体"/>
          <w:color w:val="auto"/>
          <w:szCs w:val="24"/>
        </w:rPr>
        <w:fldChar w:fldCharType="end"/>
      </w:r>
    </w:p>
    <w:p w14:paraId="72D58EF6">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_Toc16182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_Toc16182 \h </w:instrText>
      </w:r>
      <w:r>
        <w:fldChar w:fldCharType="separate"/>
      </w:r>
      <w:r>
        <w:t>- 22 -</w:t>
      </w:r>
      <w:r>
        <w:fldChar w:fldCharType="end"/>
      </w:r>
      <w:r>
        <w:rPr>
          <w:rFonts w:hint="eastAsia" w:ascii="宋体" w:hAnsi="宋体"/>
          <w:color w:val="auto"/>
          <w:szCs w:val="24"/>
        </w:rPr>
        <w:fldChar w:fldCharType="end"/>
      </w:r>
    </w:p>
    <w:p w14:paraId="42CC71E7">
      <w:pPr>
        <w:pStyle w:val="46"/>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_Toc3606 </w:instrText>
      </w:r>
      <w:r>
        <w:rPr>
          <w:rFonts w:hint="eastAsia" w:ascii="宋体" w:hAnsi="宋体"/>
          <w:szCs w:val="24"/>
        </w:rPr>
        <w:fldChar w:fldCharType="separate"/>
      </w:r>
      <w:r>
        <w:rPr>
          <w:rFonts w:hint="eastAsia" w:ascii="宋体" w:hAnsi="宋体" w:eastAsia="宋体"/>
          <w:szCs w:val="30"/>
        </w:rPr>
        <w:t>第六篇  合同草案条款</w:t>
      </w:r>
      <w:r>
        <w:tab/>
      </w:r>
      <w:r>
        <w:fldChar w:fldCharType="begin"/>
      </w:r>
      <w:r>
        <w:instrText xml:space="preserve"> PAGEREF _Toc3606 \h </w:instrText>
      </w:r>
      <w:r>
        <w:fldChar w:fldCharType="separate"/>
      </w:r>
      <w:r>
        <w:t>- 23 -</w:t>
      </w:r>
      <w:r>
        <w:fldChar w:fldCharType="end"/>
      </w:r>
      <w:r>
        <w:rPr>
          <w:rFonts w:hint="eastAsia" w:ascii="宋体" w:hAnsi="宋体"/>
          <w:color w:val="auto"/>
          <w:szCs w:val="24"/>
        </w:rPr>
        <w:fldChar w:fldCharType="end"/>
      </w:r>
    </w:p>
    <w:p w14:paraId="1816D4E9">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_Toc20300 </w:instrText>
      </w:r>
      <w:r>
        <w:rPr>
          <w:rFonts w:hint="eastAsia" w:ascii="宋体" w:hAnsi="宋体"/>
          <w:szCs w:val="24"/>
        </w:rPr>
        <w:fldChar w:fldCharType="separate"/>
      </w:r>
      <w:r>
        <w:rPr>
          <w:rFonts w:hint="eastAsia" w:ascii="宋体" w:hAnsi="宋体"/>
          <w:szCs w:val="24"/>
        </w:rPr>
        <w:t>一、合同主要条款</w:t>
      </w:r>
      <w:r>
        <w:tab/>
      </w:r>
      <w:r>
        <w:fldChar w:fldCharType="begin"/>
      </w:r>
      <w:r>
        <w:instrText xml:space="preserve"> PAGEREF _Toc20300 \h </w:instrText>
      </w:r>
      <w:r>
        <w:fldChar w:fldCharType="separate"/>
      </w:r>
      <w:r>
        <w:t>- 23 -</w:t>
      </w:r>
      <w:r>
        <w:fldChar w:fldCharType="end"/>
      </w:r>
      <w:r>
        <w:rPr>
          <w:rFonts w:hint="eastAsia" w:ascii="宋体" w:hAnsi="宋体"/>
          <w:color w:val="auto"/>
          <w:szCs w:val="24"/>
        </w:rPr>
        <w:fldChar w:fldCharType="end"/>
      </w:r>
    </w:p>
    <w:p w14:paraId="1841862F">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_Toc13719 </w:instrText>
      </w:r>
      <w:r>
        <w:rPr>
          <w:rFonts w:hint="eastAsia" w:ascii="宋体" w:hAnsi="宋体"/>
          <w:szCs w:val="24"/>
        </w:rPr>
        <w:fldChar w:fldCharType="separate"/>
      </w:r>
      <w:r>
        <w:rPr>
          <w:rFonts w:hint="eastAsia" w:ascii="宋体" w:hAnsi="宋体"/>
          <w:szCs w:val="24"/>
        </w:rPr>
        <w:t>二、政府采购合同（格式）</w:t>
      </w:r>
      <w:r>
        <w:tab/>
      </w:r>
      <w:r>
        <w:fldChar w:fldCharType="begin"/>
      </w:r>
      <w:r>
        <w:instrText xml:space="preserve"> PAGEREF _Toc13719 \h </w:instrText>
      </w:r>
      <w:r>
        <w:fldChar w:fldCharType="separate"/>
      </w:r>
      <w:r>
        <w:t>- 25 -</w:t>
      </w:r>
      <w:r>
        <w:fldChar w:fldCharType="end"/>
      </w:r>
      <w:r>
        <w:rPr>
          <w:rFonts w:hint="eastAsia" w:ascii="宋体" w:hAnsi="宋体"/>
          <w:color w:val="auto"/>
          <w:szCs w:val="24"/>
        </w:rPr>
        <w:fldChar w:fldCharType="end"/>
      </w:r>
    </w:p>
    <w:p w14:paraId="084C6CA5">
      <w:pPr>
        <w:pStyle w:val="46"/>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_Toc10910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_Toc10910 \h </w:instrText>
      </w:r>
      <w:r>
        <w:fldChar w:fldCharType="separate"/>
      </w:r>
      <w:r>
        <w:t>- 27 -</w:t>
      </w:r>
      <w:r>
        <w:fldChar w:fldCharType="end"/>
      </w:r>
      <w:r>
        <w:rPr>
          <w:rFonts w:hint="eastAsia" w:ascii="宋体" w:hAnsi="宋体"/>
          <w:color w:val="auto"/>
          <w:szCs w:val="24"/>
        </w:rPr>
        <w:fldChar w:fldCharType="end"/>
      </w:r>
    </w:p>
    <w:p w14:paraId="33883752">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_Toc8899 </w:instrText>
      </w:r>
      <w:r>
        <w:rPr>
          <w:rFonts w:hint="eastAsia" w:ascii="宋体" w:hAnsi="宋体"/>
          <w:szCs w:val="24"/>
        </w:rPr>
        <w:fldChar w:fldCharType="separate"/>
      </w:r>
      <w:r>
        <w:rPr>
          <w:rFonts w:ascii="宋体" w:hAnsi="宋体"/>
          <w:szCs w:val="24"/>
        </w:rPr>
        <w:t>一、经济部分</w:t>
      </w:r>
      <w:r>
        <w:tab/>
      </w:r>
      <w:r>
        <w:fldChar w:fldCharType="begin"/>
      </w:r>
      <w:r>
        <w:instrText xml:space="preserve"> PAGEREF _Toc8899 \h </w:instrText>
      </w:r>
      <w:r>
        <w:fldChar w:fldCharType="separate"/>
      </w:r>
      <w:r>
        <w:t>- 27 -</w:t>
      </w:r>
      <w:r>
        <w:fldChar w:fldCharType="end"/>
      </w:r>
      <w:r>
        <w:rPr>
          <w:rFonts w:hint="eastAsia" w:ascii="宋体" w:hAnsi="宋体"/>
          <w:color w:val="auto"/>
          <w:szCs w:val="24"/>
        </w:rPr>
        <w:fldChar w:fldCharType="end"/>
      </w:r>
    </w:p>
    <w:p w14:paraId="319CC417">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_Toc2005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_Toc2005 \h </w:instrText>
      </w:r>
      <w:r>
        <w:fldChar w:fldCharType="separate"/>
      </w:r>
      <w:r>
        <w:t>- 27 -</w:t>
      </w:r>
      <w:r>
        <w:fldChar w:fldCharType="end"/>
      </w:r>
      <w:r>
        <w:rPr>
          <w:rFonts w:hint="eastAsia" w:ascii="宋体" w:hAnsi="宋体"/>
          <w:color w:val="auto"/>
          <w:szCs w:val="24"/>
        </w:rPr>
        <w:fldChar w:fldCharType="end"/>
      </w:r>
    </w:p>
    <w:p w14:paraId="7C3DB018">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_Toc13970 </w:instrText>
      </w:r>
      <w:r>
        <w:rPr>
          <w:rFonts w:hint="eastAsia" w:ascii="宋体" w:hAnsi="宋体"/>
          <w:szCs w:val="24"/>
        </w:rPr>
        <w:fldChar w:fldCharType="separate"/>
      </w:r>
      <w:r>
        <w:rPr>
          <w:rFonts w:ascii="宋体" w:hAnsi="宋体"/>
          <w:szCs w:val="24"/>
        </w:rPr>
        <w:t>三、商务部分</w:t>
      </w:r>
      <w:r>
        <w:tab/>
      </w:r>
      <w:r>
        <w:fldChar w:fldCharType="begin"/>
      </w:r>
      <w:r>
        <w:instrText xml:space="preserve"> PAGEREF _Toc13970 \h </w:instrText>
      </w:r>
      <w:r>
        <w:fldChar w:fldCharType="separate"/>
      </w:r>
      <w:r>
        <w:t>- 27 -</w:t>
      </w:r>
      <w:r>
        <w:fldChar w:fldCharType="end"/>
      </w:r>
      <w:r>
        <w:rPr>
          <w:rFonts w:hint="eastAsia" w:ascii="宋体" w:hAnsi="宋体"/>
          <w:color w:val="auto"/>
          <w:szCs w:val="24"/>
        </w:rPr>
        <w:fldChar w:fldCharType="end"/>
      </w:r>
    </w:p>
    <w:p w14:paraId="2FC9CE91">
      <w:pPr>
        <w:pStyle w:val="30"/>
        <w:tabs>
          <w:tab w:val="right" w:leader="dot" w:pos="9525"/>
        </w:tabs>
      </w:pPr>
      <w:r>
        <w:rPr>
          <w:rFonts w:hint="eastAsia" w:ascii="宋体" w:hAnsi="宋体"/>
          <w:color w:val="auto"/>
          <w:szCs w:val="24"/>
        </w:rPr>
        <w:fldChar w:fldCharType="begin"/>
      </w:r>
      <w:r>
        <w:rPr>
          <w:rFonts w:hint="eastAsia" w:ascii="宋体" w:hAnsi="宋体"/>
          <w:szCs w:val="24"/>
        </w:rPr>
        <w:instrText xml:space="preserve"> HYPERLINK \l _Toc32049 </w:instrText>
      </w:r>
      <w:r>
        <w:rPr>
          <w:rFonts w:hint="eastAsia" w:ascii="宋体" w:hAnsi="宋体"/>
          <w:szCs w:val="24"/>
        </w:rPr>
        <w:fldChar w:fldCharType="separate"/>
      </w:r>
      <w:r>
        <w:rPr>
          <w:rFonts w:ascii="宋体" w:hAnsi="宋体"/>
          <w:szCs w:val="24"/>
        </w:rPr>
        <w:t>四、资格条件及其他</w:t>
      </w:r>
      <w:r>
        <w:tab/>
      </w:r>
      <w:r>
        <w:fldChar w:fldCharType="begin"/>
      </w:r>
      <w:r>
        <w:instrText xml:space="preserve"> PAGEREF _Toc32049 \h </w:instrText>
      </w:r>
      <w:r>
        <w:fldChar w:fldCharType="separate"/>
      </w:r>
      <w:r>
        <w:t>- 27 -</w:t>
      </w:r>
      <w:r>
        <w:fldChar w:fldCharType="end"/>
      </w:r>
      <w:r>
        <w:rPr>
          <w:rFonts w:hint="eastAsia" w:ascii="宋体" w:hAnsi="宋体"/>
          <w:color w:val="auto"/>
          <w:szCs w:val="24"/>
        </w:rPr>
        <w:fldChar w:fldCharType="end"/>
      </w:r>
    </w:p>
    <w:p w14:paraId="73465629">
      <w:pPr>
        <w:pStyle w:val="46"/>
        <w:tabs>
          <w:tab w:val="right" w:leader="dot" w:pos="9402"/>
        </w:tabs>
        <w:spacing w:line="480" w:lineRule="exact"/>
        <w:ind w:left="560"/>
        <w:jc w:val="center"/>
        <w:rPr>
          <w:rFonts w:ascii="宋体" w:hAnsi="宋体"/>
          <w:color w:val="auto"/>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auto"/>
          <w:szCs w:val="24"/>
        </w:rPr>
        <w:fldChar w:fldCharType="end"/>
      </w:r>
    </w:p>
    <w:p w14:paraId="4B395BC3">
      <w:pPr>
        <w:pStyle w:val="5"/>
        <w:spacing w:line="360" w:lineRule="auto"/>
        <w:jc w:val="center"/>
        <w:rPr>
          <w:rFonts w:ascii="宋体" w:hAnsi="宋体" w:eastAsia="宋体"/>
          <w:color w:val="auto"/>
          <w:sz w:val="36"/>
          <w:szCs w:val="30"/>
        </w:rPr>
      </w:pPr>
      <w:bookmarkStart w:id="0" w:name="_Toc3533"/>
      <w:bookmarkStart w:id="1" w:name="_Toc11641050"/>
      <w:bookmarkStart w:id="2" w:name="_Toc12789052"/>
      <w:r>
        <w:rPr>
          <w:rFonts w:hint="eastAsia" w:ascii="宋体" w:hAnsi="宋体" w:eastAsia="宋体"/>
          <w:color w:val="auto"/>
          <w:sz w:val="36"/>
          <w:szCs w:val="30"/>
        </w:rPr>
        <w:t>第一篇  采购邀请书</w:t>
      </w:r>
      <w:bookmarkEnd w:id="0"/>
      <w:bookmarkEnd w:id="1"/>
      <w:bookmarkEnd w:id="2"/>
    </w:p>
    <w:p w14:paraId="62D76C7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重庆市中基致信招标代理有限公司（以下简称：采购代理机构）接</w:t>
      </w:r>
      <w:r>
        <w:rPr>
          <w:rFonts w:ascii="宋体" w:hAnsi="宋体"/>
          <w:color w:val="auto"/>
          <w:sz w:val="24"/>
          <w:szCs w:val="24"/>
        </w:rPr>
        <w:t>受</w:t>
      </w:r>
      <w:r>
        <w:rPr>
          <w:rFonts w:hint="eastAsia" w:ascii="宋体" w:hAnsi="宋体"/>
          <w:color w:val="auto"/>
          <w:sz w:val="24"/>
          <w:szCs w:val="24"/>
        </w:rPr>
        <w:t>重庆市人民政府口岸和物流办公室的委托，对</w:t>
      </w:r>
      <w:r>
        <w:rPr>
          <w:rFonts w:hint="eastAsia" w:ascii="宋体" w:hAnsi="宋体"/>
          <w:color w:val="auto"/>
          <w:sz w:val="24"/>
          <w:szCs w:val="24"/>
          <w:lang w:eastAsia="zh-CN"/>
        </w:rPr>
        <w:t>聘请第三方服务机构对重点专项资金</w:t>
      </w:r>
      <w:r>
        <w:rPr>
          <w:rFonts w:hint="eastAsia" w:ascii="宋体" w:hAnsi="宋体"/>
          <w:color w:val="auto"/>
          <w:sz w:val="24"/>
          <w:szCs w:val="24"/>
          <w:lang w:val="en-US" w:eastAsia="zh-CN"/>
        </w:rPr>
        <w:t>进行</w:t>
      </w:r>
      <w:r>
        <w:rPr>
          <w:rFonts w:hint="eastAsia" w:ascii="宋体" w:hAnsi="宋体"/>
          <w:color w:val="auto"/>
          <w:sz w:val="24"/>
          <w:szCs w:val="24"/>
          <w:lang w:eastAsia="zh-CN"/>
        </w:rPr>
        <w:t>统一审计</w:t>
      </w:r>
      <w:r>
        <w:rPr>
          <w:rFonts w:hint="eastAsia" w:ascii="宋体" w:hAnsi="宋体"/>
          <w:color w:val="auto"/>
          <w:sz w:val="24"/>
          <w:szCs w:val="24"/>
          <w:lang w:val="en-US" w:eastAsia="zh-CN"/>
        </w:rPr>
        <w:t>项目</w:t>
      </w:r>
      <w:r>
        <w:rPr>
          <w:rFonts w:hint="eastAsia" w:ascii="宋体" w:hAnsi="宋体"/>
          <w:color w:val="auto"/>
          <w:sz w:val="24"/>
          <w:szCs w:val="24"/>
        </w:rPr>
        <w:t>（项目号：</w:t>
      </w:r>
      <w:r>
        <w:rPr>
          <w:rFonts w:hint="eastAsia" w:ascii="宋体" w:hAnsi="宋体"/>
          <w:color w:val="auto"/>
          <w:sz w:val="24"/>
          <w:szCs w:val="24"/>
          <w:highlight w:val="none"/>
          <w:lang w:eastAsia="zh-CN"/>
        </w:rPr>
        <w:t>SZFKAWLCG202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008</w:t>
      </w:r>
      <w:r>
        <w:rPr>
          <w:rFonts w:hint="eastAsia" w:ascii="宋体" w:hAnsi="宋体"/>
          <w:color w:val="auto"/>
          <w:sz w:val="24"/>
          <w:szCs w:val="24"/>
        </w:rPr>
        <w:t>）进行竞争性比选采购。欢迎有资格的供应商前来参与比选。</w:t>
      </w:r>
    </w:p>
    <w:p w14:paraId="3656CE0B">
      <w:pPr>
        <w:pStyle w:val="6"/>
        <w:spacing w:before="0" w:after="0" w:line="360" w:lineRule="auto"/>
        <w:ind w:firstLine="480" w:firstLineChars="200"/>
        <w:rPr>
          <w:rFonts w:ascii="宋体" w:hAnsi="宋体"/>
          <w:color w:val="auto"/>
          <w:sz w:val="24"/>
          <w:szCs w:val="24"/>
        </w:rPr>
      </w:pPr>
      <w:bookmarkStart w:id="3" w:name="_Toc16032"/>
      <w:bookmarkStart w:id="4" w:name="_Toc317775175"/>
      <w:bookmarkStart w:id="5" w:name="_Toc313893526"/>
      <w:r>
        <w:rPr>
          <w:rFonts w:hint="eastAsia" w:ascii="宋体" w:hAnsi="宋体"/>
          <w:color w:val="auto"/>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1150"/>
        <w:gridCol w:w="1200"/>
        <w:gridCol w:w="1350"/>
        <w:gridCol w:w="1726"/>
      </w:tblGrid>
      <w:tr w14:paraId="4537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437" w:type="dxa"/>
            <w:tcBorders>
              <w:top w:val="single" w:color="auto" w:sz="4" w:space="0"/>
              <w:left w:val="single" w:color="auto" w:sz="4" w:space="0"/>
              <w:right w:val="single" w:color="auto" w:sz="4" w:space="0"/>
            </w:tcBorders>
            <w:vAlign w:val="center"/>
          </w:tcPr>
          <w:p w14:paraId="419D3E21">
            <w:pPr>
              <w:widowControl/>
              <w:jc w:val="center"/>
              <w:rPr>
                <w:rFonts w:ascii="宋体" w:hAnsi="宋体" w:cs="宋体"/>
                <w:b/>
                <w:bCs/>
                <w:color w:val="auto"/>
                <w:kern w:val="0"/>
                <w:sz w:val="21"/>
                <w:szCs w:val="21"/>
              </w:rPr>
            </w:pPr>
            <w:bookmarkStart w:id="6" w:name="_Toc373860293"/>
            <w:bookmarkStart w:id="7" w:name="_Toc317775178"/>
            <w:r>
              <w:rPr>
                <w:rFonts w:hint="eastAsia" w:ascii="宋体" w:hAnsi="宋体" w:cs="宋体"/>
                <w:b/>
                <w:bCs/>
                <w:color w:val="auto"/>
                <w:kern w:val="0"/>
                <w:sz w:val="21"/>
                <w:szCs w:val="21"/>
              </w:rPr>
              <w:t>项目内容</w:t>
            </w:r>
          </w:p>
        </w:tc>
        <w:tc>
          <w:tcPr>
            <w:tcW w:w="1150" w:type="dxa"/>
            <w:tcBorders>
              <w:top w:val="single" w:color="auto" w:sz="4" w:space="0"/>
              <w:left w:val="single" w:color="auto" w:sz="4" w:space="0"/>
              <w:right w:val="single" w:color="auto" w:sz="4" w:space="0"/>
            </w:tcBorders>
            <w:vAlign w:val="center"/>
          </w:tcPr>
          <w:p w14:paraId="243FF741">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最高限价</w:t>
            </w:r>
          </w:p>
          <w:p w14:paraId="67145BC9">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（万元）</w:t>
            </w:r>
          </w:p>
        </w:tc>
        <w:tc>
          <w:tcPr>
            <w:tcW w:w="1200" w:type="dxa"/>
            <w:tcBorders>
              <w:top w:val="single" w:color="auto" w:sz="4" w:space="0"/>
              <w:left w:val="single" w:color="auto" w:sz="4" w:space="0"/>
              <w:right w:val="single" w:color="auto" w:sz="4" w:space="0"/>
            </w:tcBorders>
            <w:vAlign w:val="center"/>
          </w:tcPr>
          <w:p w14:paraId="10C0B5B1">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57FACB93">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1D151F90">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采购标的对应的中小企业划分标准所属行业</w:t>
            </w:r>
          </w:p>
        </w:tc>
      </w:tr>
      <w:tr w14:paraId="5507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4437" w:type="dxa"/>
            <w:tcBorders>
              <w:top w:val="single" w:color="auto" w:sz="4" w:space="0"/>
              <w:left w:val="single" w:color="auto" w:sz="4" w:space="0"/>
              <w:right w:val="single" w:color="auto" w:sz="4" w:space="0"/>
            </w:tcBorders>
            <w:vAlign w:val="center"/>
          </w:tcPr>
          <w:p w14:paraId="0B5AE182">
            <w:pPr>
              <w:pStyle w:val="24"/>
              <w:spacing w:line="240" w:lineRule="auto"/>
              <w:ind w:left="0"/>
              <w:jc w:val="center"/>
              <w:outlineLvl w:val="0"/>
              <w:rPr>
                <w:rFonts w:hint="default" w:ascii="宋体" w:hAnsi="宋体" w:eastAsia="宋体"/>
                <w:color w:val="auto"/>
                <w:sz w:val="21"/>
                <w:szCs w:val="21"/>
                <w:lang w:val="en-US" w:eastAsia="zh-CN"/>
              </w:rPr>
            </w:pPr>
            <w:bookmarkStart w:id="8" w:name="_Hlk344477914"/>
            <w:r>
              <w:rPr>
                <w:rFonts w:hint="eastAsia" w:ascii="宋体" w:hAnsi="宋体"/>
                <w:color w:val="auto"/>
                <w:sz w:val="21"/>
                <w:szCs w:val="21"/>
                <w:lang w:eastAsia="zh-CN"/>
              </w:rPr>
              <w:t>聘请第三方服务机构对重点专项资金</w:t>
            </w:r>
            <w:r>
              <w:rPr>
                <w:rFonts w:hint="eastAsia" w:ascii="宋体" w:hAnsi="宋体"/>
                <w:color w:val="auto"/>
                <w:sz w:val="21"/>
                <w:szCs w:val="21"/>
                <w:lang w:val="en-US" w:eastAsia="zh-CN"/>
              </w:rPr>
              <w:t>进行</w:t>
            </w:r>
            <w:r>
              <w:rPr>
                <w:rFonts w:hint="eastAsia" w:ascii="宋体" w:hAnsi="宋体"/>
                <w:color w:val="auto"/>
                <w:sz w:val="21"/>
                <w:szCs w:val="21"/>
                <w:lang w:eastAsia="zh-CN"/>
              </w:rPr>
              <w:t>统一审计</w:t>
            </w:r>
            <w:r>
              <w:rPr>
                <w:rFonts w:hint="eastAsia" w:ascii="宋体" w:hAnsi="宋体"/>
                <w:color w:val="auto"/>
                <w:sz w:val="21"/>
                <w:szCs w:val="21"/>
                <w:lang w:val="en-US" w:eastAsia="zh-CN"/>
              </w:rPr>
              <w:t>项目</w:t>
            </w:r>
          </w:p>
        </w:tc>
        <w:tc>
          <w:tcPr>
            <w:tcW w:w="1150" w:type="dxa"/>
            <w:tcBorders>
              <w:top w:val="single" w:color="auto" w:sz="4" w:space="0"/>
              <w:left w:val="single" w:color="auto" w:sz="4" w:space="0"/>
              <w:right w:val="single" w:color="auto" w:sz="4" w:space="0"/>
            </w:tcBorders>
            <w:vAlign w:val="center"/>
          </w:tcPr>
          <w:p w14:paraId="465C0D00">
            <w:pPr>
              <w:pStyle w:val="24"/>
              <w:spacing w:line="240" w:lineRule="auto"/>
              <w:ind w:left="0"/>
              <w:jc w:val="center"/>
              <w:outlineLvl w:val="0"/>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36</w:t>
            </w:r>
          </w:p>
        </w:tc>
        <w:tc>
          <w:tcPr>
            <w:tcW w:w="1200" w:type="dxa"/>
            <w:tcBorders>
              <w:top w:val="single" w:color="auto" w:sz="4" w:space="0"/>
              <w:left w:val="single" w:color="auto" w:sz="4" w:space="0"/>
              <w:right w:val="single" w:color="auto" w:sz="4" w:space="0"/>
            </w:tcBorders>
            <w:vAlign w:val="center"/>
          </w:tcPr>
          <w:p w14:paraId="0D1090D0">
            <w:pPr>
              <w:pStyle w:val="24"/>
              <w:spacing w:line="240" w:lineRule="auto"/>
              <w:ind w:left="0"/>
              <w:jc w:val="center"/>
              <w:outlineLvl w:val="0"/>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7200</w:t>
            </w:r>
          </w:p>
        </w:tc>
        <w:tc>
          <w:tcPr>
            <w:tcW w:w="1350" w:type="dxa"/>
            <w:tcBorders>
              <w:top w:val="single" w:color="auto" w:sz="4" w:space="0"/>
              <w:left w:val="single" w:color="auto" w:sz="4" w:space="0"/>
              <w:right w:val="single" w:color="auto" w:sz="4" w:space="0"/>
            </w:tcBorders>
            <w:vAlign w:val="center"/>
          </w:tcPr>
          <w:p w14:paraId="44A9469B">
            <w:pPr>
              <w:pStyle w:val="24"/>
              <w:spacing w:line="240" w:lineRule="auto"/>
              <w:ind w:left="0"/>
              <w:jc w:val="center"/>
              <w:outlineLvl w:val="0"/>
              <w:rPr>
                <w:rFonts w:ascii="宋体" w:hAnsi="宋体"/>
                <w:color w:val="auto"/>
                <w:sz w:val="21"/>
                <w:szCs w:val="21"/>
              </w:rPr>
            </w:pPr>
            <w:r>
              <w:rPr>
                <w:rFonts w:ascii="宋体" w:hAnsi="宋体"/>
                <w:color w:val="auto"/>
                <w:sz w:val="21"/>
                <w:szCs w:val="21"/>
              </w:rPr>
              <w:t>1</w:t>
            </w:r>
          </w:p>
        </w:tc>
        <w:tc>
          <w:tcPr>
            <w:tcW w:w="1726" w:type="dxa"/>
            <w:tcBorders>
              <w:top w:val="single" w:color="auto" w:sz="4" w:space="0"/>
              <w:left w:val="single" w:color="auto" w:sz="4" w:space="0"/>
              <w:right w:val="single" w:color="auto" w:sz="4" w:space="0"/>
            </w:tcBorders>
            <w:vAlign w:val="center"/>
          </w:tcPr>
          <w:p w14:paraId="58020F83">
            <w:pPr>
              <w:pStyle w:val="24"/>
              <w:spacing w:line="240" w:lineRule="auto"/>
              <w:ind w:left="0"/>
              <w:jc w:val="center"/>
              <w:outlineLvl w:val="0"/>
              <w:rPr>
                <w:rFonts w:ascii="宋体" w:hAnsi="宋体"/>
                <w:color w:val="auto"/>
                <w:sz w:val="21"/>
                <w:szCs w:val="21"/>
              </w:rPr>
            </w:pPr>
            <w:r>
              <w:rPr>
                <w:rFonts w:hint="eastAsia" w:ascii="宋体" w:hAnsi="宋体"/>
                <w:color w:val="auto"/>
                <w:sz w:val="21"/>
                <w:szCs w:val="21"/>
              </w:rPr>
              <w:t>租赁和商务服务业</w:t>
            </w:r>
          </w:p>
        </w:tc>
      </w:tr>
      <w:bookmarkEnd w:id="8"/>
    </w:tbl>
    <w:p w14:paraId="307AE39D">
      <w:pPr>
        <w:pStyle w:val="6"/>
        <w:spacing w:before="0" w:after="0" w:line="360" w:lineRule="auto"/>
        <w:ind w:firstLine="480" w:firstLineChars="200"/>
        <w:rPr>
          <w:rFonts w:ascii="宋体" w:hAnsi="宋体"/>
          <w:color w:val="auto"/>
          <w:sz w:val="24"/>
          <w:szCs w:val="24"/>
        </w:rPr>
      </w:pPr>
      <w:bookmarkStart w:id="9" w:name="_Toc21133"/>
      <w:r>
        <w:rPr>
          <w:rFonts w:hint="eastAsia" w:ascii="宋体" w:hAnsi="宋体"/>
          <w:color w:val="auto"/>
          <w:sz w:val="24"/>
          <w:szCs w:val="24"/>
        </w:rPr>
        <w:t>二、资金来源</w:t>
      </w:r>
      <w:bookmarkEnd w:id="9"/>
    </w:p>
    <w:p w14:paraId="4BC7A60A">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财政预算资金,预算金额为</w:t>
      </w:r>
      <w:r>
        <w:rPr>
          <w:rFonts w:hint="eastAsia" w:ascii="宋体" w:hAnsi="宋体"/>
          <w:color w:val="auto"/>
          <w:sz w:val="24"/>
          <w:szCs w:val="24"/>
          <w:lang w:val="en-US" w:eastAsia="zh-CN"/>
        </w:rPr>
        <w:t>36</w:t>
      </w:r>
      <w:r>
        <w:rPr>
          <w:rFonts w:hint="eastAsia" w:ascii="宋体" w:hAnsi="宋体"/>
          <w:color w:val="auto"/>
          <w:sz w:val="24"/>
          <w:szCs w:val="24"/>
        </w:rPr>
        <w:t>万元。</w:t>
      </w:r>
    </w:p>
    <w:bookmarkEnd w:id="6"/>
    <w:bookmarkEnd w:id="7"/>
    <w:p w14:paraId="5F7B4705">
      <w:pPr>
        <w:pStyle w:val="6"/>
        <w:spacing w:before="0" w:after="0" w:line="360" w:lineRule="auto"/>
        <w:ind w:firstLine="480" w:firstLineChars="200"/>
        <w:rPr>
          <w:rFonts w:ascii="宋体" w:hAnsi="宋体"/>
          <w:color w:val="auto"/>
          <w:sz w:val="24"/>
          <w:szCs w:val="24"/>
        </w:rPr>
      </w:pPr>
      <w:bookmarkStart w:id="10" w:name="_Toc28615"/>
      <w:bookmarkStart w:id="11" w:name="_Toc75258773"/>
      <w:r>
        <w:rPr>
          <w:rFonts w:hint="eastAsia" w:ascii="宋体" w:hAnsi="宋体"/>
          <w:color w:val="auto"/>
          <w:sz w:val="24"/>
          <w:szCs w:val="24"/>
        </w:rPr>
        <w:t>三、供应商资格条件</w:t>
      </w:r>
      <w:bookmarkEnd w:id="10"/>
      <w:bookmarkEnd w:id="11"/>
    </w:p>
    <w:p w14:paraId="60E6C0CA">
      <w:pPr>
        <w:snapToGrid w:val="0"/>
        <w:spacing w:line="360" w:lineRule="auto"/>
        <w:ind w:firstLine="480" w:firstLineChars="200"/>
        <w:rPr>
          <w:rFonts w:ascii="宋体" w:hAnsi="宋体"/>
          <w:color w:val="auto"/>
          <w:sz w:val="24"/>
          <w:szCs w:val="24"/>
        </w:rPr>
      </w:pPr>
      <w:bookmarkStart w:id="12" w:name="_Toc75258774"/>
      <w:r>
        <w:rPr>
          <w:rFonts w:hint="eastAsia" w:ascii="宋体" w:hAnsi="宋体"/>
          <w:color w:val="auto"/>
          <w:sz w:val="24"/>
          <w:szCs w:val="24"/>
        </w:rPr>
        <w:t>（一）合格供应商应满足《中华人民共和国政府采购法》第二十二条规定；</w:t>
      </w:r>
    </w:p>
    <w:p w14:paraId="5146C96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（二）本项目的特定资格条件：</w:t>
      </w:r>
    </w:p>
    <w:p w14:paraId="1F55E5F0">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1.供应商具有行政主管部门颁发的会计事务所（或分所）执业证书（提供证书复印件）。</w:t>
      </w:r>
    </w:p>
    <w:p w14:paraId="40C13659">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2.供应商若为分支机构的，必须取得总公司（总所）的授权书，且总公司（总所）仅能授权一家分支机构参与本项目投标（提供总公司（总所）的授权书原件）。</w:t>
      </w:r>
    </w:p>
    <w:p w14:paraId="1BC4FCD6">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（三）落实政府采购政策需满足的资格要求：无。</w:t>
      </w:r>
    </w:p>
    <w:p w14:paraId="432A67D5">
      <w:pPr>
        <w:pStyle w:val="6"/>
        <w:spacing w:before="0" w:after="0" w:line="360" w:lineRule="auto"/>
        <w:ind w:firstLine="480" w:firstLineChars="200"/>
        <w:rPr>
          <w:rFonts w:ascii="宋体" w:hAnsi="宋体"/>
          <w:color w:val="auto"/>
          <w:sz w:val="24"/>
          <w:szCs w:val="24"/>
        </w:rPr>
      </w:pPr>
      <w:bookmarkStart w:id="13" w:name="_Toc26760"/>
      <w:r>
        <w:rPr>
          <w:rFonts w:hint="eastAsia" w:ascii="宋体" w:hAnsi="宋体"/>
          <w:color w:val="auto"/>
          <w:sz w:val="24"/>
          <w:szCs w:val="24"/>
        </w:rPr>
        <w:t>四、比选有关说明</w:t>
      </w:r>
      <w:bookmarkEnd w:id="12"/>
      <w:bookmarkEnd w:id="13"/>
    </w:p>
    <w:p w14:paraId="35DD5566">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（一）凡有意参加比选的供应商，请在规定时间内进行报名。报名方式为：</w:t>
      </w:r>
    </w:p>
    <w:p w14:paraId="2BBE6100">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1.潜在供应商将《采购文件发售登记表》（加盖供应商公章）及标书费转账凭证扫描后发送至hulin@cqchinabase.com。</w:t>
      </w:r>
    </w:p>
    <w:p w14:paraId="2852DBA6">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 收款账户：</w:t>
      </w:r>
    </w:p>
    <w:p w14:paraId="2C69B0D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户  名：重庆市中基致信招标代理有限公司</w:t>
      </w:r>
    </w:p>
    <w:p w14:paraId="41207DC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开户行：中国银行重庆江北支行</w:t>
      </w:r>
    </w:p>
    <w:p w14:paraId="70ABF28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账  号：1144 6718 4234</w:t>
      </w:r>
    </w:p>
    <w:p w14:paraId="1AEA11BB">
      <w:pPr>
        <w:jc w:val="center"/>
        <w:rPr>
          <w:rFonts w:hint="eastAsia" w:eastAsia="黑体"/>
          <w:b/>
          <w:bCs/>
          <w:sz w:val="44"/>
          <w:szCs w:val="44"/>
          <w:highlight w:val="none"/>
        </w:rPr>
      </w:pPr>
    </w:p>
    <w:p w14:paraId="1D566157">
      <w:pPr>
        <w:jc w:val="center"/>
        <w:rPr>
          <w:rFonts w:hint="eastAsia" w:eastAsia="黑体"/>
          <w:b/>
          <w:bCs/>
          <w:sz w:val="44"/>
          <w:szCs w:val="44"/>
          <w:highlight w:val="none"/>
        </w:rPr>
      </w:pPr>
    </w:p>
    <w:p w14:paraId="38E213F5">
      <w:pPr>
        <w:jc w:val="center"/>
        <w:rPr>
          <w:rFonts w:hint="eastAsia" w:eastAsia="黑体"/>
          <w:b/>
          <w:bCs/>
          <w:sz w:val="44"/>
          <w:szCs w:val="44"/>
          <w:highlight w:val="none"/>
        </w:rPr>
      </w:pPr>
    </w:p>
    <w:p w14:paraId="53C4008A">
      <w:pPr>
        <w:jc w:val="center"/>
        <w:rPr>
          <w:rFonts w:eastAsia="黑体"/>
          <w:b/>
          <w:bCs/>
          <w:sz w:val="44"/>
          <w:szCs w:val="44"/>
          <w:highlight w:val="none"/>
        </w:rPr>
      </w:pPr>
      <w:r>
        <w:rPr>
          <w:rFonts w:hint="eastAsia" w:eastAsia="黑体"/>
          <w:b/>
          <w:bCs/>
          <w:sz w:val="44"/>
          <w:szCs w:val="44"/>
          <w:highlight w:val="none"/>
        </w:rPr>
        <w:t>采购文件</w:t>
      </w:r>
      <w:r>
        <w:rPr>
          <w:rFonts w:hint="eastAsia" w:eastAsia="黑体"/>
          <w:b/>
          <w:bCs/>
          <w:sz w:val="44"/>
          <w:szCs w:val="44"/>
          <w:highlight w:val="none"/>
          <w:lang w:val="en-US" w:eastAsia="zh-CN"/>
        </w:rPr>
        <w:t>获取</w:t>
      </w:r>
      <w:r>
        <w:rPr>
          <w:rFonts w:hint="eastAsia" w:eastAsia="黑体"/>
          <w:b/>
          <w:bCs/>
          <w:sz w:val="44"/>
          <w:szCs w:val="44"/>
          <w:highlight w:val="none"/>
        </w:rPr>
        <w:t>登记表</w:t>
      </w:r>
    </w:p>
    <w:p w14:paraId="5D6D7C56">
      <w:pPr>
        <w:jc w:val="left"/>
        <w:rPr>
          <w:rFonts w:eastAsia="黑体"/>
          <w:b/>
          <w:bCs/>
          <w:spacing w:val="40"/>
          <w:highlight w:val="none"/>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6984"/>
      </w:tblGrid>
      <w:tr w14:paraId="1701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top w:val="double" w:color="auto" w:sz="4" w:space="0"/>
              <w:left w:val="double" w:color="auto" w:sz="4" w:space="0"/>
            </w:tcBorders>
            <w:noWrap w:val="0"/>
            <w:vAlign w:val="center"/>
          </w:tcPr>
          <w:p w14:paraId="0835290A">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项目号</w:t>
            </w:r>
          </w:p>
        </w:tc>
        <w:tc>
          <w:tcPr>
            <w:tcW w:w="6984" w:type="dxa"/>
            <w:tcBorders>
              <w:top w:val="double" w:color="auto" w:sz="4" w:space="0"/>
              <w:right w:val="double" w:color="auto" w:sz="4" w:space="0"/>
            </w:tcBorders>
            <w:noWrap w:val="0"/>
            <w:vAlign w:val="center"/>
          </w:tcPr>
          <w:p w14:paraId="34ACD24D">
            <w:pPr>
              <w:keepNext w:val="0"/>
              <w:keepLines w:val="0"/>
              <w:suppressLineNumbers w:val="0"/>
              <w:spacing w:before="0" w:beforeAutospacing="0" w:after="0" w:afterAutospacing="0"/>
              <w:ind w:left="0" w:right="0"/>
              <w:jc w:val="center"/>
              <w:rPr>
                <w:rFonts w:hint="default" w:ascii="Times New Roman" w:hAnsi="Times New Roman" w:eastAsia="宋体" w:cs="Times New Roman"/>
                <w:sz w:val="30"/>
                <w:szCs w:val="30"/>
                <w:lang w:val="en-US" w:eastAsia="zh-CN"/>
              </w:rPr>
            </w:pPr>
            <w:r>
              <w:rPr>
                <w:rFonts w:hint="eastAsia" w:eastAsia="宋体" w:cs="Times New Roman"/>
                <w:sz w:val="30"/>
                <w:szCs w:val="30"/>
                <w:highlight w:val="none"/>
              </w:rPr>
              <w:t>SZFKAWLCG20</w:t>
            </w:r>
            <w:r>
              <w:rPr>
                <w:rFonts w:hint="eastAsia" w:eastAsia="宋体" w:cs="Times New Roman"/>
                <w:sz w:val="30"/>
                <w:szCs w:val="30"/>
                <w:highlight w:val="none"/>
                <w:lang w:val="en-US" w:eastAsia="zh-CN"/>
              </w:rPr>
              <w:t>25</w:t>
            </w:r>
            <w:r>
              <w:rPr>
                <w:rFonts w:hint="eastAsia" w:eastAsia="宋体" w:cs="Times New Roman"/>
                <w:sz w:val="30"/>
                <w:szCs w:val="30"/>
                <w:highlight w:val="none"/>
              </w:rPr>
              <w:t>-</w:t>
            </w:r>
            <w:r>
              <w:rPr>
                <w:rFonts w:hint="eastAsia" w:cs="Times New Roman"/>
                <w:sz w:val="30"/>
                <w:szCs w:val="30"/>
                <w:highlight w:val="none"/>
                <w:lang w:val="en-US" w:eastAsia="zh-CN"/>
              </w:rPr>
              <w:t>008</w:t>
            </w:r>
          </w:p>
        </w:tc>
      </w:tr>
      <w:tr w14:paraId="16AC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noWrap w:val="0"/>
            <w:vAlign w:val="center"/>
          </w:tcPr>
          <w:p w14:paraId="5D942624">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项目名称</w:t>
            </w:r>
          </w:p>
        </w:tc>
        <w:tc>
          <w:tcPr>
            <w:tcW w:w="6984" w:type="dxa"/>
            <w:tcBorders>
              <w:right w:val="double" w:color="auto" w:sz="4" w:space="0"/>
            </w:tcBorders>
            <w:noWrap w:val="0"/>
            <w:vAlign w:val="center"/>
          </w:tcPr>
          <w:p w14:paraId="4FE1886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z w:val="30"/>
                <w:szCs w:val="30"/>
                <w:lang w:val="en-US"/>
              </w:rPr>
            </w:pPr>
            <w:r>
              <w:rPr>
                <w:rFonts w:hint="eastAsia"/>
                <w:sz w:val="30"/>
                <w:szCs w:val="30"/>
                <w:highlight w:val="none"/>
                <w:lang w:eastAsia="zh-CN"/>
              </w:rPr>
              <w:t>聘请第三方服务机构对重点专项资金进行统一审计</w:t>
            </w:r>
            <w:r>
              <w:rPr>
                <w:rFonts w:hint="eastAsia"/>
                <w:sz w:val="30"/>
                <w:szCs w:val="30"/>
                <w:highlight w:val="none"/>
                <w:lang w:val="en-US" w:eastAsia="zh-CN"/>
              </w:rPr>
              <w:t>项目</w:t>
            </w:r>
          </w:p>
        </w:tc>
      </w:tr>
      <w:tr w14:paraId="2F7D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noWrap w:val="0"/>
            <w:vAlign w:val="center"/>
          </w:tcPr>
          <w:p w14:paraId="493ACB1F">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供应商名称</w:t>
            </w:r>
          </w:p>
        </w:tc>
        <w:tc>
          <w:tcPr>
            <w:tcW w:w="6984" w:type="dxa"/>
            <w:tcBorders>
              <w:right w:val="double" w:color="auto" w:sz="4" w:space="0"/>
            </w:tcBorders>
            <w:noWrap w:val="0"/>
            <w:vAlign w:val="center"/>
          </w:tcPr>
          <w:p w14:paraId="332BF410">
            <w:pPr>
              <w:keepNext w:val="0"/>
              <w:keepLines w:val="0"/>
              <w:suppressLineNumbers w:val="0"/>
              <w:spacing w:before="0" w:beforeAutospacing="0" w:after="0" w:afterAutospacing="0"/>
              <w:ind w:left="0" w:right="0"/>
              <w:jc w:val="center"/>
              <w:rPr>
                <w:rFonts w:hint="eastAsia"/>
                <w:sz w:val="30"/>
                <w:szCs w:val="30"/>
              </w:rPr>
            </w:pPr>
          </w:p>
        </w:tc>
      </w:tr>
      <w:tr w14:paraId="587B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noWrap w:val="0"/>
            <w:vAlign w:val="center"/>
          </w:tcPr>
          <w:p w14:paraId="3517C1E0">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统一社会信用代码</w:t>
            </w:r>
          </w:p>
          <w:p w14:paraId="3FF2BBF0">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（税号）</w:t>
            </w:r>
          </w:p>
        </w:tc>
        <w:tc>
          <w:tcPr>
            <w:tcW w:w="6984" w:type="dxa"/>
            <w:tcBorders>
              <w:right w:val="double" w:color="auto" w:sz="4" w:space="0"/>
            </w:tcBorders>
            <w:noWrap w:val="0"/>
            <w:vAlign w:val="center"/>
          </w:tcPr>
          <w:p w14:paraId="71F806F4">
            <w:pPr>
              <w:keepNext w:val="0"/>
              <w:keepLines w:val="0"/>
              <w:suppressLineNumbers w:val="0"/>
              <w:spacing w:before="0" w:beforeAutospacing="0" w:after="0" w:afterAutospacing="0"/>
              <w:ind w:left="0" w:right="0"/>
              <w:jc w:val="center"/>
              <w:rPr>
                <w:rFonts w:hint="default"/>
                <w:sz w:val="30"/>
                <w:szCs w:val="30"/>
              </w:rPr>
            </w:pPr>
          </w:p>
          <w:p w14:paraId="213BCBA9">
            <w:pPr>
              <w:keepNext w:val="0"/>
              <w:keepLines w:val="0"/>
              <w:suppressLineNumbers w:val="0"/>
              <w:spacing w:before="0" w:beforeAutospacing="0" w:after="0" w:afterAutospacing="0"/>
              <w:ind w:left="0" w:right="0"/>
              <w:jc w:val="center"/>
              <w:rPr>
                <w:rFonts w:hint="eastAsia"/>
                <w:sz w:val="30"/>
                <w:szCs w:val="30"/>
              </w:rPr>
            </w:pPr>
            <w:r>
              <w:rPr>
                <w:rFonts w:hint="eastAsia" w:ascii="宋体" w:hAnsi="宋体"/>
                <w:sz w:val="24"/>
                <w:szCs w:val="20"/>
              </w:rPr>
              <w:t>□</w:t>
            </w:r>
            <w:r>
              <w:rPr>
                <w:rFonts w:hint="eastAsia"/>
                <w:sz w:val="24"/>
                <w:szCs w:val="20"/>
              </w:rPr>
              <w:t xml:space="preserve">专票 </w:t>
            </w:r>
            <w:r>
              <w:rPr>
                <w:rFonts w:hint="default"/>
                <w:sz w:val="24"/>
                <w:szCs w:val="20"/>
              </w:rPr>
              <w:t xml:space="preserve">     </w:t>
            </w:r>
            <w:r>
              <w:rPr>
                <w:rFonts w:hint="eastAsia"/>
                <w:sz w:val="24"/>
                <w:szCs w:val="20"/>
              </w:rPr>
              <w:t xml:space="preserve"> </w:t>
            </w:r>
            <w:r>
              <w:rPr>
                <w:rFonts w:hint="eastAsia" w:ascii="宋体" w:hAnsi="宋体"/>
                <w:sz w:val="24"/>
                <w:szCs w:val="20"/>
              </w:rPr>
              <w:t>□普票</w:t>
            </w:r>
          </w:p>
        </w:tc>
      </w:tr>
      <w:tr w14:paraId="761C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noWrap w:val="0"/>
            <w:vAlign w:val="center"/>
          </w:tcPr>
          <w:p w14:paraId="0CD69AB3">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联系人</w:t>
            </w:r>
          </w:p>
        </w:tc>
        <w:tc>
          <w:tcPr>
            <w:tcW w:w="6984" w:type="dxa"/>
            <w:tcBorders>
              <w:right w:val="double" w:color="auto" w:sz="4" w:space="0"/>
            </w:tcBorders>
            <w:noWrap w:val="0"/>
            <w:vAlign w:val="center"/>
          </w:tcPr>
          <w:p w14:paraId="6D217E65">
            <w:pPr>
              <w:keepNext w:val="0"/>
              <w:keepLines w:val="0"/>
              <w:suppressLineNumbers w:val="0"/>
              <w:spacing w:before="0" w:beforeAutospacing="0" w:after="0" w:afterAutospacing="0"/>
              <w:ind w:left="0" w:right="0"/>
              <w:jc w:val="center"/>
              <w:rPr>
                <w:rFonts w:hint="eastAsia"/>
                <w:sz w:val="30"/>
                <w:szCs w:val="30"/>
              </w:rPr>
            </w:pPr>
          </w:p>
        </w:tc>
      </w:tr>
      <w:tr w14:paraId="34A0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noWrap w:val="0"/>
            <w:vAlign w:val="center"/>
          </w:tcPr>
          <w:p w14:paraId="3A4D4638">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手机</w:t>
            </w:r>
          </w:p>
        </w:tc>
        <w:tc>
          <w:tcPr>
            <w:tcW w:w="6984" w:type="dxa"/>
            <w:tcBorders>
              <w:right w:val="double" w:color="auto" w:sz="4" w:space="0"/>
            </w:tcBorders>
            <w:noWrap w:val="0"/>
            <w:vAlign w:val="center"/>
          </w:tcPr>
          <w:p w14:paraId="5E7C463C">
            <w:pPr>
              <w:keepNext w:val="0"/>
              <w:keepLines w:val="0"/>
              <w:suppressLineNumbers w:val="0"/>
              <w:spacing w:before="0" w:beforeAutospacing="0" w:after="0" w:afterAutospacing="0"/>
              <w:ind w:left="0" w:right="0"/>
              <w:jc w:val="center"/>
              <w:rPr>
                <w:rFonts w:hint="eastAsia"/>
                <w:sz w:val="30"/>
                <w:szCs w:val="30"/>
              </w:rPr>
            </w:pPr>
          </w:p>
        </w:tc>
      </w:tr>
      <w:tr w14:paraId="5C92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noWrap w:val="0"/>
            <w:vAlign w:val="center"/>
          </w:tcPr>
          <w:p w14:paraId="6A6C72BD">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办公电话</w:t>
            </w:r>
          </w:p>
        </w:tc>
        <w:tc>
          <w:tcPr>
            <w:tcW w:w="6984" w:type="dxa"/>
            <w:tcBorders>
              <w:right w:val="double" w:color="auto" w:sz="4" w:space="0"/>
            </w:tcBorders>
            <w:noWrap w:val="0"/>
            <w:vAlign w:val="center"/>
          </w:tcPr>
          <w:p w14:paraId="49838963">
            <w:pPr>
              <w:keepNext w:val="0"/>
              <w:keepLines w:val="0"/>
              <w:suppressLineNumbers w:val="0"/>
              <w:spacing w:before="0" w:beforeAutospacing="0" w:after="0" w:afterAutospacing="0"/>
              <w:ind w:left="0" w:right="0"/>
              <w:jc w:val="center"/>
              <w:rPr>
                <w:rFonts w:hint="eastAsia"/>
                <w:sz w:val="30"/>
                <w:szCs w:val="30"/>
              </w:rPr>
            </w:pPr>
          </w:p>
        </w:tc>
      </w:tr>
      <w:tr w14:paraId="0D47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noWrap w:val="0"/>
            <w:vAlign w:val="center"/>
          </w:tcPr>
          <w:p w14:paraId="2B6C9182">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传真</w:t>
            </w:r>
          </w:p>
        </w:tc>
        <w:tc>
          <w:tcPr>
            <w:tcW w:w="6984" w:type="dxa"/>
            <w:tcBorders>
              <w:right w:val="double" w:color="auto" w:sz="4" w:space="0"/>
            </w:tcBorders>
            <w:noWrap w:val="0"/>
            <w:vAlign w:val="center"/>
          </w:tcPr>
          <w:p w14:paraId="1356EA49">
            <w:pPr>
              <w:keepNext w:val="0"/>
              <w:keepLines w:val="0"/>
              <w:suppressLineNumbers w:val="0"/>
              <w:spacing w:before="0" w:beforeAutospacing="0" w:after="0" w:afterAutospacing="0"/>
              <w:ind w:left="0" w:right="0"/>
              <w:jc w:val="center"/>
              <w:rPr>
                <w:rFonts w:hint="eastAsia"/>
                <w:sz w:val="30"/>
                <w:szCs w:val="30"/>
              </w:rPr>
            </w:pPr>
          </w:p>
        </w:tc>
      </w:tr>
      <w:tr w14:paraId="28E3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noWrap w:val="0"/>
            <w:vAlign w:val="center"/>
          </w:tcPr>
          <w:p w14:paraId="270DB97E">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发票接收邮箱</w:t>
            </w:r>
          </w:p>
        </w:tc>
        <w:tc>
          <w:tcPr>
            <w:tcW w:w="6984" w:type="dxa"/>
            <w:tcBorders>
              <w:right w:val="double" w:color="auto" w:sz="4" w:space="0"/>
            </w:tcBorders>
            <w:noWrap w:val="0"/>
            <w:vAlign w:val="center"/>
          </w:tcPr>
          <w:p w14:paraId="5DE008DA">
            <w:pPr>
              <w:keepNext w:val="0"/>
              <w:keepLines w:val="0"/>
              <w:suppressLineNumbers w:val="0"/>
              <w:spacing w:before="0" w:beforeAutospacing="0" w:after="0" w:afterAutospacing="0"/>
              <w:ind w:left="0" w:right="0"/>
              <w:jc w:val="center"/>
              <w:rPr>
                <w:rFonts w:hint="eastAsia"/>
                <w:sz w:val="30"/>
                <w:szCs w:val="30"/>
              </w:rPr>
            </w:pPr>
          </w:p>
        </w:tc>
      </w:tr>
      <w:tr w14:paraId="511B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bottom w:val="double" w:color="auto" w:sz="4" w:space="0"/>
            </w:tcBorders>
            <w:noWrap w:val="0"/>
            <w:vAlign w:val="center"/>
          </w:tcPr>
          <w:p w14:paraId="31BFDB92">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单位地址</w:t>
            </w:r>
          </w:p>
        </w:tc>
        <w:tc>
          <w:tcPr>
            <w:tcW w:w="6984" w:type="dxa"/>
            <w:tcBorders>
              <w:bottom w:val="double" w:color="auto" w:sz="4" w:space="0"/>
              <w:right w:val="double" w:color="auto" w:sz="4" w:space="0"/>
            </w:tcBorders>
            <w:noWrap w:val="0"/>
            <w:vAlign w:val="center"/>
          </w:tcPr>
          <w:p w14:paraId="10B1F39F">
            <w:pPr>
              <w:keepNext w:val="0"/>
              <w:keepLines w:val="0"/>
              <w:suppressLineNumbers w:val="0"/>
              <w:spacing w:before="0" w:beforeAutospacing="0" w:after="0" w:afterAutospacing="0"/>
              <w:ind w:left="0" w:right="0"/>
              <w:jc w:val="left"/>
              <w:rPr>
                <w:rFonts w:hint="eastAsia"/>
                <w:sz w:val="30"/>
                <w:szCs w:val="30"/>
              </w:rPr>
            </w:pPr>
          </w:p>
        </w:tc>
      </w:tr>
    </w:tbl>
    <w:p w14:paraId="7E103669">
      <w:pPr>
        <w:rPr>
          <w:rFonts w:hint="eastAsia" w:ascii="宋体" w:hAnsi="宋体"/>
          <w:b/>
          <w:bCs/>
          <w:sz w:val="24"/>
          <w:highlight w:val="none"/>
        </w:rPr>
      </w:pPr>
      <w:r>
        <w:rPr>
          <w:rFonts w:hint="eastAsia" w:ascii="宋体" w:hAnsi="宋体"/>
          <w:b/>
          <w:bCs/>
          <w:sz w:val="24"/>
          <w:highlight w:val="none"/>
        </w:rPr>
        <w:t>注：发票为数电发票，于标书费支付后5个工作日内开具，请于国家税务总局电子税务局——我要办税——税务数字账户——全量发票查询处，查询下载。</w:t>
      </w:r>
    </w:p>
    <w:p w14:paraId="30216E33">
      <w:pPr>
        <w:rPr>
          <w:rFonts w:hint="eastAsia" w:ascii="宋体" w:hAnsi="宋体"/>
          <w:b/>
          <w:bCs/>
          <w:sz w:val="24"/>
          <w:highlight w:val="none"/>
        </w:rPr>
      </w:pPr>
    </w:p>
    <w:p w14:paraId="716F149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（三）竞争性比选文件报名期限：202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6</w:t>
      </w:r>
      <w:r>
        <w:rPr>
          <w:rFonts w:hint="eastAsia" w:ascii="宋体" w:hAnsi="宋体"/>
          <w:color w:val="auto"/>
          <w:sz w:val="24"/>
          <w:szCs w:val="24"/>
        </w:rPr>
        <w:t>月</w:t>
      </w:r>
      <w:r>
        <w:rPr>
          <w:rFonts w:hint="eastAsia" w:ascii="宋体" w:hAnsi="宋体"/>
          <w:color w:val="auto"/>
          <w:sz w:val="24"/>
          <w:szCs w:val="24"/>
          <w:lang w:val="en-US" w:eastAsia="zh-CN"/>
        </w:rPr>
        <w:t>26</w:t>
      </w:r>
      <w:r>
        <w:rPr>
          <w:rFonts w:hint="eastAsia" w:ascii="宋体" w:hAnsi="宋体"/>
          <w:color w:val="auto"/>
          <w:sz w:val="24"/>
          <w:szCs w:val="24"/>
        </w:rPr>
        <w:t>日-202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7</w:t>
      </w:r>
      <w:r>
        <w:rPr>
          <w:rFonts w:hint="eastAsia" w:ascii="宋体" w:hAnsi="宋体"/>
          <w:color w:val="auto"/>
          <w:sz w:val="24"/>
          <w:szCs w:val="24"/>
        </w:rPr>
        <w:t>月</w:t>
      </w:r>
      <w:r>
        <w:rPr>
          <w:rFonts w:hint="eastAsia" w:ascii="宋体" w:hAnsi="宋体"/>
          <w:color w:val="auto"/>
          <w:sz w:val="24"/>
          <w:szCs w:val="24"/>
          <w:lang w:val="en-US" w:eastAsia="zh-CN"/>
        </w:rPr>
        <w:t>1</w:t>
      </w:r>
      <w:r>
        <w:rPr>
          <w:rFonts w:hint="eastAsia" w:ascii="宋体" w:hAnsi="宋体"/>
          <w:color w:val="auto"/>
          <w:sz w:val="24"/>
          <w:szCs w:val="24"/>
        </w:rPr>
        <w:t>日（9:00-17:00）。</w:t>
      </w:r>
    </w:p>
    <w:p w14:paraId="34D50E7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（四）竞争性比选文件发售</w:t>
      </w:r>
    </w:p>
    <w:p w14:paraId="68A2294C">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1.售价：人民币 300 元/分包（售后不退）</w:t>
      </w:r>
    </w:p>
    <w:p w14:paraId="2542FEEC">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2.竞争性比选文件获取方式：由潜在供应商在重庆市人民政府口岸和物流办公室官网（http://zfkawlb.cq.gov.cn/）上自行下载。</w:t>
      </w:r>
    </w:p>
    <w:p w14:paraId="104DF685">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（五）供应商须满足以下三种要件，其响应文件才被接受：</w:t>
      </w:r>
    </w:p>
    <w:p w14:paraId="5652AB9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1.完成报名；</w:t>
      </w:r>
    </w:p>
    <w:p w14:paraId="3A793E2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2.按时递交了响应文件；</w:t>
      </w:r>
    </w:p>
    <w:p w14:paraId="0287C5E9">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3.按时签到。</w:t>
      </w:r>
    </w:p>
    <w:p w14:paraId="44087F1E">
      <w:pPr>
        <w:spacing w:line="360" w:lineRule="auto"/>
        <w:ind w:firstLine="480" w:firstLineChars="200"/>
        <w:rPr>
          <w:rFonts w:ascii="宋体" w:hAnsi="宋体"/>
          <w:color w:val="auto"/>
          <w:sz w:val="24"/>
          <w:szCs w:val="24"/>
        </w:rPr>
      </w:pPr>
      <w:r>
        <w:rPr>
          <w:rFonts w:hint="eastAsia" w:ascii="宋体" w:hAnsi="宋体"/>
          <w:color w:val="auto"/>
          <w:sz w:val="24"/>
          <w:szCs w:val="24"/>
        </w:rPr>
        <w:t>（六）递交响应文件地点：重庆市人民政府口岸和物流办公室1</w:t>
      </w:r>
      <w:r>
        <w:rPr>
          <w:rFonts w:ascii="宋体" w:hAnsi="宋体"/>
          <w:color w:val="auto"/>
          <w:sz w:val="24"/>
          <w:szCs w:val="24"/>
        </w:rPr>
        <w:t>8</w:t>
      </w:r>
      <w:r>
        <w:rPr>
          <w:rFonts w:hint="eastAsia" w:ascii="宋体" w:hAnsi="宋体"/>
          <w:color w:val="auto"/>
          <w:sz w:val="24"/>
          <w:szCs w:val="24"/>
          <w:lang w:val="en-US" w:eastAsia="zh-CN"/>
        </w:rPr>
        <w:t>楼</w:t>
      </w:r>
      <w:r>
        <w:rPr>
          <w:rFonts w:hint="eastAsia" w:ascii="宋体" w:hAnsi="宋体"/>
          <w:color w:val="auto"/>
          <w:sz w:val="24"/>
          <w:szCs w:val="24"/>
        </w:rPr>
        <w:t>会议室</w:t>
      </w:r>
    </w:p>
    <w:p w14:paraId="522F76FB">
      <w:pPr>
        <w:spacing w:line="360" w:lineRule="auto"/>
        <w:ind w:firstLine="480" w:firstLineChars="200"/>
        <w:rPr>
          <w:rFonts w:ascii="宋体" w:hAnsi="宋体"/>
          <w:color w:val="auto"/>
          <w:sz w:val="24"/>
          <w:szCs w:val="24"/>
        </w:rPr>
      </w:pPr>
      <w:r>
        <w:rPr>
          <w:rFonts w:hint="eastAsia" w:ascii="宋体" w:hAnsi="宋体"/>
          <w:color w:val="auto"/>
          <w:sz w:val="24"/>
          <w:szCs w:val="24"/>
        </w:rPr>
        <w:t>（七）响应文件递交开始和截止时间：202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7</w:t>
      </w:r>
      <w:r>
        <w:rPr>
          <w:rFonts w:hint="eastAsia" w:ascii="宋体" w:hAnsi="宋体"/>
          <w:color w:val="auto"/>
          <w:sz w:val="24"/>
          <w:szCs w:val="24"/>
        </w:rPr>
        <w:t>月</w:t>
      </w:r>
      <w:r>
        <w:rPr>
          <w:rFonts w:hint="eastAsia" w:ascii="宋体" w:hAnsi="宋体"/>
          <w:color w:val="auto"/>
          <w:sz w:val="24"/>
          <w:szCs w:val="24"/>
          <w:lang w:val="en-US" w:eastAsia="zh-CN"/>
        </w:rPr>
        <w:t>3</w:t>
      </w:r>
      <w:r>
        <w:rPr>
          <w:rFonts w:hint="eastAsia" w:ascii="宋体" w:hAnsi="宋体"/>
          <w:color w:val="auto"/>
          <w:sz w:val="24"/>
          <w:szCs w:val="24"/>
        </w:rPr>
        <w:t>日北京时间</w:t>
      </w:r>
      <w:r>
        <w:rPr>
          <w:rFonts w:hint="eastAsia" w:ascii="宋体" w:hAnsi="宋体"/>
          <w:color w:val="auto"/>
          <w:sz w:val="24"/>
          <w:szCs w:val="24"/>
          <w:lang w:val="en-US" w:eastAsia="zh-CN"/>
        </w:rPr>
        <w:t>14</w:t>
      </w: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0-1</w:t>
      </w:r>
      <w:r>
        <w:rPr>
          <w:rFonts w:hint="eastAsia" w:ascii="宋体" w:hAnsi="宋体"/>
          <w:color w:val="auto"/>
          <w:sz w:val="24"/>
          <w:szCs w:val="24"/>
          <w:lang w:val="en-US" w:eastAsia="zh-CN"/>
        </w:rPr>
        <w:t>4</w:t>
      </w: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0</w:t>
      </w:r>
    </w:p>
    <w:p w14:paraId="772D79F7">
      <w:pPr>
        <w:spacing w:line="360" w:lineRule="auto"/>
        <w:ind w:firstLine="480" w:firstLineChars="200"/>
        <w:rPr>
          <w:rFonts w:ascii="宋体" w:hAnsi="宋体"/>
          <w:color w:val="auto"/>
          <w:sz w:val="24"/>
          <w:szCs w:val="24"/>
        </w:rPr>
      </w:pPr>
      <w:r>
        <w:rPr>
          <w:rFonts w:hint="eastAsia" w:ascii="宋体" w:hAnsi="宋体"/>
          <w:color w:val="auto"/>
          <w:sz w:val="24"/>
          <w:szCs w:val="24"/>
        </w:rPr>
        <w:t>（八）响应文件开启时间：202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7</w:t>
      </w:r>
      <w:r>
        <w:rPr>
          <w:rFonts w:hint="eastAsia" w:ascii="宋体" w:hAnsi="宋体"/>
          <w:color w:val="auto"/>
          <w:sz w:val="24"/>
          <w:szCs w:val="24"/>
        </w:rPr>
        <w:t>月</w:t>
      </w:r>
      <w:r>
        <w:rPr>
          <w:rFonts w:hint="eastAsia" w:ascii="宋体" w:hAnsi="宋体"/>
          <w:color w:val="auto"/>
          <w:sz w:val="24"/>
          <w:szCs w:val="24"/>
          <w:lang w:val="en-US" w:eastAsia="zh-CN"/>
        </w:rPr>
        <w:t>3</w:t>
      </w:r>
      <w:r>
        <w:rPr>
          <w:rFonts w:hint="eastAsia" w:ascii="宋体" w:hAnsi="宋体"/>
          <w:color w:val="auto"/>
          <w:sz w:val="24"/>
          <w:szCs w:val="24"/>
        </w:rPr>
        <w:t>日北京时间1</w:t>
      </w:r>
      <w:r>
        <w:rPr>
          <w:rFonts w:hint="eastAsia" w:ascii="宋体" w:hAnsi="宋体"/>
          <w:color w:val="auto"/>
          <w:sz w:val="24"/>
          <w:szCs w:val="24"/>
          <w:lang w:val="en-US" w:eastAsia="zh-CN"/>
        </w:rPr>
        <w:t>4</w:t>
      </w: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0</w:t>
      </w:r>
    </w:p>
    <w:p w14:paraId="39D76BE8">
      <w:pPr>
        <w:pStyle w:val="6"/>
        <w:spacing w:before="0" w:after="0" w:line="360" w:lineRule="auto"/>
        <w:ind w:firstLine="480" w:firstLineChars="200"/>
        <w:rPr>
          <w:rFonts w:ascii="宋体" w:hAnsi="宋体"/>
          <w:color w:val="auto"/>
          <w:sz w:val="24"/>
          <w:szCs w:val="24"/>
        </w:rPr>
      </w:pPr>
      <w:bookmarkStart w:id="14" w:name="_Toc373860294"/>
      <w:bookmarkStart w:id="15" w:name="_Toc15013"/>
      <w:bookmarkStart w:id="16" w:name="_Toc75258775"/>
      <w:r>
        <w:rPr>
          <w:rFonts w:hint="eastAsia" w:ascii="宋体" w:hAnsi="宋体"/>
          <w:color w:val="auto"/>
          <w:sz w:val="24"/>
          <w:szCs w:val="24"/>
        </w:rPr>
        <w:t>五、比选保证金</w:t>
      </w:r>
      <w:bookmarkEnd w:id="14"/>
      <w:bookmarkEnd w:id="15"/>
      <w:bookmarkEnd w:id="16"/>
    </w:p>
    <w:p w14:paraId="377E70E5">
      <w:pPr>
        <w:snapToGrid w:val="0"/>
        <w:spacing w:line="360" w:lineRule="auto"/>
        <w:ind w:firstLine="480" w:firstLineChars="200"/>
        <w:rPr>
          <w:rFonts w:ascii="宋体" w:hAnsi="宋体"/>
          <w:color w:val="auto"/>
          <w:sz w:val="24"/>
          <w:szCs w:val="24"/>
        </w:rPr>
      </w:pPr>
      <w:bookmarkStart w:id="17" w:name="_Toc530038692"/>
      <w:r>
        <w:rPr>
          <w:rFonts w:hint="eastAsia" w:ascii="宋体" w:hAnsi="宋体"/>
          <w:color w:val="auto"/>
          <w:sz w:val="24"/>
          <w:szCs w:val="24"/>
        </w:rPr>
        <w:t>（一）比选保证金递交</w:t>
      </w:r>
    </w:p>
    <w:p w14:paraId="43C4780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供应商须按本项目规定的比选保证金金额进行缴纳（</w:t>
      </w:r>
      <w:r>
        <w:rPr>
          <w:rFonts w:hint="eastAsia" w:ascii="宋体" w:hAnsi="宋体"/>
          <w:b/>
          <w:bCs/>
          <w:color w:val="auto"/>
          <w:sz w:val="24"/>
          <w:szCs w:val="24"/>
        </w:rPr>
        <w:t>保证金金额详见本篇，一、竞争性比选内容</w:t>
      </w:r>
      <w:r>
        <w:rPr>
          <w:rFonts w:hint="eastAsia" w:ascii="宋体" w:hAnsi="宋体"/>
          <w:color w:val="auto"/>
          <w:sz w:val="24"/>
          <w:szCs w:val="24"/>
        </w:rPr>
        <w:t>），由供应商从其单位账户将比选保证金汇至以下任一账户，比选保证金的到账截止时间为202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7</w:t>
      </w:r>
      <w:r>
        <w:rPr>
          <w:rFonts w:hint="eastAsia" w:ascii="宋体" w:hAnsi="宋体"/>
          <w:color w:val="auto"/>
          <w:sz w:val="24"/>
          <w:szCs w:val="24"/>
        </w:rPr>
        <w:t>月</w:t>
      </w:r>
      <w:r>
        <w:rPr>
          <w:rFonts w:hint="eastAsia" w:ascii="宋体" w:hAnsi="宋体"/>
          <w:color w:val="auto"/>
          <w:sz w:val="24"/>
          <w:szCs w:val="24"/>
          <w:lang w:val="en-US" w:eastAsia="zh-CN"/>
        </w:rPr>
        <w:t>2</w:t>
      </w:r>
      <w:r>
        <w:rPr>
          <w:rFonts w:hint="eastAsia" w:ascii="宋体" w:hAnsi="宋体"/>
          <w:color w:val="auto"/>
          <w:sz w:val="24"/>
          <w:szCs w:val="24"/>
        </w:rPr>
        <w:t>日17:00。缴纳保证金时必须备注</w:t>
      </w:r>
      <w:r>
        <w:rPr>
          <w:rFonts w:hint="eastAsia" w:ascii="宋体" w:hAnsi="宋体"/>
          <w:b/>
          <w:bCs/>
          <w:color w:val="auto"/>
          <w:sz w:val="24"/>
          <w:szCs w:val="24"/>
        </w:rPr>
        <w:t>采购代理机构备案号</w:t>
      </w:r>
      <w:r>
        <w:rPr>
          <w:rFonts w:hint="eastAsia" w:ascii="宋体" w:hAnsi="宋体"/>
          <w:color w:val="auto"/>
          <w:sz w:val="24"/>
          <w:szCs w:val="24"/>
        </w:rPr>
        <w:t>。</w:t>
      </w:r>
    </w:p>
    <w:p w14:paraId="1A23FA40">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投标保证金账户：</w:t>
      </w:r>
    </w:p>
    <w:p w14:paraId="6ADA1FE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户  名：重庆市中基致信招标代理有限公司</w:t>
      </w:r>
    </w:p>
    <w:p w14:paraId="0107B72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开户行：中国银行重庆江北支行</w:t>
      </w:r>
    </w:p>
    <w:p w14:paraId="1E51B418">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账  号：1144 6718 4234</w:t>
      </w:r>
    </w:p>
    <w:p w14:paraId="5DAD343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（二）保证金退还方式</w:t>
      </w:r>
    </w:p>
    <w:p w14:paraId="648BA61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1.非成交供应商的保证金，在成交通知书发放后，由采购代理机构在五个工作日内按来款渠道直接退还。</w:t>
      </w:r>
    </w:p>
    <w:p w14:paraId="657FB358">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2.成交供应商的投标保证金，在成交供应商与采购人签订合同后，由采购代理机构扣除中标服务费后在五个工作日内按资金来款渠道直接退还。</w:t>
      </w:r>
    </w:p>
    <w:p w14:paraId="41684C01">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咨询电话：（023）88758852。</w:t>
      </w:r>
    </w:p>
    <w:p w14:paraId="0157862D">
      <w:pPr>
        <w:pStyle w:val="6"/>
        <w:spacing w:before="0" w:after="0" w:line="360" w:lineRule="auto"/>
        <w:ind w:firstLine="480" w:firstLineChars="200"/>
        <w:rPr>
          <w:rFonts w:ascii="宋体" w:hAnsi="宋体"/>
          <w:color w:val="auto"/>
          <w:sz w:val="24"/>
          <w:szCs w:val="24"/>
        </w:rPr>
      </w:pPr>
      <w:bookmarkStart w:id="18" w:name="_Toc75258776"/>
      <w:bookmarkStart w:id="19" w:name="_Toc17947"/>
      <w:r>
        <w:rPr>
          <w:rFonts w:hint="eastAsia" w:ascii="宋体" w:hAnsi="宋体"/>
          <w:color w:val="auto"/>
          <w:sz w:val="24"/>
          <w:szCs w:val="24"/>
        </w:rPr>
        <w:t>六、采购项目需落实的政府采购政策</w:t>
      </w:r>
      <w:bookmarkEnd w:id="17"/>
      <w:bookmarkEnd w:id="18"/>
      <w:bookmarkEnd w:id="19"/>
    </w:p>
    <w:p w14:paraId="33EE6C7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（一）按照《财政部生态环境部关于印发环境标志产品政府采购品目清单的通知》（财库〔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18</w:t>
      </w:r>
      <w:r>
        <w:rPr>
          <w:rFonts w:hint="eastAsia" w:ascii="宋体" w:hAnsi="宋体"/>
          <w:color w:val="auto"/>
          <w:sz w:val="24"/>
          <w:szCs w:val="24"/>
        </w:rPr>
        <w:t>号）和《财政部发展改革委关于印发节能产品政府采购品目清单的通知》（财库〔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19</w:t>
      </w:r>
      <w:r>
        <w:rPr>
          <w:rFonts w:hint="eastAsia" w:ascii="宋体" w:hAnsi="宋体"/>
          <w:color w:val="auto"/>
          <w:sz w:val="24"/>
          <w:szCs w:val="24"/>
        </w:rPr>
        <w:t>号）的规定，落实国家节能环保政策。</w:t>
      </w:r>
    </w:p>
    <w:p w14:paraId="65CC4CD1">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（二）按照《关于印发&lt;政府采购促进中小企业发展管理办法&gt;的通知》（财库〔2020〕46号）的规定，落实促进中小企业发展政策。</w:t>
      </w:r>
    </w:p>
    <w:p w14:paraId="44C1DB4C">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（三）按照《财政部、司法部关于政府采购支持监狱企业发展有关问题的通知》（财库〔</w:t>
      </w:r>
      <w:r>
        <w:rPr>
          <w:rFonts w:ascii="宋体" w:hAnsi="宋体"/>
          <w:color w:val="auto"/>
          <w:sz w:val="24"/>
          <w:szCs w:val="24"/>
        </w:rPr>
        <w:t>2014</w:t>
      </w:r>
      <w:r>
        <w:rPr>
          <w:rFonts w:hint="eastAsia" w:ascii="宋体" w:hAnsi="宋体"/>
          <w:color w:val="auto"/>
          <w:sz w:val="24"/>
          <w:szCs w:val="24"/>
        </w:rPr>
        <w:t>〕</w:t>
      </w:r>
      <w:r>
        <w:rPr>
          <w:rFonts w:ascii="宋体" w:hAnsi="宋体"/>
          <w:color w:val="auto"/>
          <w:sz w:val="24"/>
          <w:szCs w:val="24"/>
        </w:rPr>
        <w:t>68</w:t>
      </w:r>
      <w:r>
        <w:rPr>
          <w:rFonts w:hint="eastAsia" w:ascii="宋体" w:hAnsi="宋体"/>
          <w:color w:val="auto"/>
          <w:sz w:val="24"/>
          <w:szCs w:val="24"/>
        </w:rPr>
        <w:t>号）的规定，落实支持监狱企业发展政策。</w:t>
      </w:r>
    </w:p>
    <w:p w14:paraId="6D4830BA">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（四）按照《三部门联合发布关于促进残疾人就业政府采购政策的通知》（财库〔</w:t>
      </w:r>
      <w:r>
        <w:rPr>
          <w:rFonts w:ascii="宋体" w:hAnsi="宋体"/>
          <w:color w:val="auto"/>
          <w:sz w:val="24"/>
          <w:szCs w:val="24"/>
        </w:rPr>
        <w:t>2017</w:t>
      </w:r>
      <w:r>
        <w:rPr>
          <w:rFonts w:hint="eastAsia" w:ascii="宋体" w:hAnsi="宋体"/>
          <w:color w:val="auto"/>
          <w:sz w:val="24"/>
          <w:szCs w:val="24"/>
        </w:rPr>
        <w:t>〕</w:t>
      </w:r>
      <w:r>
        <w:rPr>
          <w:rFonts w:ascii="宋体" w:hAnsi="宋体"/>
          <w:color w:val="auto"/>
          <w:sz w:val="24"/>
          <w:szCs w:val="24"/>
        </w:rPr>
        <w:t xml:space="preserve"> 141</w:t>
      </w:r>
      <w:r>
        <w:rPr>
          <w:rFonts w:hint="eastAsia" w:ascii="宋体" w:hAnsi="宋体"/>
          <w:color w:val="auto"/>
          <w:sz w:val="24"/>
          <w:szCs w:val="24"/>
        </w:rPr>
        <w:t>号）的规定，落实支持残疾人福利性单位发展政策。</w:t>
      </w:r>
    </w:p>
    <w:p w14:paraId="01800DCD">
      <w:pPr>
        <w:pStyle w:val="6"/>
        <w:spacing w:before="0" w:after="0" w:line="360" w:lineRule="auto"/>
        <w:ind w:firstLine="480" w:firstLineChars="200"/>
        <w:rPr>
          <w:rFonts w:ascii="宋体" w:hAnsi="宋体"/>
          <w:color w:val="auto"/>
          <w:sz w:val="24"/>
          <w:szCs w:val="24"/>
        </w:rPr>
      </w:pPr>
      <w:bookmarkStart w:id="20" w:name="_Toc14723"/>
      <w:bookmarkStart w:id="21" w:name="_Toc75258777"/>
      <w:r>
        <w:rPr>
          <w:rFonts w:hint="eastAsia" w:ascii="宋体" w:hAnsi="宋体"/>
          <w:color w:val="auto"/>
          <w:sz w:val="24"/>
          <w:szCs w:val="24"/>
        </w:rPr>
        <w:t>七、其它有关规定</w:t>
      </w:r>
      <w:bookmarkEnd w:id="20"/>
      <w:bookmarkEnd w:id="21"/>
    </w:p>
    <w:p w14:paraId="34773FD8">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（一）单位负责人为同一人或者存在直接控股、管理关系的不同供应商，不得参加同一合同项下的采购活动，否则均为无效响应。 </w:t>
      </w:r>
    </w:p>
    <w:p w14:paraId="32E5A149">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（二）为采购项目提供整体设计、规范编制或者项目管理、监理、检测等服务的供应商，不得再参加该采购项目的其他采购活动，否则均为无效响应。</w:t>
      </w:r>
    </w:p>
    <w:p w14:paraId="41C703E2">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4D1A0E0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（四）超过响应文件截止时间递交的响应文件为无效文件，恕不接收。</w:t>
      </w:r>
    </w:p>
    <w:p w14:paraId="02AB2289">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（五）比选费用：无论比选结果如何，供应商参与本项目比选的所有费用均应由供应商自行承担。</w:t>
      </w:r>
    </w:p>
    <w:p w14:paraId="0C8A274A">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（六）本项目不接受联合体形式比选。</w:t>
      </w:r>
    </w:p>
    <w:p w14:paraId="125B592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（七）本项目不接受合同分包。</w:t>
      </w:r>
    </w:p>
    <w:p w14:paraId="0B0E1AE1">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（八）按照《财政部关于在政府采购活动中查询及使用信用记录有关问题的通知》财库〔</w:t>
      </w:r>
      <w:r>
        <w:rPr>
          <w:rFonts w:ascii="宋体" w:hAnsi="宋体"/>
          <w:color w:val="auto"/>
          <w:sz w:val="24"/>
          <w:szCs w:val="24"/>
        </w:rPr>
        <w:t>2016</w:t>
      </w:r>
      <w:r>
        <w:rPr>
          <w:rFonts w:hint="eastAsia" w:ascii="宋体" w:hAnsi="宋体"/>
          <w:color w:val="auto"/>
          <w:sz w:val="24"/>
          <w:szCs w:val="24"/>
        </w:rPr>
        <w:t>〕</w:t>
      </w:r>
      <w:r>
        <w:rPr>
          <w:rFonts w:ascii="宋体" w:hAnsi="宋体"/>
          <w:color w:val="auto"/>
          <w:sz w:val="24"/>
          <w:szCs w:val="24"/>
        </w:rPr>
        <w:t>125</w:t>
      </w:r>
      <w:r>
        <w:rPr>
          <w:rFonts w:hint="eastAsia" w:ascii="宋体" w:hAnsi="宋体"/>
          <w:color w:val="auto"/>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33B1254F">
      <w:pPr>
        <w:pStyle w:val="6"/>
        <w:spacing w:before="0" w:after="0" w:line="360" w:lineRule="auto"/>
        <w:ind w:firstLine="480" w:firstLineChars="200"/>
        <w:rPr>
          <w:rFonts w:ascii="宋体" w:hAnsi="宋体"/>
          <w:color w:val="auto"/>
          <w:sz w:val="24"/>
          <w:szCs w:val="24"/>
        </w:rPr>
      </w:pPr>
      <w:bookmarkStart w:id="22" w:name="_Toc3170"/>
      <w:r>
        <w:rPr>
          <w:rFonts w:hint="eastAsia" w:ascii="宋体" w:hAnsi="宋体"/>
          <w:color w:val="auto"/>
          <w:sz w:val="24"/>
          <w:szCs w:val="24"/>
        </w:rPr>
        <w:t>八、联系方式</w:t>
      </w:r>
      <w:bookmarkEnd w:id="22"/>
    </w:p>
    <w:p w14:paraId="6EF3290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（一）采购人：</w:t>
      </w:r>
      <w:r>
        <w:rPr>
          <w:rFonts w:ascii="宋体" w:hAnsi="宋体"/>
          <w:color w:val="auto"/>
          <w:sz w:val="24"/>
          <w:szCs w:val="24"/>
        </w:rPr>
        <w:t>重庆市人民政府口岸和物流办公室</w:t>
      </w:r>
    </w:p>
    <w:p w14:paraId="2AC1FA3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联系人：</w:t>
      </w:r>
      <w:r>
        <w:rPr>
          <w:rFonts w:hint="eastAsia" w:ascii="宋体" w:hAnsi="宋体"/>
          <w:color w:val="auto"/>
          <w:sz w:val="24"/>
          <w:szCs w:val="24"/>
          <w:lang w:val="en-US" w:eastAsia="zh-CN"/>
        </w:rPr>
        <w:t>谭</w:t>
      </w:r>
      <w:r>
        <w:rPr>
          <w:rFonts w:hint="eastAsia" w:ascii="宋体" w:hAnsi="宋体"/>
          <w:color w:val="auto"/>
          <w:sz w:val="24"/>
          <w:szCs w:val="24"/>
        </w:rPr>
        <w:t>老师</w:t>
      </w:r>
    </w:p>
    <w:p w14:paraId="6EA8CC72">
      <w:pPr>
        <w:snapToGrid w:val="0"/>
        <w:spacing w:line="360" w:lineRule="auto"/>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rPr>
        <w:t>电  话：（023）</w:t>
      </w:r>
      <w:r>
        <w:rPr>
          <w:rFonts w:hint="eastAsia" w:asciiTheme="minorEastAsia" w:hAnsiTheme="minorEastAsia" w:eastAsiaTheme="minorEastAsia" w:cstheme="minorEastAsia"/>
          <w:color w:val="auto"/>
          <w:sz w:val="24"/>
          <w:szCs w:val="24"/>
        </w:rPr>
        <w:t>6315</w:t>
      </w:r>
      <w:r>
        <w:rPr>
          <w:rFonts w:hint="eastAsia" w:asciiTheme="minorEastAsia" w:hAnsiTheme="minorEastAsia" w:eastAsiaTheme="minorEastAsia" w:cstheme="minorEastAsia"/>
          <w:sz w:val="24"/>
          <w:szCs w:val="24"/>
          <w:lang w:val="en-US" w:eastAsia="zh-CN"/>
        </w:rPr>
        <w:t>1682</w:t>
      </w:r>
    </w:p>
    <w:p w14:paraId="5CB821A8">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地  址：重庆市渝北区青竹东路16号微易中心19楼</w:t>
      </w:r>
    </w:p>
    <w:p w14:paraId="66BAEC7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（二）采购代理机构：重庆市中基致信招标代理有限公司</w:t>
      </w:r>
    </w:p>
    <w:p w14:paraId="3715963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联系人：游建伟、胡琳</w:t>
      </w:r>
    </w:p>
    <w:p w14:paraId="634DB376">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电  话：（023）8</w:t>
      </w:r>
      <w:r>
        <w:rPr>
          <w:rFonts w:ascii="宋体" w:hAnsi="宋体"/>
          <w:color w:val="auto"/>
          <w:sz w:val="24"/>
          <w:szCs w:val="24"/>
        </w:rPr>
        <w:t>8758847</w:t>
      </w:r>
      <w:r>
        <w:rPr>
          <w:rFonts w:hint="eastAsia" w:ascii="宋体" w:hAnsi="宋体"/>
          <w:color w:val="auto"/>
          <w:sz w:val="24"/>
          <w:szCs w:val="24"/>
        </w:rPr>
        <w:t>、88758852</w:t>
      </w:r>
    </w:p>
    <w:p w14:paraId="2A6518B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传  真：（023）88505947</w:t>
      </w:r>
    </w:p>
    <w:p w14:paraId="347A07DE">
      <w:pPr>
        <w:snapToGrid w:val="0"/>
        <w:spacing w:line="360" w:lineRule="auto"/>
        <w:ind w:firstLine="480" w:firstLineChars="200"/>
        <w:rPr>
          <w:rFonts w:ascii="宋体" w:hAnsi="宋体"/>
          <w:color w:val="auto"/>
          <w:sz w:val="24"/>
          <w:szCs w:val="24"/>
        </w:rPr>
      </w:pPr>
      <w:bookmarkStart w:id="23" w:name="_Toc216163282"/>
      <w:bookmarkStart w:id="24" w:name="_Toc178828108"/>
      <w:bookmarkStart w:id="25" w:name="_Toc180051219"/>
      <w:r>
        <w:rPr>
          <w:rFonts w:hint="eastAsia" w:ascii="宋体" w:hAnsi="宋体"/>
          <w:color w:val="auto"/>
          <w:sz w:val="24"/>
          <w:szCs w:val="24"/>
        </w:rPr>
        <w:t>地  址：重庆市渝北区财富大道2号财富大厦A座9楼</w:t>
      </w:r>
    </w:p>
    <w:bookmarkEnd w:id="23"/>
    <w:bookmarkEnd w:id="24"/>
    <w:bookmarkEnd w:id="25"/>
    <w:p w14:paraId="2C5B4265">
      <w:pPr>
        <w:pStyle w:val="5"/>
        <w:pageBreakBefore/>
        <w:spacing w:line="360" w:lineRule="auto"/>
        <w:jc w:val="center"/>
        <w:rPr>
          <w:rFonts w:ascii="宋体" w:hAnsi="宋体" w:eastAsia="宋体"/>
          <w:color w:val="auto"/>
          <w:sz w:val="36"/>
          <w:szCs w:val="30"/>
        </w:rPr>
      </w:pPr>
      <w:bookmarkStart w:id="26" w:name="_Toc309"/>
      <w:r>
        <w:rPr>
          <w:rFonts w:hint="eastAsia" w:ascii="宋体" w:hAnsi="宋体" w:eastAsia="宋体"/>
          <w:color w:val="auto"/>
          <w:sz w:val="36"/>
          <w:szCs w:val="30"/>
        </w:rPr>
        <w:t>第二篇  采购技术和服务需求</w:t>
      </w:r>
      <w:bookmarkEnd w:id="26"/>
    </w:p>
    <w:p w14:paraId="2FAD71AC">
      <w:pPr>
        <w:snapToGrid w:val="0"/>
        <w:spacing w:line="360" w:lineRule="auto"/>
        <w:rPr>
          <w:rFonts w:ascii="宋体" w:hAnsi="宋体"/>
          <w:b/>
          <w:color w:val="auto"/>
          <w:sz w:val="21"/>
          <w:szCs w:val="21"/>
        </w:rPr>
      </w:pPr>
      <w:bookmarkStart w:id="27" w:name="_Toc5006885"/>
      <w:bookmarkStart w:id="28" w:name="_Toc6232092"/>
      <w:bookmarkStart w:id="29" w:name="_Toc12789058"/>
      <w:r>
        <w:rPr>
          <w:rFonts w:hint="eastAsia" w:ascii="宋体" w:hAnsi="宋体"/>
          <w:b/>
          <w:color w:val="auto"/>
          <w:sz w:val="21"/>
          <w:szCs w:val="21"/>
        </w:rPr>
        <w:t>“※”标注的服务需求为符合性审查中的实质性要求，投标文件若不满足按无效投标处理。</w:t>
      </w:r>
    </w:p>
    <w:bookmarkEnd w:id="27"/>
    <w:bookmarkEnd w:id="28"/>
    <w:p w14:paraId="039EAE0B">
      <w:pPr>
        <w:pStyle w:val="6"/>
        <w:spacing w:before="0" w:after="0" w:line="360" w:lineRule="auto"/>
        <w:ind w:firstLine="480" w:firstLineChars="200"/>
        <w:rPr>
          <w:rFonts w:ascii="宋体" w:hAnsi="宋体"/>
          <w:color w:val="auto"/>
          <w:sz w:val="24"/>
          <w:szCs w:val="24"/>
        </w:rPr>
      </w:pPr>
      <w:bookmarkStart w:id="30" w:name="_Toc512413869"/>
      <w:bookmarkStart w:id="31" w:name="_Toc128122291"/>
      <w:bookmarkStart w:id="32" w:name="_Toc15451"/>
      <w:bookmarkStart w:id="33" w:name="_Toc92987709"/>
      <w:bookmarkStart w:id="34" w:name="_Toc168641925"/>
      <w:bookmarkStart w:id="35" w:name="_Toc42624885"/>
      <w:r>
        <w:rPr>
          <w:rFonts w:hint="eastAsia" w:ascii="宋体" w:hAnsi="宋体"/>
          <w:color w:val="auto"/>
          <w:sz w:val="24"/>
          <w:szCs w:val="24"/>
        </w:rPr>
        <w:t>一、</w:t>
      </w:r>
      <w:bookmarkEnd w:id="30"/>
      <w:r>
        <w:rPr>
          <w:rFonts w:hint="eastAsia" w:ascii="宋体" w:hAnsi="宋体"/>
          <w:color w:val="auto"/>
          <w:sz w:val="24"/>
          <w:szCs w:val="24"/>
        </w:rPr>
        <w:t>项目概况</w:t>
      </w:r>
      <w:bookmarkEnd w:id="31"/>
      <w:bookmarkEnd w:id="32"/>
      <w:bookmarkEnd w:id="33"/>
      <w:bookmarkEnd w:id="34"/>
      <w:bookmarkEnd w:id="35"/>
    </w:p>
    <w:p w14:paraId="79878EB8">
      <w:pPr>
        <w:snapToGrid w:val="0"/>
        <w:spacing w:line="360" w:lineRule="auto"/>
        <w:ind w:firstLine="480" w:firstLineChars="200"/>
        <w:rPr>
          <w:rFonts w:ascii="宋体" w:hAnsi="宋体"/>
          <w:color w:val="auto"/>
          <w:sz w:val="24"/>
          <w:szCs w:val="24"/>
        </w:rPr>
      </w:pPr>
      <w:bookmarkStart w:id="36" w:name="_Toc344475116"/>
      <w:bookmarkStart w:id="37" w:name="_Toc512413870"/>
      <w:bookmarkStart w:id="38" w:name="_Toc313536013"/>
      <w:r>
        <w:rPr>
          <w:rFonts w:hint="eastAsia" w:ascii="宋体" w:hAnsi="宋体"/>
          <w:color w:val="auto"/>
          <w:sz w:val="24"/>
          <w:szCs w:val="24"/>
          <w:lang w:val="en-US" w:eastAsia="zh-CN"/>
        </w:rPr>
        <w:t>本项目为对</w:t>
      </w:r>
      <w:r>
        <w:rPr>
          <w:rFonts w:hint="eastAsia" w:ascii="宋体" w:hAnsi="宋体"/>
          <w:color w:val="auto"/>
          <w:sz w:val="24"/>
          <w:szCs w:val="24"/>
        </w:rPr>
        <w:t>优化口岸物流发展环境专项资金(口岸部分）</w:t>
      </w:r>
      <w:r>
        <w:rPr>
          <w:rFonts w:hint="eastAsia" w:ascii="宋体" w:hAnsi="宋体"/>
          <w:color w:val="auto"/>
          <w:sz w:val="24"/>
          <w:szCs w:val="24"/>
          <w:lang w:eastAsia="zh-CN"/>
        </w:rPr>
        <w:t>、</w:t>
      </w:r>
      <w:r>
        <w:rPr>
          <w:rFonts w:hint="eastAsia" w:ascii="宋体" w:hAnsi="宋体"/>
          <w:color w:val="auto"/>
          <w:sz w:val="24"/>
          <w:szCs w:val="24"/>
        </w:rPr>
        <w:t>优化口岸物流发展环境专项资金（“一单制”签发奖励资金）</w:t>
      </w:r>
      <w:r>
        <w:rPr>
          <w:rFonts w:hint="eastAsia" w:ascii="宋体" w:hAnsi="宋体"/>
          <w:color w:val="auto"/>
          <w:sz w:val="24"/>
          <w:szCs w:val="24"/>
          <w:lang w:eastAsia="zh-CN"/>
        </w:rPr>
        <w:t>、</w:t>
      </w:r>
      <w:r>
        <w:rPr>
          <w:rFonts w:hint="eastAsia" w:ascii="宋体" w:hAnsi="宋体"/>
          <w:color w:val="auto"/>
          <w:sz w:val="24"/>
          <w:szCs w:val="24"/>
        </w:rPr>
        <w:t>优化口岸物流发展环境专项资金（提单融资贴息部分）</w:t>
      </w:r>
      <w:r>
        <w:rPr>
          <w:rFonts w:hint="eastAsia" w:ascii="宋体" w:hAnsi="宋体"/>
          <w:color w:val="auto"/>
          <w:sz w:val="24"/>
          <w:szCs w:val="24"/>
          <w:lang w:eastAsia="zh-CN"/>
        </w:rPr>
        <w:t>、</w:t>
      </w:r>
      <w:r>
        <w:rPr>
          <w:rFonts w:hint="eastAsia" w:ascii="宋体" w:hAnsi="宋体"/>
          <w:color w:val="auto"/>
          <w:sz w:val="24"/>
          <w:szCs w:val="24"/>
        </w:rPr>
        <w:t>水运枢纽建设专项资金</w:t>
      </w:r>
      <w:r>
        <w:rPr>
          <w:rFonts w:hint="eastAsia" w:ascii="宋体" w:hAnsi="宋体"/>
          <w:color w:val="auto"/>
          <w:sz w:val="24"/>
          <w:szCs w:val="24"/>
          <w:lang w:eastAsia="zh-CN"/>
        </w:rPr>
        <w:t>、</w:t>
      </w:r>
      <w:r>
        <w:rPr>
          <w:rFonts w:hint="eastAsia" w:ascii="宋体" w:hAnsi="宋体"/>
          <w:color w:val="auto"/>
          <w:sz w:val="24"/>
          <w:szCs w:val="24"/>
        </w:rPr>
        <w:t>国际航空枢纽建设专项资金</w:t>
      </w:r>
      <w:r>
        <w:rPr>
          <w:rFonts w:hint="eastAsia" w:ascii="宋体" w:hAnsi="宋体"/>
          <w:color w:val="auto"/>
          <w:sz w:val="24"/>
          <w:szCs w:val="24"/>
          <w:lang w:val="en-US" w:eastAsia="zh-CN"/>
        </w:rPr>
        <w:t>共5类专项资金进行审计</w:t>
      </w:r>
      <w:r>
        <w:rPr>
          <w:rFonts w:hint="eastAsia" w:ascii="宋体" w:hAnsi="宋体"/>
          <w:color w:val="auto"/>
          <w:sz w:val="24"/>
          <w:szCs w:val="24"/>
        </w:rPr>
        <w:t>。</w:t>
      </w:r>
    </w:p>
    <w:p w14:paraId="607B27EC">
      <w:pPr>
        <w:pStyle w:val="6"/>
        <w:spacing w:before="0" w:after="0" w:line="360" w:lineRule="auto"/>
        <w:ind w:firstLine="480" w:firstLineChars="200"/>
        <w:rPr>
          <w:rFonts w:ascii="宋体" w:hAnsi="宋体"/>
          <w:color w:val="auto"/>
          <w:sz w:val="24"/>
          <w:szCs w:val="24"/>
        </w:rPr>
      </w:pPr>
      <w:bookmarkStart w:id="39" w:name="_Toc128122292"/>
      <w:bookmarkStart w:id="40" w:name="_Toc92987710"/>
      <w:bookmarkStart w:id="41" w:name="_Toc42624886"/>
      <w:bookmarkStart w:id="42" w:name="_Toc168641926"/>
      <w:bookmarkStart w:id="43" w:name="_Toc22582"/>
      <w:r>
        <w:rPr>
          <w:rFonts w:hint="eastAsia" w:ascii="宋体" w:hAnsi="宋体"/>
          <w:color w:val="auto"/>
          <w:sz w:val="24"/>
          <w:szCs w:val="24"/>
        </w:rPr>
        <w:t>※二、</w:t>
      </w:r>
      <w:bookmarkEnd w:id="36"/>
      <w:bookmarkEnd w:id="37"/>
      <w:bookmarkEnd w:id="38"/>
      <w:r>
        <w:rPr>
          <w:rFonts w:hint="eastAsia" w:ascii="宋体" w:hAnsi="宋体"/>
          <w:color w:val="auto"/>
          <w:sz w:val="24"/>
          <w:szCs w:val="24"/>
        </w:rPr>
        <w:t>服务内容</w:t>
      </w:r>
      <w:bookmarkEnd w:id="39"/>
      <w:bookmarkEnd w:id="40"/>
      <w:bookmarkEnd w:id="41"/>
      <w:bookmarkEnd w:id="42"/>
      <w:bookmarkEnd w:id="43"/>
    </w:p>
    <w:p w14:paraId="2A46479A">
      <w:pPr>
        <w:snapToGrid w:val="0"/>
        <w:spacing w:line="360" w:lineRule="auto"/>
        <w:ind w:firstLine="480" w:firstLineChars="200"/>
        <w:rPr>
          <w:rFonts w:hint="eastAsia" w:ascii="宋体" w:hAnsi="宋体"/>
          <w:b/>
          <w:bCs/>
          <w:color w:val="auto"/>
          <w:sz w:val="24"/>
          <w:szCs w:val="24"/>
        </w:rPr>
      </w:pPr>
      <w:r>
        <w:rPr>
          <w:rFonts w:hint="eastAsia" w:ascii="宋体" w:hAnsi="宋体"/>
          <w:b/>
          <w:bCs/>
          <w:color w:val="auto"/>
          <w:sz w:val="24"/>
          <w:szCs w:val="24"/>
          <w:lang w:eastAsia="zh-CN"/>
        </w:rPr>
        <w:t>（</w:t>
      </w:r>
      <w:r>
        <w:rPr>
          <w:rFonts w:hint="eastAsia" w:ascii="宋体" w:hAnsi="宋体"/>
          <w:b/>
          <w:bCs/>
          <w:color w:val="auto"/>
          <w:sz w:val="24"/>
          <w:szCs w:val="24"/>
          <w:lang w:val="en-US" w:eastAsia="zh-CN"/>
        </w:rPr>
        <w:t>一</w:t>
      </w:r>
      <w:r>
        <w:rPr>
          <w:rFonts w:hint="eastAsia" w:ascii="宋体" w:hAnsi="宋体"/>
          <w:b/>
          <w:bCs/>
          <w:color w:val="auto"/>
          <w:sz w:val="24"/>
          <w:szCs w:val="24"/>
          <w:lang w:eastAsia="zh-CN"/>
        </w:rPr>
        <w:t>）</w:t>
      </w:r>
      <w:r>
        <w:rPr>
          <w:rFonts w:hint="eastAsia" w:ascii="宋体" w:hAnsi="宋体"/>
          <w:b/>
          <w:bCs/>
          <w:color w:val="auto"/>
          <w:sz w:val="24"/>
          <w:szCs w:val="24"/>
        </w:rPr>
        <w:t>优化口岸物流发展环境专项资金(口岸部分）审计</w:t>
      </w:r>
    </w:p>
    <w:p w14:paraId="48193BAC">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审计内容：为保障优化口岸物流发展环境专项资金安全和使用效益，加强资金监管、强化绩效管理，拟聘请第三方审计服务机构对2025年全年口岸作业补贴和扩大免除查验费用、2025年全年度免除查验费用分别出具结算报告。</w:t>
      </w:r>
    </w:p>
    <w:p w14:paraId="170B3617">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审计要求：第三方审计服务机构应根据相关单位提供的资料，对2025年全年口岸作业补贴和扩大免除查验费用、2025年全年度免除查验费用奖补对象的合规性、申请金额及真实性、奖补绩效完成情况及清算情况、专款专用情况、服务能力建设情况、服务本地企业情况、内控管理机制及执行情况进行审核，对资金使用过程中的廉政风险点进行分析，对下一步奖补资金政策调整、资金管控方面提出建议。</w:t>
      </w:r>
    </w:p>
    <w:p w14:paraId="52CBC21B">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出具审计报告时间：2026年2月28日前形成扩大免除查验没有问题外贸企业吊装移位仓储费用项目和口岸作业补贴项目审计报告，2026年1月15日前形成免除查验没有问题外贸企业吊装移位仓储费用项目审计报告。</w:t>
      </w:r>
    </w:p>
    <w:p w14:paraId="776558C8">
      <w:pPr>
        <w:snapToGrid w:val="0"/>
        <w:spacing w:line="360" w:lineRule="auto"/>
        <w:ind w:firstLine="480" w:firstLineChars="200"/>
        <w:rPr>
          <w:rFonts w:hint="eastAsia" w:ascii="宋体" w:hAnsi="宋体"/>
          <w:b/>
          <w:bCs/>
          <w:color w:val="auto"/>
          <w:sz w:val="24"/>
          <w:szCs w:val="24"/>
        </w:rPr>
      </w:pPr>
      <w:r>
        <w:rPr>
          <w:rFonts w:hint="eastAsia" w:ascii="宋体" w:hAnsi="宋体"/>
          <w:b/>
          <w:bCs/>
          <w:color w:val="auto"/>
          <w:sz w:val="24"/>
          <w:szCs w:val="24"/>
          <w:lang w:eastAsia="zh-CN"/>
        </w:rPr>
        <w:t>（</w:t>
      </w:r>
      <w:r>
        <w:rPr>
          <w:rFonts w:hint="eastAsia" w:ascii="宋体" w:hAnsi="宋体"/>
          <w:b/>
          <w:bCs/>
          <w:color w:val="auto"/>
          <w:sz w:val="24"/>
          <w:szCs w:val="24"/>
          <w:lang w:val="en-US" w:eastAsia="zh-CN"/>
        </w:rPr>
        <w:t>二</w:t>
      </w:r>
      <w:r>
        <w:rPr>
          <w:rFonts w:hint="eastAsia" w:ascii="宋体" w:hAnsi="宋体"/>
          <w:b/>
          <w:bCs/>
          <w:color w:val="auto"/>
          <w:sz w:val="24"/>
          <w:szCs w:val="24"/>
          <w:lang w:eastAsia="zh-CN"/>
        </w:rPr>
        <w:t>）</w:t>
      </w:r>
      <w:r>
        <w:rPr>
          <w:rFonts w:hint="eastAsia" w:ascii="宋体" w:hAnsi="宋体"/>
          <w:b/>
          <w:bCs/>
          <w:color w:val="auto"/>
          <w:sz w:val="24"/>
          <w:szCs w:val="24"/>
        </w:rPr>
        <w:t>优化口岸物流发展环境专项资金（“一单制”签发奖励资金）审计</w:t>
      </w:r>
    </w:p>
    <w:p w14:paraId="0CF13EA6">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审计内容：对2024年度企业“一单制”签发补贴申报情况进行审计并出具报告。</w:t>
      </w:r>
    </w:p>
    <w:p w14:paraId="01D20C78">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审计要求：对申报内容的合法性、真实性，申报补贴金额，资金使用效益进行审核，并提出补贴资金政策调整、资金管控方面的建议。审核资料包含奖励资金申请函、申请表、提单复印件或扫描件、多式联运提单使用证明、申报企业营业执照复印件等。</w:t>
      </w:r>
    </w:p>
    <w:p w14:paraId="08072156">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出具审计报告时间：2025年8月31日前</w:t>
      </w:r>
    </w:p>
    <w:p w14:paraId="130EE17A">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三</w:t>
      </w:r>
      <w:r>
        <w:rPr>
          <w:rFonts w:hint="eastAsia" w:ascii="宋体" w:hAnsi="宋体"/>
          <w:color w:val="auto"/>
          <w:sz w:val="24"/>
          <w:szCs w:val="24"/>
          <w:lang w:eastAsia="zh-CN"/>
        </w:rPr>
        <w:t>）</w:t>
      </w:r>
      <w:r>
        <w:rPr>
          <w:rFonts w:hint="eastAsia" w:ascii="宋体" w:hAnsi="宋体"/>
          <w:color w:val="auto"/>
          <w:sz w:val="24"/>
          <w:szCs w:val="24"/>
        </w:rPr>
        <w:t>优化口岸物流发展环境专项资金（提单融资贴息部分）审计</w:t>
      </w:r>
    </w:p>
    <w:p w14:paraId="08766324">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审计内容：对2024-2025年度企业“一单制”融资补贴申报情况进行审计并出具报告。</w:t>
      </w:r>
    </w:p>
    <w:p w14:paraId="22B4F85E">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审计要求：对申报内容的合法性、真实性，申报补贴金额，融资偿还情况进行审核，并提出补贴资金政策调整、资金管控方面的建议。审核资料包含包含奖励资金申请函、申请表申报企业营业执照复印件、多式联运提单融资证明、融资合同、融资台账、其他相关佐证材料等。</w:t>
      </w:r>
    </w:p>
    <w:p w14:paraId="6AE32C6C">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出具审计报告时间：每季度审核资料，每半年出具报告，2025年8月31日前分别出具2024年融资补贴审计报告、2025年1-6月融资补贴审计报告；2026年1月31日前出具2025年7-12月融资补贴审计报告。</w:t>
      </w:r>
    </w:p>
    <w:p w14:paraId="361BBCEA">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四</w:t>
      </w:r>
      <w:r>
        <w:rPr>
          <w:rFonts w:hint="eastAsia" w:ascii="宋体" w:hAnsi="宋体"/>
          <w:color w:val="auto"/>
          <w:sz w:val="24"/>
          <w:szCs w:val="24"/>
          <w:lang w:eastAsia="zh-CN"/>
        </w:rPr>
        <w:t>）</w:t>
      </w:r>
      <w:r>
        <w:rPr>
          <w:rFonts w:hint="eastAsia" w:ascii="宋体" w:hAnsi="宋体"/>
          <w:color w:val="auto"/>
          <w:sz w:val="24"/>
          <w:szCs w:val="24"/>
        </w:rPr>
        <w:t>水运枢纽建设专项资金审计</w:t>
      </w:r>
    </w:p>
    <w:p w14:paraId="55FBCD95">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审计内容：对2024年度水水中转、铁水联运、沪渝直达快线、130船型、小转大及散改集、渝车出海和公共共享班轮、江海直达航班等补贴申报情况进行审计。</w:t>
      </w:r>
    </w:p>
    <w:p w14:paraId="4F13D921">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审计要求：</w:t>
      </w:r>
    </w:p>
    <w:p w14:paraId="5619054E">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1</w:t>
      </w:r>
      <w:r>
        <w:rPr>
          <w:rFonts w:hint="eastAsia" w:ascii="宋体" w:hAnsi="宋体"/>
          <w:color w:val="auto"/>
          <w:sz w:val="24"/>
          <w:szCs w:val="24"/>
          <w:lang w:eastAsia="zh-CN"/>
        </w:rPr>
        <w:t>）</w:t>
      </w:r>
      <w:r>
        <w:rPr>
          <w:rFonts w:hint="eastAsia" w:ascii="宋体" w:hAnsi="宋体"/>
          <w:color w:val="auto"/>
          <w:sz w:val="24"/>
          <w:szCs w:val="24"/>
        </w:rPr>
        <w:t>渝沪直达快线：检查申报资料是否均属于审核期间；检查水上航行时间是否满足相关文件要求；检查申报船名航次的外贸集装箱重箱量是否符合申报标准；对于渝沪直达快线运行时间超过申报标准的，或船舶在港口停留时间超过三小时的，检查是否属于特殊情况，如是，获取被审核单位书面报备及说明情况，核对报备时间是否为事件发生处理完毕3个工作日内；检查船公司相关船舶证书（TEU）承载能力是否符合申报标准。</w:t>
      </w:r>
    </w:p>
    <w:p w14:paraId="3FA138A0">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hint="eastAsia" w:ascii="宋体" w:hAnsi="宋体"/>
          <w:color w:val="auto"/>
          <w:sz w:val="24"/>
          <w:szCs w:val="24"/>
          <w:lang w:eastAsia="zh-CN"/>
        </w:rPr>
        <w:t>）</w:t>
      </w:r>
      <w:r>
        <w:rPr>
          <w:rFonts w:hint="eastAsia" w:ascii="宋体" w:hAnsi="宋体"/>
          <w:color w:val="auto"/>
          <w:sz w:val="24"/>
          <w:szCs w:val="24"/>
        </w:rPr>
        <w:t>水水中转：检查申报资料是否均属于审核期间；检查申报船名航次的集装箱与港口数据是否核对一致、且是否均为重箱；</w:t>
      </w:r>
    </w:p>
    <w:p w14:paraId="6F3E9BE1">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检查集装箱装载货物的发货点和收货点是否在市外，且通过我市公共集装箱码头中转。</w:t>
      </w:r>
    </w:p>
    <w:p w14:paraId="7923FE6C">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3</w:t>
      </w:r>
      <w:r>
        <w:rPr>
          <w:rFonts w:hint="eastAsia" w:ascii="宋体" w:hAnsi="宋体"/>
          <w:color w:val="auto"/>
          <w:sz w:val="24"/>
          <w:szCs w:val="24"/>
          <w:lang w:eastAsia="zh-CN"/>
        </w:rPr>
        <w:t>）</w:t>
      </w:r>
      <w:r>
        <w:rPr>
          <w:rFonts w:hint="eastAsia" w:ascii="宋体" w:hAnsi="宋体"/>
          <w:color w:val="auto"/>
          <w:sz w:val="24"/>
          <w:szCs w:val="24"/>
        </w:rPr>
        <w:t>铁水联运：检查申报资料是否均属于审核期间；检查申报船名航次的集装箱与港口数据是否核对一致、且是否均为重箱；检查集装箱装载货物是否同时通过铁路及水路运输；检查集装箱装载货物的发货点和收货点是否在市外，且通过我市公共集装箱码头中转；检查申报主体是否为货代公司并具备相应经营资质，且直接向船公司订舱。</w:t>
      </w:r>
    </w:p>
    <w:p w14:paraId="250F3A93">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4</w:t>
      </w:r>
      <w:r>
        <w:rPr>
          <w:rFonts w:hint="eastAsia" w:ascii="宋体" w:hAnsi="宋体"/>
          <w:color w:val="auto"/>
          <w:sz w:val="24"/>
          <w:szCs w:val="24"/>
          <w:lang w:eastAsia="zh-CN"/>
        </w:rPr>
        <w:t>）</w:t>
      </w:r>
      <w:r>
        <w:rPr>
          <w:rFonts w:hint="eastAsia" w:ascii="宋体" w:hAnsi="宋体"/>
          <w:color w:val="auto"/>
          <w:sz w:val="24"/>
          <w:szCs w:val="24"/>
        </w:rPr>
        <w:t>散改集：检查申报资料是否均属于审核期间；检查申报船名航次的集装箱与港口数据是否核对一致、且是否均为重箱；检查集装箱装载货物的发货点和收货点是否在市外，且通过我市公共集装箱码头中转；检查散货发票和运输单前段是否通过铁路、水路、公路运输至重庆。</w:t>
      </w:r>
    </w:p>
    <w:p w14:paraId="1A0A7673">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5</w:t>
      </w:r>
      <w:r>
        <w:rPr>
          <w:rFonts w:hint="eastAsia" w:ascii="宋体" w:hAnsi="宋体"/>
          <w:color w:val="auto"/>
          <w:sz w:val="24"/>
          <w:szCs w:val="24"/>
          <w:lang w:eastAsia="zh-CN"/>
        </w:rPr>
        <w:t>）</w:t>
      </w:r>
      <w:r>
        <w:rPr>
          <w:rFonts w:hint="eastAsia" w:ascii="宋体" w:hAnsi="宋体"/>
          <w:color w:val="auto"/>
          <w:sz w:val="24"/>
          <w:szCs w:val="24"/>
        </w:rPr>
        <w:t>130船型应用：检查申报资料是否属于审核期间；检查船舶是否为2021年1月1日后建成并投入使用；检查船舶建造登记资料，船舶是否为130米长的大型标准化船舶且在重庆登记注册检查核对申报船名航次通过三峡枢纽船闸的时间是否与长江三峡通航管理局核验文件一致；检查同一艘新船在补贴期间内累计奖励是否超过最高上限。</w:t>
      </w:r>
    </w:p>
    <w:p w14:paraId="52582C3F">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6</w:t>
      </w:r>
      <w:r>
        <w:rPr>
          <w:rFonts w:hint="eastAsia" w:ascii="宋体" w:hAnsi="宋体"/>
          <w:color w:val="auto"/>
          <w:sz w:val="24"/>
          <w:szCs w:val="24"/>
          <w:lang w:eastAsia="zh-CN"/>
        </w:rPr>
        <w:t>）</w:t>
      </w:r>
      <w:r>
        <w:rPr>
          <w:rFonts w:hint="eastAsia" w:ascii="宋体" w:hAnsi="宋体"/>
          <w:color w:val="auto"/>
          <w:sz w:val="24"/>
          <w:szCs w:val="24"/>
        </w:rPr>
        <w:t>小改大航线：检查申报资料是否均属于审核期间；检查船舶的起始港与目的港是否满足相关文件要求；检查申报船名航次与港口数据是否核对一致、且是否均为重箱；检查小船与大船的换装箱量是否达到小船装载箱量的50%。</w:t>
      </w:r>
    </w:p>
    <w:p w14:paraId="0148B2E4">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7</w:t>
      </w:r>
      <w:r>
        <w:rPr>
          <w:rFonts w:hint="eastAsia" w:ascii="宋体" w:hAnsi="宋体"/>
          <w:color w:val="auto"/>
          <w:sz w:val="24"/>
          <w:szCs w:val="24"/>
          <w:lang w:eastAsia="zh-CN"/>
        </w:rPr>
        <w:t>）</w:t>
      </w:r>
      <w:r>
        <w:rPr>
          <w:rFonts w:hint="eastAsia" w:ascii="宋体" w:hAnsi="宋体"/>
          <w:color w:val="auto"/>
          <w:sz w:val="24"/>
          <w:szCs w:val="24"/>
        </w:rPr>
        <w:t>商滚共享公共班轮：检查申报资料是否均属于审核期间；检查船舶的起始港与目的港是否满足相关文件要求；检查船舶是否是商品车滚装运输；检查船舶是否参与开行商品车滚装共享公共班轮。</w:t>
      </w:r>
    </w:p>
    <w:p w14:paraId="6C5D5C80">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8</w:t>
      </w:r>
      <w:r>
        <w:rPr>
          <w:rFonts w:hint="eastAsia" w:ascii="宋体" w:hAnsi="宋体"/>
          <w:color w:val="auto"/>
          <w:sz w:val="24"/>
          <w:szCs w:val="24"/>
          <w:lang w:eastAsia="zh-CN"/>
        </w:rPr>
        <w:t>）</w:t>
      </w:r>
      <w:r>
        <w:rPr>
          <w:rFonts w:hint="eastAsia" w:ascii="宋体" w:hAnsi="宋体"/>
          <w:color w:val="auto"/>
          <w:sz w:val="24"/>
          <w:szCs w:val="24"/>
        </w:rPr>
        <w:t>渝车出海江海联运：检查申报资料是否均属于审核期间；检查申报企业是否在渝开展汽车制造业务；检查申报汽车是否是出口到境外并通过江海联运的汽车。</w:t>
      </w:r>
    </w:p>
    <w:p w14:paraId="35EF731A">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9</w:t>
      </w:r>
      <w:r>
        <w:rPr>
          <w:rFonts w:hint="eastAsia" w:ascii="宋体" w:hAnsi="宋体"/>
          <w:color w:val="auto"/>
          <w:sz w:val="24"/>
          <w:szCs w:val="24"/>
          <w:lang w:eastAsia="zh-CN"/>
        </w:rPr>
        <w:t>）</w:t>
      </w:r>
      <w:r>
        <w:rPr>
          <w:rFonts w:hint="eastAsia" w:ascii="宋体" w:hAnsi="宋体"/>
          <w:color w:val="auto"/>
          <w:sz w:val="24"/>
          <w:szCs w:val="24"/>
        </w:rPr>
        <w:t>江海直达航线：检查申报资料是否均属于审核期间；检查申报船舶类型是否为江海直达船型；重庆港与海港之间班轮；检查船舶的起始港与目的港是否满足相关文件要求。</w:t>
      </w:r>
    </w:p>
    <w:p w14:paraId="0B22C46F">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出具审计报告时间：2025年8月</w:t>
      </w:r>
    </w:p>
    <w:p w14:paraId="4AEAE0A5">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五</w:t>
      </w:r>
      <w:r>
        <w:rPr>
          <w:rFonts w:hint="eastAsia" w:ascii="宋体" w:hAnsi="宋体"/>
          <w:color w:val="auto"/>
          <w:sz w:val="24"/>
          <w:szCs w:val="24"/>
          <w:lang w:eastAsia="zh-CN"/>
        </w:rPr>
        <w:t>）</w:t>
      </w:r>
      <w:r>
        <w:rPr>
          <w:rFonts w:hint="eastAsia" w:ascii="宋体" w:hAnsi="宋体"/>
          <w:color w:val="auto"/>
          <w:sz w:val="24"/>
          <w:szCs w:val="24"/>
        </w:rPr>
        <w:t>国际航空枢纽建设专项资金审计</w:t>
      </w:r>
    </w:p>
    <w:p w14:paraId="2F67B488">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审计内容：针对2025年1—12月期间，包括但不限于以下各类航空奖励资金分别提出对申请条件、要件的审计意见方案，帮助催收资料，对申请资料分别进行审核并出具报告。</w:t>
      </w:r>
    </w:p>
    <w:p w14:paraId="1A01ABB3">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1</w:t>
      </w:r>
      <w:r>
        <w:rPr>
          <w:rFonts w:hint="eastAsia" w:ascii="宋体" w:hAnsi="宋体"/>
          <w:color w:val="auto"/>
          <w:sz w:val="24"/>
          <w:szCs w:val="24"/>
          <w:lang w:eastAsia="zh-CN"/>
        </w:rPr>
        <w:t>）</w:t>
      </w:r>
      <w:r>
        <w:rPr>
          <w:rFonts w:hint="eastAsia" w:ascii="宋体" w:hAnsi="宋体"/>
          <w:color w:val="auto"/>
          <w:sz w:val="24"/>
          <w:szCs w:val="24"/>
        </w:rPr>
        <w:t>新开、恢复、加密重要国际客运航线奖励（按季拨付）；</w:t>
      </w:r>
    </w:p>
    <w:p w14:paraId="44FE3B7F">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hint="eastAsia" w:ascii="宋体" w:hAnsi="宋体"/>
          <w:color w:val="auto"/>
          <w:sz w:val="24"/>
          <w:szCs w:val="24"/>
          <w:lang w:eastAsia="zh-CN"/>
        </w:rPr>
        <w:t>）</w:t>
      </w:r>
      <w:r>
        <w:rPr>
          <w:rFonts w:hint="eastAsia" w:ascii="宋体" w:hAnsi="宋体"/>
          <w:color w:val="auto"/>
          <w:sz w:val="24"/>
          <w:szCs w:val="24"/>
        </w:rPr>
        <w:t>新开或加密重要货运航线（按季拨付）；</w:t>
      </w:r>
    </w:p>
    <w:p w14:paraId="3F695047">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3</w:t>
      </w:r>
      <w:r>
        <w:rPr>
          <w:rFonts w:hint="eastAsia" w:ascii="宋体" w:hAnsi="宋体"/>
          <w:color w:val="auto"/>
          <w:sz w:val="24"/>
          <w:szCs w:val="24"/>
          <w:lang w:eastAsia="zh-CN"/>
        </w:rPr>
        <w:t>）</w:t>
      </w:r>
      <w:r>
        <w:rPr>
          <w:rFonts w:hint="eastAsia" w:ascii="宋体" w:hAnsi="宋体"/>
          <w:color w:val="auto"/>
          <w:sz w:val="24"/>
          <w:szCs w:val="24"/>
        </w:rPr>
        <w:t>航空货物中转集散奖励（按季拨付）；</w:t>
      </w:r>
    </w:p>
    <w:p w14:paraId="08A3CBDB">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4</w:t>
      </w:r>
      <w:r>
        <w:rPr>
          <w:rFonts w:hint="eastAsia" w:ascii="宋体" w:hAnsi="宋体"/>
          <w:color w:val="auto"/>
          <w:sz w:val="24"/>
          <w:szCs w:val="24"/>
          <w:lang w:eastAsia="zh-CN"/>
        </w:rPr>
        <w:t>）</w:t>
      </w:r>
      <w:r>
        <w:rPr>
          <w:rFonts w:hint="eastAsia" w:ascii="宋体" w:hAnsi="宋体"/>
          <w:color w:val="auto"/>
          <w:sz w:val="24"/>
          <w:szCs w:val="24"/>
        </w:rPr>
        <w:t>双城经济圈城市航空货站群建设奖励奖励（按年拨付）；</w:t>
      </w:r>
    </w:p>
    <w:p w14:paraId="03AE54AC">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5</w:t>
      </w:r>
      <w:r>
        <w:rPr>
          <w:rFonts w:hint="eastAsia" w:ascii="宋体" w:hAnsi="宋体"/>
          <w:color w:val="auto"/>
          <w:sz w:val="24"/>
          <w:szCs w:val="24"/>
          <w:lang w:eastAsia="zh-CN"/>
        </w:rPr>
        <w:t>）</w:t>
      </w:r>
      <w:r>
        <w:rPr>
          <w:rFonts w:hint="eastAsia" w:ascii="宋体" w:hAnsi="宋体"/>
          <w:color w:val="auto"/>
          <w:sz w:val="24"/>
          <w:szCs w:val="24"/>
        </w:rPr>
        <w:t>支持开展特殊货物进出口业务（按半年拨付）；</w:t>
      </w:r>
    </w:p>
    <w:p w14:paraId="3E75880E">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6</w:t>
      </w:r>
      <w:r>
        <w:rPr>
          <w:rFonts w:hint="eastAsia" w:ascii="宋体" w:hAnsi="宋体"/>
          <w:color w:val="auto"/>
          <w:sz w:val="24"/>
          <w:szCs w:val="24"/>
          <w:lang w:eastAsia="zh-CN"/>
        </w:rPr>
        <w:t>）</w:t>
      </w:r>
      <w:r>
        <w:rPr>
          <w:rFonts w:hint="eastAsia" w:ascii="宋体" w:hAnsi="宋体"/>
          <w:color w:val="auto"/>
          <w:sz w:val="24"/>
          <w:szCs w:val="24"/>
        </w:rPr>
        <w:t>其他类型奖励政策。</w:t>
      </w:r>
    </w:p>
    <w:p w14:paraId="7300714D">
      <w:pPr>
        <w:snapToGrid w:val="0"/>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lang w:val="en-US" w:eastAsia="zh-CN"/>
        </w:rPr>
        <w:t>2.</w:t>
      </w:r>
      <w:r>
        <w:rPr>
          <w:rFonts w:hint="eastAsia" w:ascii="宋体" w:hAnsi="宋体"/>
          <w:color w:val="auto"/>
          <w:sz w:val="24"/>
          <w:szCs w:val="24"/>
        </w:rPr>
        <w:t>审计要求：根据有关政策文件以及我市与相关航空公司签订的相关协议，对国际航空枢纽建设专项资金进行审计并出具审计报告。特别是：根据与航空公司签署协议的相关款项内容，对实际申报情况进行研判；对反映航班执行情况、实际载货量等相关申请材料的合法合规性，相关佐证要件的真实性、准确性等进行审计</w:t>
      </w:r>
      <w:r>
        <w:rPr>
          <w:rFonts w:hint="eastAsia" w:ascii="宋体" w:hAnsi="宋体"/>
          <w:color w:val="auto"/>
          <w:sz w:val="24"/>
          <w:szCs w:val="24"/>
          <w:lang w:eastAsia="zh-CN"/>
        </w:rPr>
        <w:t>。</w:t>
      </w:r>
    </w:p>
    <w:p w14:paraId="57A1CDEA">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（三）出具审计报告时间：审计机构应按我处要求，及时完成对有关政策资金的审计，原则上按各类奖励拨付节点出具高质量的审计报告，实际视财政资金、办内统筹拨付进度等为准。</w:t>
      </w:r>
    </w:p>
    <w:p w14:paraId="56B15848">
      <w:pPr>
        <w:snapToGrid w:val="0"/>
        <w:spacing w:line="360" w:lineRule="auto"/>
        <w:ind w:firstLine="480" w:firstLineChars="200"/>
        <w:rPr>
          <w:rFonts w:ascii="宋体" w:hAnsi="宋体"/>
          <w:b/>
          <w:bCs/>
          <w:color w:val="auto"/>
          <w:sz w:val="24"/>
          <w:szCs w:val="24"/>
        </w:rPr>
      </w:pPr>
      <w:r>
        <w:rPr>
          <w:rFonts w:hint="eastAsia" w:ascii="宋体" w:hAnsi="宋体"/>
          <w:b/>
          <w:bCs/>
          <w:color w:val="auto"/>
          <w:sz w:val="24"/>
          <w:szCs w:val="24"/>
        </w:rPr>
        <w:t>注：</w:t>
      </w:r>
      <w:r>
        <w:rPr>
          <w:rFonts w:hint="eastAsia" w:ascii="宋体" w:hAnsi="宋体"/>
          <w:b/>
          <w:bCs/>
          <w:color w:val="auto"/>
          <w:sz w:val="24"/>
          <w:szCs w:val="24"/>
          <w:lang w:val="en-US" w:eastAsia="zh-CN"/>
        </w:rPr>
        <w:t>上述</w:t>
      </w:r>
      <w:r>
        <w:rPr>
          <w:rFonts w:hint="eastAsia" w:ascii="宋体" w:hAnsi="宋体"/>
          <w:b/>
          <w:bCs/>
          <w:color w:val="auto"/>
          <w:sz w:val="24"/>
          <w:szCs w:val="24"/>
        </w:rPr>
        <w:t>具体工作内容以实际情况为准。</w:t>
      </w:r>
    </w:p>
    <w:p w14:paraId="7F6D04B6">
      <w:pPr>
        <w:pStyle w:val="6"/>
        <w:spacing w:before="0" w:after="0" w:line="360" w:lineRule="auto"/>
        <w:ind w:firstLine="480" w:firstLineChars="200"/>
        <w:rPr>
          <w:rFonts w:ascii="宋体" w:hAnsi="宋体"/>
          <w:color w:val="auto"/>
          <w:sz w:val="24"/>
          <w:szCs w:val="24"/>
        </w:rPr>
      </w:pPr>
      <w:bookmarkStart w:id="44" w:name="_Toc92987711"/>
      <w:bookmarkStart w:id="45" w:name="_Toc3630"/>
      <w:bookmarkStart w:id="46" w:name="_Toc128122293"/>
      <w:bookmarkStart w:id="47" w:name="_Toc42624887"/>
      <w:bookmarkStart w:id="48" w:name="_Toc168641927"/>
      <w:r>
        <w:rPr>
          <w:rFonts w:hint="eastAsia" w:ascii="宋体" w:hAnsi="宋体"/>
          <w:color w:val="auto"/>
          <w:sz w:val="24"/>
          <w:szCs w:val="24"/>
        </w:rPr>
        <w:t>※三、服务要求</w:t>
      </w:r>
      <w:bookmarkEnd w:id="44"/>
      <w:bookmarkEnd w:id="45"/>
      <w:bookmarkEnd w:id="46"/>
      <w:bookmarkEnd w:id="47"/>
      <w:bookmarkEnd w:id="48"/>
    </w:p>
    <w:p w14:paraId="145AA784">
      <w:pPr>
        <w:snapToGrid w:val="0"/>
        <w:spacing w:line="360" w:lineRule="auto"/>
        <w:ind w:firstLine="480" w:firstLineChars="200"/>
        <w:rPr>
          <w:rFonts w:ascii="宋体" w:hAnsi="宋体"/>
          <w:color w:val="auto"/>
          <w:sz w:val="24"/>
          <w:szCs w:val="24"/>
        </w:rPr>
      </w:pPr>
      <w:bookmarkStart w:id="49" w:name="_Toc30665849"/>
      <w:r>
        <w:rPr>
          <w:rFonts w:hint="eastAsia" w:ascii="宋体" w:hAnsi="宋体"/>
          <w:color w:val="auto"/>
          <w:sz w:val="24"/>
          <w:szCs w:val="24"/>
        </w:rPr>
        <w:t>（一）人员要求</w:t>
      </w:r>
      <w:bookmarkEnd w:id="49"/>
    </w:p>
    <w:p w14:paraId="74D92DE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 项目负责人1名，必须在供应商本单位注册，具有中国注册会计师执业资格。</w:t>
      </w:r>
    </w:p>
    <w:p w14:paraId="4AC38EB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注：提供执业资格注册证及供应商为其缴纳的个人养老保险缴纳证明复印件并加盖供应商公章。</w:t>
      </w:r>
    </w:p>
    <w:p w14:paraId="4B464C75">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2.审计人员至少</w:t>
      </w:r>
      <w:r>
        <w:rPr>
          <w:rFonts w:hint="eastAsia" w:ascii="宋体" w:hAnsi="宋体"/>
          <w:color w:val="auto"/>
          <w:sz w:val="24"/>
          <w:szCs w:val="24"/>
          <w:lang w:val="en-US" w:eastAsia="zh-CN"/>
        </w:rPr>
        <w:t>8</w:t>
      </w:r>
      <w:r>
        <w:rPr>
          <w:rFonts w:hint="eastAsia" w:ascii="宋体" w:hAnsi="宋体"/>
          <w:color w:val="auto"/>
          <w:sz w:val="24"/>
          <w:szCs w:val="24"/>
        </w:rPr>
        <w:t>名，审计人员必须为供应商本单位人员，且具有相应工作能力。</w:t>
      </w:r>
    </w:p>
    <w:p w14:paraId="62EFFFC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注：提供审计人员名单及供应商为其缴纳的个人养老保险缴纳证明复印件并加盖供应商公章。</w:t>
      </w:r>
    </w:p>
    <w:p w14:paraId="2C33E52F">
      <w:pPr>
        <w:snapToGrid w:val="0"/>
        <w:spacing w:line="360" w:lineRule="auto"/>
        <w:ind w:firstLine="480" w:firstLineChars="200"/>
        <w:rPr>
          <w:rFonts w:ascii="宋体" w:hAnsi="宋体"/>
          <w:color w:val="auto"/>
          <w:sz w:val="24"/>
          <w:szCs w:val="24"/>
        </w:rPr>
      </w:pPr>
      <w:bookmarkStart w:id="50" w:name="_Toc30665850"/>
      <w:r>
        <w:rPr>
          <w:rFonts w:hint="eastAsia" w:ascii="宋体" w:hAnsi="宋体"/>
          <w:color w:val="auto"/>
          <w:sz w:val="24"/>
          <w:szCs w:val="24"/>
        </w:rPr>
        <w:t>（二）质量要求</w:t>
      </w:r>
      <w:bookmarkEnd w:id="50"/>
    </w:p>
    <w:p w14:paraId="5DEC13E4">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按照中国注册会计师执业准则规定的有关审计程序、审计规范实施审计，并按中国注册会计师执业准则的相关要求将审计资料归档。</w:t>
      </w:r>
    </w:p>
    <w:p w14:paraId="70C9B7A0">
      <w:pPr>
        <w:snapToGrid w:val="0"/>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2.严格依据有关法律、法规和《中国注册会计师审计准则》执行业务</w:t>
      </w:r>
      <w:r>
        <w:rPr>
          <w:rFonts w:hint="eastAsia" w:ascii="宋体" w:hAnsi="宋体"/>
          <w:color w:val="auto"/>
          <w:sz w:val="24"/>
          <w:szCs w:val="24"/>
          <w:lang w:eastAsia="zh-CN"/>
        </w:rPr>
        <w:t>。</w:t>
      </w:r>
    </w:p>
    <w:p w14:paraId="109D40A8">
      <w:pPr>
        <w:snapToGrid w:val="0"/>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3.在实施审计工作顺利的条件下，完成相应的审计工作后及时出具报告。若在审计过程中出现不可预见的情况，影响审计工作如期完成，需延期出具报告时，由双方协商解决</w:t>
      </w:r>
      <w:r>
        <w:rPr>
          <w:rFonts w:hint="eastAsia" w:ascii="宋体" w:hAnsi="宋体"/>
          <w:color w:val="auto"/>
          <w:sz w:val="24"/>
          <w:szCs w:val="24"/>
          <w:lang w:eastAsia="zh-CN"/>
        </w:rPr>
        <w:t>。</w:t>
      </w:r>
    </w:p>
    <w:p w14:paraId="1B4B83D7">
      <w:pPr>
        <w:snapToGrid w:val="0"/>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rPr>
        <w:t>4.由于被审计单位内部控制固有的局限性和其他客观原因的制约，难免存在某些重要方面反映失实，而注册会计师又可能在审计中存在未予发现的情况。因此乙方的审计责任不能替代、减轻或免除被审计单位的会计责任</w:t>
      </w:r>
      <w:r>
        <w:rPr>
          <w:rFonts w:hint="eastAsia" w:ascii="宋体" w:hAnsi="宋体"/>
          <w:color w:val="auto"/>
          <w:sz w:val="24"/>
          <w:szCs w:val="24"/>
          <w:lang w:eastAsia="zh-CN"/>
        </w:rPr>
        <w:t>。</w:t>
      </w:r>
    </w:p>
    <w:p w14:paraId="0D68F05F">
      <w:pPr>
        <w:snapToGrid w:val="0"/>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5.对在业务执行过程中获悉的商业秘密保密</w:t>
      </w:r>
      <w:r>
        <w:rPr>
          <w:rFonts w:hint="eastAsia" w:ascii="宋体" w:hAnsi="宋体"/>
          <w:color w:val="auto"/>
          <w:sz w:val="24"/>
          <w:szCs w:val="24"/>
          <w:lang w:eastAsia="zh-CN"/>
        </w:rPr>
        <w:t>。</w:t>
      </w:r>
    </w:p>
    <w:p w14:paraId="44C3E72C">
      <w:pPr>
        <w:pStyle w:val="6"/>
        <w:spacing w:before="0" w:after="0" w:line="360" w:lineRule="auto"/>
        <w:ind w:firstLine="480" w:firstLineChars="200"/>
        <w:rPr>
          <w:rFonts w:ascii="宋体" w:hAnsi="宋体"/>
          <w:color w:val="auto"/>
          <w:sz w:val="24"/>
          <w:szCs w:val="24"/>
        </w:rPr>
      </w:pPr>
      <w:bookmarkStart w:id="51" w:name="_Toc92987712"/>
      <w:bookmarkStart w:id="52" w:name="_Toc15201"/>
      <w:bookmarkStart w:id="53" w:name="_Toc168641928"/>
      <w:bookmarkStart w:id="54" w:name="_Toc128122294"/>
      <w:bookmarkStart w:id="55" w:name="_Toc42624888"/>
      <w:r>
        <w:rPr>
          <w:rFonts w:hint="eastAsia" w:ascii="宋体" w:hAnsi="宋体"/>
          <w:color w:val="auto"/>
          <w:sz w:val="24"/>
          <w:szCs w:val="24"/>
        </w:rPr>
        <w:t>※四、保密要求</w:t>
      </w:r>
      <w:bookmarkEnd w:id="51"/>
      <w:bookmarkEnd w:id="52"/>
      <w:bookmarkEnd w:id="53"/>
      <w:bookmarkEnd w:id="54"/>
      <w:bookmarkEnd w:id="55"/>
    </w:p>
    <w:p w14:paraId="38608CE0">
      <w:pPr>
        <w:snapToGrid w:val="0"/>
        <w:spacing w:line="360" w:lineRule="auto"/>
        <w:ind w:firstLine="480" w:firstLineChars="200"/>
      </w:pPr>
      <w:r>
        <w:rPr>
          <w:rFonts w:hint="eastAsia" w:ascii="宋体" w:hAnsi="宋体"/>
          <w:color w:val="auto"/>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3BE58687">
      <w:pPr>
        <w:pStyle w:val="5"/>
        <w:pageBreakBefore/>
        <w:spacing w:line="360" w:lineRule="auto"/>
        <w:jc w:val="center"/>
        <w:rPr>
          <w:rFonts w:ascii="宋体" w:hAnsi="宋体" w:eastAsia="宋体"/>
          <w:color w:val="auto"/>
          <w:sz w:val="36"/>
          <w:szCs w:val="30"/>
        </w:rPr>
      </w:pPr>
      <w:bookmarkStart w:id="56" w:name="_Toc17255"/>
      <w:r>
        <w:rPr>
          <w:rFonts w:hint="eastAsia" w:ascii="宋体" w:hAnsi="宋体" w:eastAsia="宋体"/>
          <w:color w:val="auto"/>
          <w:sz w:val="36"/>
          <w:szCs w:val="30"/>
        </w:rPr>
        <w:t>第三篇  项目商务需求</w:t>
      </w:r>
      <w:bookmarkEnd w:id="29"/>
      <w:bookmarkEnd w:id="56"/>
    </w:p>
    <w:p w14:paraId="2B23997E">
      <w:pPr>
        <w:snapToGrid w:val="0"/>
        <w:spacing w:line="360" w:lineRule="auto"/>
        <w:ind w:firstLine="420" w:firstLineChars="200"/>
        <w:rPr>
          <w:rFonts w:ascii="宋体" w:hAnsi="宋体"/>
          <w:b/>
          <w:color w:val="auto"/>
          <w:sz w:val="24"/>
          <w:szCs w:val="24"/>
        </w:rPr>
      </w:pPr>
      <w:bookmarkStart w:id="57" w:name="_Toc267320049"/>
      <w:r>
        <w:rPr>
          <w:rFonts w:hint="eastAsia" w:ascii="宋体" w:hAnsi="宋体"/>
          <w:b/>
          <w:color w:val="auto"/>
          <w:sz w:val="21"/>
          <w:szCs w:val="21"/>
        </w:rPr>
        <w:t>“※”标注的要求为符合性审查中的实质性要求，投标文件若不满足按无效投标处理。</w:t>
      </w:r>
    </w:p>
    <w:bookmarkEnd w:id="57"/>
    <w:p w14:paraId="49DF1830">
      <w:pPr>
        <w:pStyle w:val="6"/>
        <w:spacing w:before="0" w:after="0" w:line="360" w:lineRule="auto"/>
        <w:ind w:firstLine="480" w:firstLineChars="200"/>
        <w:rPr>
          <w:rFonts w:ascii="宋体" w:hAnsi="宋体"/>
          <w:color w:val="auto"/>
          <w:sz w:val="24"/>
          <w:szCs w:val="24"/>
        </w:rPr>
      </w:pPr>
      <w:bookmarkStart w:id="58" w:name="_Toc128122296"/>
      <w:bookmarkStart w:id="59" w:name="_Toc168641930"/>
      <w:bookmarkStart w:id="60" w:name="_Toc17827"/>
      <w:bookmarkStart w:id="61" w:name="_Toc42624930"/>
      <w:bookmarkStart w:id="62" w:name="_Toc101438046"/>
      <w:r>
        <w:rPr>
          <w:rFonts w:hint="eastAsia" w:ascii="宋体" w:hAnsi="宋体"/>
          <w:color w:val="auto"/>
          <w:sz w:val="24"/>
          <w:szCs w:val="24"/>
        </w:rPr>
        <w:t>一、服务时间、地点及验收方式</w:t>
      </w:r>
      <w:bookmarkEnd w:id="58"/>
      <w:bookmarkEnd w:id="59"/>
      <w:bookmarkEnd w:id="60"/>
      <w:bookmarkEnd w:id="61"/>
      <w:bookmarkEnd w:id="62"/>
    </w:p>
    <w:p w14:paraId="0EAFD4E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※（一）服务时间：</w:t>
      </w:r>
    </w:p>
    <w:p w14:paraId="0A86CE1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合同签订之日起至服务内容完成之日止。</w:t>
      </w:r>
    </w:p>
    <w:p w14:paraId="709C7EEC">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（二）服务地点：</w:t>
      </w:r>
    </w:p>
    <w:p w14:paraId="3EBE23A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重庆市人民政府口岸和物流办公室同意或指定地点。</w:t>
      </w:r>
    </w:p>
    <w:p w14:paraId="1F6A007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（三）验收方式：</w:t>
      </w:r>
    </w:p>
    <w:p w14:paraId="40A02C9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1．验收单位：重庆市人民政府口岸和物流办公室。</w:t>
      </w:r>
    </w:p>
    <w:p w14:paraId="5BDC985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2．验收标准：</w:t>
      </w:r>
      <w:r>
        <w:rPr>
          <w:rFonts w:hint="eastAsia"/>
          <w:sz w:val="24"/>
          <w:szCs w:val="24"/>
          <w:lang w:val="en-US" w:eastAsia="zh-CN"/>
        </w:rPr>
        <w:t>合同执行完毕后，</w:t>
      </w:r>
      <w:r>
        <w:rPr>
          <w:rFonts w:hint="eastAsia" w:ascii="宋体" w:hAnsi="宋体"/>
          <w:sz w:val="24"/>
          <w:szCs w:val="24"/>
        </w:rPr>
        <w:t>采购人在7个工作日内</w:t>
      </w:r>
      <w:r>
        <w:rPr>
          <w:rFonts w:hint="eastAsia" w:ascii="宋体" w:hAnsi="宋体"/>
          <w:color w:val="auto"/>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38CE285D">
      <w:pPr>
        <w:pStyle w:val="6"/>
        <w:spacing w:before="0" w:after="0" w:line="360" w:lineRule="auto"/>
        <w:ind w:firstLine="480" w:firstLineChars="200"/>
        <w:rPr>
          <w:rFonts w:ascii="宋体" w:hAnsi="宋体"/>
          <w:color w:val="auto"/>
          <w:sz w:val="24"/>
          <w:szCs w:val="24"/>
        </w:rPr>
      </w:pPr>
      <w:bookmarkStart w:id="63" w:name="_Toc128122297"/>
      <w:bookmarkStart w:id="64" w:name="_Toc168641931"/>
      <w:bookmarkStart w:id="65" w:name="_Toc21620"/>
      <w:bookmarkStart w:id="66" w:name="_Toc42624931"/>
      <w:bookmarkStart w:id="67" w:name="_Toc101438047"/>
      <w:bookmarkStart w:id="68" w:name="_Toc484611846"/>
      <w:r>
        <w:rPr>
          <w:rFonts w:hint="eastAsia" w:ascii="宋体" w:hAnsi="宋体"/>
          <w:color w:val="auto"/>
          <w:sz w:val="24"/>
          <w:szCs w:val="24"/>
        </w:rPr>
        <w:t>※二、报价要求</w:t>
      </w:r>
      <w:bookmarkEnd w:id="63"/>
      <w:bookmarkEnd w:id="64"/>
      <w:bookmarkEnd w:id="65"/>
      <w:bookmarkEnd w:id="66"/>
      <w:bookmarkEnd w:id="67"/>
      <w:bookmarkEnd w:id="68"/>
    </w:p>
    <w:p w14:paraId="57EF45E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（一）投标报价应包括完成本项目所需的全部费用，</w:t>
      </w:r>
      <w:bookmarkStart w:id="69" w:name="_Hlk40286486"/>
      <w:r>
        <w:rPr>
          <w:rFonts w:hint="eastAsia" w:ascii="宋体" w:hAnsi="宋体"/>
          <w:color w:val="auto"/>
          <w:sz w:val="24"/>
          <w:szCs w:val="24"/>
        </w:rPr>
        <w:t>包括但不限于服务费、咨询费、文件编制费、利润、税金等所有费用。采购人除此以外不支付其它费用。</w:t>
      </w:r>
      <w:bookmarkEnd w:id="69"/>
      <w:bookmarkStart w:id="70" w:name="_Toc451763441"/>
    </w:p>
    <w:p w14:paraId="115ACCFA">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（二）如果成交供应商交付的成果达不到采购人要求需要更改的，更改涉及的所有费用由成交供应商自行承担，采购人将不再另行支付任何费用。</w:t>
      </w:r>
      <w:bookmarkEnd w:id="70"/>
    </w:p>
    <w:p w14:paraId="63763C8E">
      <w:pPr>
        <w:snapToGrid w:val="0"/>
        <w:spacing w:line="360" w:lineRule="auto"/>
        <w:ind w:firstLine="480" w:firstLineChars="200"/>
        <w:rPr>
          <w:rFonts w:ascii="宋体" w:hAnsi="宋体"/>
          <w:color w:val="auto"/>
          <w:sz w:val="24"/>
          <w:szCs w:val="24"/>
        </w:rPr>
      </w:pPr>
      <w:bookmarkStart w:id="71" w:name="_Toc451763443"/>
      <w:r>
        <w:rPr>
          <w:rFonts w:hint="eastAsia" w:ascii="宋体" w:hAnsi="宋体"/>
          <w:color w:val="auto"/>
          <w:sz w:val="24"/>
          <w:szCs w:val="24"/>
        </w:rPr>
        <w:t>（三）投标货币：本项目招标的投标应以人民币报价。</w:t>
      </w:r>
      <w:bookmarkEnd w:id="71"/>
    </w:p>
    <w:p w14:paraId="49FDF418">
      <w:pPr>
        <w:pStyle w:val="6"/>
        <w:spacing w:before="0" w:after="0" w:line="360" w:lineRule="auto"/>
        <w:ind w:firstLine="480" w:firstLineChars="200"/>
        <w:rPr>
          <w:rFonts w:ascii="宋体" w:hAnsi="宋体"/>
          <w:color w:val="auto"/>
          <w:sz w:val="24"/>
          <w:szCs w:val="24"/>
        </w:rPr>
      </w:pPr>
      <w:bookmarkStart w:id="72" w:name="_Toc344475122"/>
      <w:bookmarkStart w:id="73" w:name="_Toc101438048"/>
      <w:bookmarkStart w:id="74" w:name="_Toc31266"/>
      <w:bookmarkStart w:id="75" w:name="_Toc168641932"/>
      <w:bookmarkStart w:id="76" w:name="_Toc128122298"/>
      <w:bookmarkStart w:id="77" w:name="_Toc42624932"/>
      <w:bookmarkStart w:id="78" w:name="_Toc484611849"/>
      <w:r>
        <w:rPr>
          <w:rFonts w:hint="eastAsia" w:ascii="宋体" w:hAnsi="宋体"/>
          <w:color w:val="auto"/>
          <w:sz w:val="24"/>
          <w:szCs w:val="24"/>
        </w:rPr>
        <w:t>※三、付款方式</w:t>
      </w:r>
      <w:bookmarkEnd w:id="72"/>
      <w:bookmarkEnd w:id="73"/>
      <w:bookmarkEnd w:id="74"/>
      <w:bookmarkEnd w:id="75"/>
      <w:bookmarkEnd w:id="76"/>
      <w:bookmarkEnd w:id="77"/>
      <w:bookmarkEnd w:id="78"/>
    </w:p>
    <w:p w14:paraId="2E8A14C3">
      <w:pPr>
        <w:snapToGrid w:val="0"/>
        <w:spacing w:line="360" w:lineRule="auto"/>
        <w:ind w:firstLine="480" w:firstLineChars="200"/>
        <w:rPr>
          <w:rFonts w:ascii="宋体" w:hAnsi="宋体"/>
          <w:color w:val="auto"/>
          <w:sz w:val="24"/>
          <w:szCs w:val="24"/>
        </w:rPr>
      </w:pPr>
      <w:bookmarkStart w:id="79" w:name="_Toc46243282"/>
      <w:bookmarkStart w:id="80" w:name="_Toc15477126"/>
      <w:bookmarkStart w:id="81" w:name="_Toc528830632"/>
      <w:bookmarkStart w:id="82" w:name="_Toc42624933"/>
      <w:bookmarkStart w:id="83" w:name="_Toc498094723"/>
      <w:bookmarkStart w:id="84" w:name="_Toc101438049"/>
      <w:bookmarkStart w:id="85" w:name="_Toc344475123"/>
      <w:r>
        <w:rPr>
          <w:rFonts w:hint="eastAsia" w:ascii="宋体" w:hAnsi="宋体"/>
          <w:color w:val="auto"/>
          <w:sz w:val="24"/>
          <w:szCs w:val="24"/>
        </w:rPr>
        <w:t>（一）成交供应商与采购人签订合同后，成交供应商向采购人开具合同金额40%的发票，采购人以转账方式向成交供应商支付合同金额的40%；</w:t>
      </w:r>
    </w:p>
    <w:p w14:paraId="024B40B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（二）成交供应商完成所有工作内容，经验收合格后采购人出具项目验收报告，成交供应商开具合同金额60%的发票，提交采购合同、验收报</w:t>
      </w:r>
      <w:r>
        <w:rPr>
          <w:rFonts w:hint="eastAsia" w:ascii="宋体" w:hAnsi="宋体"/>
          <w:color w:val="auto"/>
          <w:sz w:val="24"/>
          <w:szCs w:val="24"/>
          <w:lang w:val="en-US" w:eastAsia="zh-CN"/>
        </w:rPr>
        <w:t xml:space="preserve"> </w:t>
      </w:r>
      <w:r>
        <w:rPr>
          <w:rFonts w:hint="eastAsia" w:ascii="宋体" w:hAnsi="宋体"/>
          <w:color w:val="auto"/>
          <w:sz w:val="24"/>
          <w:szCs w:val="24"/>
        </w:rPr>
        <w:t>告、资金支付申请表等材料，向采购人申请支付尾款；</w:t>
      </w:r>
    </w:p>
    <w:p w14:paraId="1BFEE8C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（三）采购人对成交供应商提交的付款资料审核通过后，以转账方式向成交供应商支付合同金额的60%。</w:t>
      </w:r>
    </w:p>
    <w:bookmarkEnd w:id="79"/>
    <w:p w14:paraId="1D34DF88">
      <w:pPr>
        <w:pStyle w:val="6"/>
        <w:spacing w:before="0" w:after="0" w:line="360" w:lineRule="auto"/>
        <w:ind w:firstLine="480" w:firstLineChars="200"/>
        <w:rPr>
          <w:rFonts w:ascii="宋体" w:hAnsi="宋体"/>
          <w:color w:val="auto"/>
          <w:sz w:val="24"/>
          <w:szCs w:val="24"/>
        </w:rPr>
      </w:pPr>
      <w:bookmarkStart w:id="86" w:name="_Toc6822"/>
      <w:bookmarkStart w:id="87" w:name="_Toc128122299"/>
      <w:bookmarkStart w:id="88" w:name="_Toc168641933"/>
      <w:r>
        <w:rPr>
          <w:rFonts w:hint="eastAsia" w:ascii="宋体" w:hAnsi="宋体"/>
          <w:color w:val="auto"/>
          <w:sz w:val="24"/>
          <w:szCs w:val="24"/>
        </w:rPr>
        <w:t>四、知识产权</w:t>
      </w:r>
      <w:bookmarkEnd w:id="80"/>
      <w:bookmarkEnd w:id="81"/>
      <w:bookmarkEnd w:id="82"/>
      <w:bookmarkEnd w:id="83"/>
      <w:bookmarkEnd w:id="84"/>
      <w:bookmarkEnd w:id="86"/>
      <w:bookmarkEnd w:id="87"/>
      <w:bookmarkEnd w:id="88"/>
    </w:p>
    <w:bookmarkEnd w:id="85"/>
    <w:p w14:paraId="10702898">
      <w:pPr>
        <w:snapToGrid w:val="0"/>
        <w:spacing w:line="360" w:lineRule="auto"/>
        <w:ind w:firstLine="480" w:firstLineChars="200"/>
        <w:rPr>
          <w:color w:val="auto"/>
          <w:sz w:val="24"/>
          <w:szCs w:val="24"/>
        </w:rPr>
      </w:pPr>
      <w:bookmarkStart w:id="89" w:name="_Toc42624934"/>
      <w:bookmarkStart w:id="90" w:name="_Toc484611852"/>
      <w:bookmarkStart w:id="91" w:name="_Toc101438050"/>
      <w:bookmarkStart w:id="92" w:name="_Toc344475125"/>
      <w:r>
        <w:rPr>
          <w:rFonts w:hint="eastAsia"/>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9D20DEF">
      <w:pPr>
        <w:snapToGrid w:val="0"/>
        <w:spacing w:line="360" w:lineRule="auto"/>
        <w:ind w:firstLine="480" w:firstLineChars="200"/>
        <w:rPr>
          <w:rFonts w:ascii="宋体" w:hAnsi="宋体"/>
          <w:b/>
          <w:bCs/>
          <w:color w:val="auto"/>
          <w:sz w:val="24"/>
          <w:szCs w:val="24"/>
        </w:rPr>
      </w:pPr>
      <w:r>
        <w:rPr>
          <w:rFonts w:ascii="宋体" w:hAnsi="宋体"/>
          <w:b/>
          <w:bCs/>
          <w:color w:val="auto"/>
          <w:sz w:val="24"/>
          <w:szCs w:val="24"/>
        </w:rPr>
        <w:t>本项目知识产权所有权均归采购人所有。</w:t>
      </w:r>
    </w:p>
    <w:p w14:paraId="4A6D64F0">
      <w:pPr>
        <w:pStyle w:val="6"/>
        <w:spacing w:before="0" w:after="0" w:line="360" w:lineRule="auto"/>
        <w:ind w:firstLine="480" w:firstLineChars="200"/>
        <w:rPr>
          <w:rFonts w:ascii="宋体" w:hAnsi="宋体"/>
          <w:color w:val="auto"/>
          <w:sz w:val="24"/>
          <w:szCs w:val="24"/>
        </w:rPr>
      </w:pPr>
      <w:bookmarkStart w:id="93" w:name="_Toc11429"/>
      <w:bookmarkStart w:id="94" w:name="_Toc128122300"/>
      <w:bookmarkStart w:id="95" w:name="_Toc168641934"/>
      <w:r>
        <w:rPr>
          <w:rFonts w:hint="eastAsia" w:ascii="宋体" w:hAnsi="宋体"/>
          <w:color w:val="auto"/>
          <w:sz w:val="24"/>
          <w:szCs w:val="24"/>
        </w:rPr>
        <w:t>五、其他</w:t>
      </w:r>
      <w:bookmarkEnd w:id="89"/>
      <w:bookmarkEnd w:id="90"/>
      <w:bookmarkEnd w:id="91"/>
      <w:bookmarkEnd w:id="93"/>
      <w:bookmarkEnd w:id="94"/>
      <w:bookmarkEnd w:id="95"/>
    </w:p>
    <w:bookmarkEnd w:id="92"/>
    <w:p w14:paraId="1C6192C5">
      <w:pPr>
        <w:snapToGrid w:val="0"/>
        <w:spacing w:line="360" w:lineRule="auto"/>
        <w:ind w:firstLine="480" w:firstLineChars="200"/>
        <w:rPr>
          <w:color w:val="auto"/>
          <w:sz w:val="24"/>
          <w:szCs w:val="24"/>
        </w:rPr>
      </w:pPr>
      <w:r>
        <w:rPr>
          <w:rFonts w:hint="eastAsia" w:ascii="宋体" w:hAnsi="宋体"/>
          <w:color w:val="auto"/>
          <w:sz w:val="24"/>
          <w:szCs w:val="24"/>
        </w:rPr>
        <w:t>其他未尽事宜由供需双方在采购合同中详细约定。</w:t>
      </w:r>
    </w:p>
    <w:p w14:paraId="382A9C88">
      <w:pPr>
        <w:pStyle w:val="5"/>
        <w:pageBreakBefore/>
        <w:spacing w:line="360" w:lineRule="auto"/>
        <w:jc w:val="center"/>
        <w:rPr>
          <w:rFonts w:ascii="宋体" w:hAnsi="宋体" w:eastAsia="宋体"/>
          <w:color w:val="auto"/>
          <w:sz w:val="36"/>
          <w:szCs w:val="30"/>
        </w:rPr>
      </w:pPr>
      <w:bookmarkStart w:id="96" w:name="_Toc25461"/>
      <w:r>
        <w:rPr>
          <w:rFonts w:hint="eastAsia" w:ascii="宋体" w:hAnsi="宋体" w:eastAsia="宋体"/>
          <w:color w:val="auto"/>
          <w:sz w:val="36"/>
          <w:szCs w:val="30"/>
        </w:rPr>
        <w:t>第四篇  比选程序及方法、评审标准、无效响应和采购终止</w:t>
      </w:r>
      <w:bookmarkEnd w:id="96"/>
    </w:p>
    <w:p w14:paraId="32883FDB">
      <w:pPr>
        <w:pStyle w:val="6"/>
        <w:snapToGrid w:val="0"/>
        <w:spacing w:before="0" w:after="0" w:line="360" w:lineRule="auto"/>
        <w:ind w:firstLine="480" w:firstLineChars="200"/>
        <w:rPr>
          <w:rFonts w:ascii="宋体" w:hAnsi="宋体"/>
          <w:color w:val="auto"/>
          <w:sz w:val="24"/>
          <w:szCs w:val="24"/>
        </w:rPr>
      </w:pPr>
      <w:bookmarkStart w:id="97" w:name="_Toc25162"/>
      <w:r>
        <w:rPr>
          <w:rFonts w:hint="eastAsia" w:ascii="宋体" w:hAnsi="宋体"/>
          <w:color w:val="auto"/>
          <w:sz w:val="24"/>
          <w:szCs w:val="24"/>
        </w:rPr>
        <w:t>一、比选程序及方法</w:t>
      </w:r>
      <w:bookmarkEnd w:id="97"/>
    </w:p>
    <w:p w14:paraId="27F220DF">
      <w:pPr>
        <w:spacing w:line="360" w:lineRule="auto"/>
        <w:ind w:firstLine="480" w:firstLineChars="200"/>
        <w:rPr>
          <w:rFonts w:ascii="宋体" w:hAnsi="宋体"/>
          <w:color w:val="auto"/>
          <w:sz w:val="24"/>
          <w:szCs w:val="24"/>
        </w:rPr>
      </w:pPr>
      <w:r>
        <w:rPr>
          <w:rFonts w:hint="eastAsia" w:ascii="宋体" w:hAnsi="宋体"/>
          <w:color w:val="auto"/>
          <w:sz w:val="24"/>
          <w:szCs w:val="24"/>
        </w:rPr>
        <w:t>（一）比选按竞争性比选文件规定的时间和地点进行，由本项目依法组建的评审委员会按比选文件内容进行。</w:t>
      </w:r>
    </w:p>
    <w:p w14:paraId="4CFBE7B8">
      <w:pPr>
        <w:spacing w:line="360" w:lineRule="auto"/>
        <w:ind w:firstLine="480" w:firstLineChars="200"/>
        <w:rPr>
          <w:rFonts w:ascii="宋体" w:hAnsi="宋体"/>
          <w:color w:val="auto"/>
          <w:sz w:val="24"/>
          <w:szCs w:val="24"/>
        </w:rPr>
      </w:pPr>
      <w:r>
        <w:rPr>
          <w:rFonts w:hint="eastAsia" w:ascii="宋体" w:hAnsi="宋体"/>
          <w:color w:val="auto"/>
          <w:sz w:val="24"/>
          <w:szCs w:val="24"/>
        </w:rPr>
        <w:t>（二）评审委员会对各供应商的资格条件、响应文件的有效性、完整性和响应程度进行审查。各供应商只有在完全符合要求的前提下，才能参与正式比选。</w:t>
      </w:r>
    </w:p>
    <w:p w14:paraId="6EEFBC4E">
      <w:pPr>
        <w:snapToGrid w:val="0"/>
        <w:spacing w:line="360" w:lineRule="auto"/>
        <w:ind w:firstLine="480" w:firstLineChars="200"/>
        <w:rPr>
          <w:rFonts w:ascii="宋体" w:hAnsi="宋体" w:cs="宋体"/>
          <w:color w:val="auto"/>
          <w:kern w:val="0"/>
          <w:sz w:val="24"/>
          <w:szCs w:val="24"/>
        </w:rPr>
      </w:pPr>
      <w:r>
        <w:rPr>
          <w:rFonts w:hint="eastAsia" w:ascii="宋体" w:hAnsi="宋体"/>
          <w:color w:val="auto"/>
          <w:sz w:val="24"/>
          <w:szCs w:val="24"/>
        </w:rPr>
        <w:t>1.</w:t>
      </w:r>
      <w:r>
        <w:rPr>
          <w:rFonts w:hint="eastAsia" w:ascii="宋体" w:hAnsi="宋体" w:cs="宋体"/>
          <w:color w:val="auto"/>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6B69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14:paraId="56873975">
            <w:pPr>
              <w:snapToGrid w:val="0"/>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4111" w:type="dxa"/>
            <w:gridSpan w:val="2"/>
            <w:vAlign w:val="center"/>
          </w:tcPr>
          <w:p w14:paraId="26142B33">
            <w:pPr>
              <w:snapToGrid w:val="0"/>
              <w:jc w:val="center"/>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4740" w:type="dxa"/>
            <w:vAlign w:val="center"/>
          </w:tcPr>
          <w:p w14:paraId="5B69BA95">
            <w:pPr>
              <w:snapToGrid w:val="0"/>
              <w:jc w:val="center"/>
              <w:rPr>
                <w:rFonts w:ascii="宋体" w:hAnsi="宋体" w:cs="宋体"/>
                <w:b/>
                <w:color w:val="auto"/>
                <w:kern w:val="0"/>
                <w:sz w:val="21"/>
                <w:szCs w:val="21"/>
              </w:rPr>
            </w:pPr>
            <w:r>
              <w:rPr>
                <w:rFonts w:hint="eastAsia" w:ascii="宋体" w:hAnsi="宋体" w:cs="宋体"/>
                <w:b/>
                <w:color w:val="auto"/>
                <w:kern w:val="0"/>
                <w:sz w:val="21"/>
                <w:szCs w:val="21"/>
              </w:rPr>
              <w:t>检查内容</w:t>
            </w:r>
          </w:p>
        </w:tc>
      </w:tr>
      <w:tr w14:paraId="7711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14:paraId="6E578EF8">
            <w:pPr>
              <w:snapToGrid w:val="0"/>
              <w:jc w:val="center"/>
              <w:rPr>
                <w:rFonts w:ascii="宋体" w:hAnsi="宋体"/>
                <w:color w:val="auto"/>
                <w:sz w:val="21"/>
                <w:szCs w:val="21"/>
              </w:rPr>
            </w:pPr>
            <w:r>
              <w:rPr>
                <w:rFonts w:hint="eastAsia" w:ascii="宋体" w:hAnsi="宋体"/>
                <w:color w:val="auto"/>
                <w:sz w:val="21"/>
                <w:szCs w:val="21"/>
              </w:rPr>
              <w:t>（一）</w:t>
            </w:r>
          </w:p>
        </w:tc>
        <w:tc>
          <w:tcPr>
            <w:tcW w:w="851" w:type="dxa"/>
            <w:vMerge w:val="restart"/>
            <w:vAlign w:val="center"/>
          </w:tcPr>
          <w:p w14:paraId="300C2812">
            <w:pPr>
              <w:snapToGrid w:val="0"/>
              <w:rPr>
                <w:rFonts w:ascii="宋体" w:hAnsi="宋体" w:cs="仿宋_GB2312"/>
                <w:color w:val="auto"/>
                <w:sz w:val="21"/>
                <w:szCs w:val="21"/>
                <w:lang w:val="zh-CN"/>
              </w:rPr>
            </w:pPr>
            <w:r>
              <w:rPr>
                <w:rFonts w:hint="eastAsia" w:ascii="宋体" w:hAnsi="宋体" w:cs="仿宋_GB2312"/>
                <w:color w:val="auto"/>
                <w:sz w:val="21"/>
                <w:szCs w:val="21"/>
                <w:lang w:val="zh-CN"/>
              </w:rPr>
              <w:t>《中华人民共和国政府采购法》第二十二条规定</w:t>
            </w:r>
          </w:p>
        </w:tc>
        <w:tc>
          <w:tcPr>
            <w:tcW w:w="3260" w:type="dxa"/>
            <w:vAlign w:val="center"/>
          </w:tcPr>
          <w:p w14:paraId="32F931B3">
            <w:pPr>
              <w:snapToGrid w:val="0"/>
              <w:rPr>
                <w:rFonts w:ascii="宋体" w:hAnsi="宋体"/>
                <w:color w:val="auto"/>
                <w:sz w:val="21"/>
                <w:szCs w:val="21"/>
              </w:rPr>
            </w:pPr>
            <w:r>
              <w:rPr>
                <w:rFonts w:hint="eastAsia" w:ascii="宋体" w:hAnsi="宋体"/>
                <w:color w:val="auto"/>
                <w:sz w:val="21"/>
                <w:szCs w:val="21"/>
              </w:rPr>
              <w:t>1.具有独立承担民事责任的能力</w:t>
            </w:r>
          </w:p>
        </w:tc>
        <w:tc>
          <w:tcPr>
            <w:tcW w:w="4740" w:type="dxa"/>
            <w:vAlign w:val="center"/>
          </w:tcPr>
          <w:p w14:paraId="29D2CCA2">
            <w:pPr>
              <w:snapToGrid w:val="0"/>
              <w:rPr>
                <w:rFonts w:ascii="宋体" w:hAnsi="宋体"/>
                <w:color w:val="auto"/>
                <w:sz w:val="21"/>
                <w:szCs w:val="21"/>
              </w:rPr>
            </w:pPr>
            <w:r>
              <w:rPr>
                <w:rFonts w:hint="eastAsia" w:ascii="宋体" w:hAnsi="宋体"/>
                <w:color w:val="auto"/>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652F50AE">
            <w:pPr>
              <w:snapToGrid w:val="0"/>
              <w:rPr>
                <w:rFonts w:ascii="宋体" w:hAnsi="宋体"/>
                <w:color w:val="auto"/>
                <w:sz w:val="21"/>
                <w:szCs w:val="21"/>
              </w:rPr>
            </w:pPr>
            <w:r>
              <w:rPr>
                <w:rFonts w:hint="eastAsia" w:ascii="宋体" w:hAnsi="宋体"/>
                <w:color w:val="auto"/>
                <w:sz w:val="21"/>
                <w:szCs w:val="21"/>
              </w:rPr>
              <w:t>供应商法定代表人身份证明和法定代表人授权代表委托书。</w:t>
            </w:r>
          </w:p>
        </w:tc>
      </w:tr>
      <w:tr w14:paraId="04F0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14:paraId="6A61EC4F">
            <w:pPr>
              <w:snapToGrid w:val="0"/>
              <w:jc w:val="center"/>
              <w:rPr>
                <w:rFonts w:ascii="宋体" w:hAnsi="宋体"/>
                <w:color w:val="auto"/>
                <w:sz w:val="21"/>
                <w:szCs w:val="21"/>
              </w:rPr>
            </w:pPr>
          </w:p>
        </w:tc>
        <w:tc>
          <w:tcPr>
            <w:tcW w:w="851" w:type="dxa"/>
            <w:vMerge w:val="continue"/>
            <w:vAlign w:val="center"/>
          </w:tcPr>
          <w:p w14:paraId="73B69DB5">
            <w:pPr>
              <w:snapToGrid w:val="0"/>
              <w:rPr>
                <w:rFonts w:ascii="宋体" w:hAnsi="宋体" w:cs="仿宋_GB2312"/>
                <w:color w:val="auto"/>
                <w:sz w:val="21"/>
                <w:szCs w:val="21"/>
                <w:lang w:val="zh-CN"/>
              </w:rPr>
            </w:pPr>
          </w:p>
        </w:tc>
        <w:tc>
          <w:tcPr>
            <w:tcW w:w="3260" w:type="dxa"/>
            <w:vAlign w:val="center"/>
          </w:tcPr>
          <w:p w14:paraId="7493D7B8">
            <w:pPr>
              <w:snapToGrid w:val="0"/>
              <w:rPr>
                <w:rFonts w:ascii="宋体" w:hAnsi="宋体"/>
                <w:color w:val="auto"/>
                <w:sz w:val="21"/>
                <w:szCs w:val="21"/>
              </w:rPr>
            </w:pPr>
            <w:r>
              <w:rPr>
                <w:rFonts w:hint="eastAsia" w:ascii="宋体" w:hAnsi="宋体" w:cs="仿宋_GB2312"/>
                <w:color w:val="auto"/>
                <w:sz w:val="21"/>
                <w:szCs w:val="21"/>
                <w:lang w:val="zh-CN"/>
              </w:rPr>
              <w:t>2.</w:t>
            </w:r>
            <w:r>
              <w:rPr>
                <w:rFonts w:hint="eastAsia" w:ascii="宋体" w:hAnsi="宋体"/>
                <w:color w:val="auto"/>
                <w:sz w:val="21"/>
                <w:szCs w:val="21"/>
              </w:rPr>
              <w:t>具有良好的商业信誉和健全的财务会计制度</w:t>
            </w:r>
          </w:p>
        </w:tc>
        <w:tc>
          <w:tcPr>
            <w:tcW w:w="4740" w:type="dxa"/>
            <w:vMerge w:val="restart"/>
            <w:vAlign w:val="center"/>
          </w:tcPr>
          <w:p w14:paraId="4D97D55A">
            <w:pPr>
              <w:snapToGrid w:val="0"/>
              <w:rPr>
                <w:rFonts w:ascii="宋体" w:hAnsi="宋体"/>
                <w:color w:val="auto"/>
                <w:sz w:val="21"/>
                <w:szCs w:val="21"/>
              </w:rPr>
            </w:pPr>
            <w:r>
              <w:rPr>
                <w:rFonts w:hint="eastAsia" w:ascii="宋体" w:hAnsi="宋体"/>
                <w:color w:val="auto"/>
                <w:sz w:val="21"/>
                <w:szCs w:val="21"/>
              </w:rPr>
              <w:t>供应商提供《基本资格条件承诺函》（见格式文件）</w:t>
            </w:r>
          </w:p>
        </w:tc>
      </w:tr>
      <w:tr w14:paraId="1017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14:paraId="1DE039A4">
            <w:pPr>
              <w:snapToGrid w:val="0"/>
              <w:jc w:val="center"/>
              <w:rPr>
                <w:rFonts w:ascii="宋体" w:hAnsi="宋体"/>
                <w:color w:val="auto"/>
                <w:sz w:val="21"/>
                <w:szCs w:val="21"/>
              </w:rPr>
            </w:pPr>
          </w:p>
        </w:tc>
        <w:tc>
          <w:tcPr>
            <w:tcW w:w="851" w:type="dxa"/>
            <w:vMerge w:val="continue"/>
            <w:vAlign w:val="center"/>
          </w:tcPr>
          <w:p w14:paraId="51B54245">
            <w:pPr>
              <w:snapToGrid w:val="0"/>
              <w:rPr>
                <w:rFonts w:ascii="宋体" w:hAnsi="宋体" w:cs="仿宋_GB2312"/>
                <w:color w:val="auto"/>
                <w:sz w:val="21"/>
                <w:szCs w:val="21"/>
                <w:lang w:val="zh-CN"/>
              </w:rPr>
            </w:pPr>
          </w:p>
        </w:tc>
        <w:tc>
          <w:tcPr>
            <w:tcW w:w="3260" w:type="dxa"/>
            <w:vAlign w:val="center"/>
          </w:tcPr>
          <w:p w14:paraId="601DFB0A">
            <w:pPr>
              <w:snapToGrid w:val="0"/>
              <w:rPr>
                <w:rFonts w:ascii="宋体" w:hAnsi="宋体" w:cs="仿宋_GB2312"/>
                <w:color w:val="auto"/>
                <w:sz w:val="21"/>
                <w:szCs w:val="21"/>
                <w:lang w:val="zh-CN"/>
              </w:rPr>
            </w:pPr>
            <w:r>
              <w:rPr>
                <w:rFonts w:hint="eastAsia" w:ascii="宋体" w:hAnsi="宋体" w:cs="仿宋_GB2312"/>
                <w:color w:val="auto"/>
                <w:sz w:val="21"/>
                <w:szCs w:val="21"/>
                <w:lang w:val="zh-CN"/>
              </w:rPr>
              <w:t>3.具有履行合同所必需的设备和专业技术能力</w:t>
            </w:r>
          </w:p>
        </w:tc>
        <w:tc>
          <w:tcPr>
            <w:tcW w:w="4740" w:type="dxa"/>
            <w:vMerge w:val="continue"/>
            <w:vAlign w:val="center"/>
          </w:tcPr>
          <w:p w14:paraId="54397C88">
            <w:pPr>
              <w:snapToGrid w:val="0"/>
              <w:rPr>
                <w:rFonts w:ascii="宋体" w:hAnsi="宋体"/>
                <w:color w:val="auto"/>
                <w:sz w:val="21"/>
                <w:szCs w:val="21"/>
              </w:rPr>
            </w:pPr>
          </w:p>
        </w:tc>
      </w:tr>
      <w:tr w14:paraId="1155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643A6C17">
            <w:pPr>
              <w:snapToGrid w:val="0"/>
              <w:jc w:val="center"/>
              <w:rPr>
                <w:rFonts w:ascii="宋体" w:hAnsi="宋体"/>
                <w:color w:val="auto"/>
                <w:sz w:val="21"/>
                <w:szCs w:val="21"/>
              </w:rPr>
            </w:pPr>
          </w:p>
        </w:tc>
        <w:tc>
          <w:tcPr>
            <w:tcW w:w="851" w:type="dxa"/>
            <w:vMerge w:val="continue"/>
            <w:vAlign w:val="center"/>
          </w:tcPr>
          <w:p w14:paraId="4DE73C2C">
            <w:pPr>
              <w:snapToGrid w:val="0"/>
              <w:rPr>
                <w:rFonts w:ascii="宋体" w:hAnsi="宋体" w:cs="仿宋_GB2312"/>
                <w:color w:val="auto"/>
                <w:sz w:val="21"/>
                <w:szCs w:val="21"/>
                <w:lang w:val="zh-CN"/>
              </w:rPr>
            </w:pPr>
          </w:p>
        </w:tc>
        <w:tc>
          <w:tcPr>
            <w:tcW w:w="3260" w:type="dxa"/>
            <w:vAlign w:val="center"/>
          </w:tcPr>
          <w:p w14:paraId="6BB7703F">
            <w:pPr>
              <w:snapToGrid w:val="0"/>
              <w:rPr>
                <w:rFonts w:ascii="宋体" w:hAnsi="宋体" w:cs="仿宋_GB2312"/>
                <w:color w:val="auto"/>
                <w:sz w:val="21"/>
                <w:szCs w:val="21"/>
                <w:lang w:val="zh-CN"/>
              </w:rPr>
            </w:pPr>
            <w:r>
              <w:rPr>
                <w:rFonts w:hint="eastAsia" w:ascii="宋体" w:hAnsi="宋体" w:cs="仿宋_GB2312"/>
                <w:color w:val="auto"/>
                <w:sz w:val="21"/>
                <w:szCs w:val="21"/>
                <w:lang w:val="zh-CN"/>
              </w:rPr>
              <w:t>4.有依法缴纳税收的良好记录</w:t>
            </w:r>
          </w:p>
        </w:tc>
        <w:tc>
          <w:tcPr>
            <w:tcW w:w="4740" w:type="dxa"/>
            <w:vMerge w:val="continue"/>
            <w:vAlign w:val="center"/>
          </w:tcPr>
          <w:p w14:paraId="7F2FFD3C">
            <w:pPr>
              <w:snapToGrid w:val="0"/>
              <w:rPr>
                <w:rFonts w:ascii="宋体" w:hAnsi="宋体"/>
                <w:color w:val="auto"/>
                <w:sz w:val="21"/>
                <w:szCs w:val="21"/>
              </w:rPr>
            </w:pPr>
          </w:p>
        </w:tc>
      </w:tr>
      <w:tr w14:paraId="61A6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14:paraId="60910922">
            <w:pPr>
              <w:snapToGrid w:val="0"/>
              <w:jc w:val="center"/>
              <w:rPr>
                <w:rFonts w:ascii="宋体" w:hAnsi="宋体"/>
                <w:color w:val="auto"/>
                <w:sz w:val="21"/>
                <w:szCs w:val="21"/>
              </w:rPr>
            </w:pPr>
          </w:p>
        </w:tc>
        <w:tc>
          <w:tcPr>
            <w:tcW w:w="851" w:type="dxa"/>
            <w:vMerge w:val="continue"/>
            <w:vAlign w:val="center"/>
          </w:tcPr>
          <w:p w14:paraId="557CE1F8">
            <w:pPr>
              <w:snapToGrid w:val="0"/>
              <w:rPr>
                <w:rFonts w:ascii="宋体" w:hAnsi="宋体" w:cs="仿宋_GB2312"/>
                <w:color w:val="auto"/>
                <w:sz w:val="21"/>
                <w:szCs w:val="21"/>
                <w:lang w:val="zh-CN"/>
              </w:rPr>
            </w:pPr>
          </w:p>
        </w:tc>
        <w:tc>
          <w:tcPr>
            <w:tcW w:w="3260" w:type="dxa"/>
            <w:vAlign w:val="center"/>
          </w:tcPr>
          <w:p w14:paraId="59379DE2">
            <w:pPr>
              <w:snapToGrid w:val="0"/>
              <w:rPr>
                <w:rFonts w:ascii="宋体" w:hAnsi="宋体" w:cs="仿宋_GB2312"/>
                <w:color w:val="auto"/>
                <w:sz w:val="21"/>
                <w:szCs w:val="21"/>
                <w:lang w:val="zh-CN"/>
              </w:rPr>
            </w:pPr>
            <w:r>
              <w:rPr>
                <w:rFonts w:hint="eastAsia" w:ascii="宋体" w:hAnsi="宋体"/>
                <w:color w:val="auto"/>
                <w:sz w:val="21"/>
                <w:szCs w:val="21"/>
              </w:rPr>
              <w:t>5.参加政府采购活动前三年内，在经营活动中没有重大违法记录</w:t>
            </w:r>
          </w:p>
        </w:tc>
        <w:tc>
          <w:tcPr>
            <w:tcW w:w="4740" w:type="dxa"/>
            <w:vMerge w:val="continue"/>
            <w:vAlign w:val="center"/>
          </w:tcPr>
          <w:p w14:paraId="43F86313">
            <w:pPr>
              <w:snapToGrid w:val="0"/>
              <w:rPr>
                <w:rFonts w:ascii="宋体" w:hAnsi="宋体"/>
                <w:b/>
                <w:color w:val="auto"/>
                <w:sz w:val="21"/>
                <w:szCs w:val="21"/>
              </w:rPr>
            </w:pPr>
          </w:p>
        </w:tc>
      </w:tr>
      <w:tr w14:paraId="3F77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0563B6B4">
            <w:pPr>
              <w:snapToGrid w:val="0"/>
              <w:jc w:val="center"/>
              <w:rPr>
                <w:rFonts w:ascii="宋体" w:hAnsi="宋体"/>
                <w:color w:val="auto"/>
                <w:sz w:val="21"/>
                <w:szCs w:val="21"/>
              </w:rPr>
            </w:pPr>
          </w:p>
        </w:tc>
        <w:tc>
          <w:tcPr>
            <w:tcW w:w="851" w:type="dxa"/>
            <w:vMerge w:val="continue"/>
            <w:vAlign w:val="center"/>
          </w:tcPr>
          <w:p w14:paraId="5C18DFE6">
            <w:pPr>
              <w:snapToGrid w:val="0"/>
              <w:rPr>
                <w:rFonts w:ascii="宋体" w:hAnsi="宋体" w:cs="仿宋_GB2312"/>
                <w:color w:val="auto"/>
                <w:sz w:val="21"/>
                <w:szCs w:val="21"/>
                <w:lang w:val="zh-CN"/>
              </w:rPr>
            </w:pPr>
          </w:p>
        </w:tc>
        <w:tc>
          <w:tcPr>
            <w:tcW w:w="3260" w:type="dxa"/>
            <w:vAlign w:val="center"/>
          </w:tcPr>
          <w:p w14:paraId="225059AB">
            <w:pPr>
              <w:snapToGrid w:val="0"/>
              <w:rPr>
                <w:rFonts w:ascii="宋体" w:hAnsi="宋体"/>
                <w:color w:val="auto"/>
                <w:sz w:val="21"/>
                <w:szCs w:val="21"/>
              </w:rPr>
            </w:pPr>
            <w:r>
              <w:rPr>
                <w:rFonts w:hint="eastAsia" w:ascii="宋体" w:hAnsi="宋体"/>
                <w:color w:val="auto"/>
                <w:sz w:val="21"/>
                <w:szCs w:val="21"/>
              </w:rPr>
              <w:t>6.法律、行政法规规定的其他条件</w:t>
            </w:r>
          </w:p>
        </w:tc>
        <w:tc>
          <w:tcPr>
            <w:tcW w:w="4740" w:type="dxa"/>
            <w:vAlign w:val="center"/>
          </w:tcPr>
          <w:p w14:paraId="593DB967">
            <w:pPr>
              <w:snapToGrid w:val="0"/>
              <w:rPr>
                <w:rFonts w:ascii="宋体" w:hAnsi="宋体"/>
                <w:color w:val="auto"/>
                <w:sz w:val="21"/>
                <w:szCs w:val="21"/>
              </w:rPr>
            </w:pPr>
          </w:p>
        </w:tc>
      </w:tr>
      <w:tr w14:paraId="2930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5C4C9BF9">
            <w:pPr>
              <w:snapToGrid w:val="0"/>
              <w:jc w:val="center"/>
              <w:rPr>
                <w:rFonts w:ascii="宋体" w:hAnsi="宋体"/>
                <w:color w:val="auto"/>
                <w:sz w:val="21"/>
                <w:szCs w:val="21"/>
              </w:rPr>
            </w:pPr>
            <w:r>
              <w:rPr>
                <w:rFonts w:hint="eastAsia" w:ascii="宋体" w:hAnsi="宋体"/>
                <w:color w:val="auto"/>
                <w:sz w:val="21"/>
                <w:szCs w:val="21"/>
              </w:rPr>
              <w:t>（二）</w:t>
            </w:r>
          </w:p>
        </w:tc>
        <w:tc>
          <w:tcPr>
            <w:tcW w:w="4111" w:type="dxa"/>
            <w:gridSpan w:val="2"/>
            <w:vAlign w:val="center"/>
          </w:tcPr>
          <w:p w14:paraId="27358558">
            <w:pPr>
              <w:snapToGrid w:val="0"/>
              <w:rPr>
                <w:rFonts w:ascii="宋体" w:hAnsi="宋体"/>
                <w:color w:val="auto"/>
                <w:sz w:val="21"/>
                <w:szCs w:val="21"/>
              </w:rPr>
            </w:pPr>
            <w:r>
              <w:rPr>
                <w:rFonts w:hint="eastAsia" w:ascii="宋体" w:hAnsi="宋体"/>
                <w:color w:val="auto"/>
                <w:sz w:val="21"/>
                <w:szCs w:val="21"/>
              </w:rPr>
              <w:t>本项目特定资格条件</w:t>
            </w:r>
          </w:p>
        </w:tc>
        <w:tc>
          <w:tcPr>
            <w:tcW w:w="4740" w:type="dxa"/>
            <w:vAlign w:val="center"/>
          </w:tcPr>
          <w:p w14:paraId="59723579">
            <w:pPr>
              <w:snapToGrid w:val="0"/>
              <w:rPr>
                <w:color w:val="auto"/>
              </w:rPr>
            </w:pPr>
            <w:r>
              <w:rPr>
                <w:rFonts w:hint="eastAsia" w:ascii="宋体" w:hAnsi="宋体"/>
                <w:color w:val="auto"/>
                <w:sz w:val="21"/>
                <w:szCs w:val="21"/>
              </w:rPr>
              <w:t>按第一篇“三、供应商资格要求（二）本项目的特定资格要求”的要求提交（如果有）。</w:t>
            </w:r>
          </w:p>
        </w:tc>
      </w:tr>
      <w:tr w14:paraId="5356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737031B5">
            <w:pPr>
              <w:snapToGrid w:val="0"/>
              <w:jc w:val="center"/>
              <w:rPr>
                <w:rFonts w:ascii="宋体" w:hAnsi="宋体"/>
                <w:color w:val="auto"/>
                <w:sz w:val="21"/>
                <w:szCs w:val="21"/>
              </w:rPr>
            </w:pPr>
            <w:r>
              <w:rPr>
                <w:rFonts w:hint="eastAsia" w:ascii="宋体" w:hAnsi="宋体"/>
                <w:color w:val="auto"/>
                <w:sz w:val="21"/>
                <w:szCs w:val="21"/>
              </w:rPr>
              <w:t>（三）</w:t>
            </w:r>
          </w:p>
        </w:tc>
        <w:tc>
          <w:tcPr>
            <w:tcW w:w="4111" w:type="dxa"/>
            <w:gridSpan w:val="2"/>
            <w:vAlign w:val="center"/>
          </w:tcPr>
          <w:p w14:paraId="7C795DEC">
            <w:pPr>
              <w:snapToGrid w:val="0"/>
              <w:rPr>
                <w:rFonts w:ascii="宋体" w:hAnsi="宋体"/>
                <w:color w:val="auto"/>
                <w:sz w:val="21"/>
                <w:szCs w:val="21"/>
              </w:rPr>
            </w:pPr>
            <w:r>
              <w:rPr>
                <w:rFonts w:hint="eastAsia" w:ascii="宋体" w:hAnsi="宋体"/>
                <w:color w:val="auto"/>
                <w:sz w:val="21"/>
                <w:szCs w:val="21"/>
              </w:rPr>
              <w:t>落实政府采购政策需满足的资格要求：</w:t>
            </w:r>
          </w:p>
        </w:tc>
        <w:tc>
          <w:tcPr>
            <w:tcW w:w="4740" w:type="dxa"/>
            <w:vAlign w:val="center"/>
          </w:tcPr>
          <w:p w14:paraId="58C572C9">
            <w:pPr>
              <w:snapToGrid w:val="0"/>
              <w:rPr>
                <w:color w:val="auto"/>
              </w:rPr>
            </w:pPr>
            <w:r>
              <w:rPr>
                <w:rFonts w:hint="eastAsia" w:ascii="宋体" w:hAnsi="宋体"/>
                <w:color w:val="auto"/>
                <w:sz w:val="21"/>
                <w:szCs w:val="21"/>
              </w:rPr>
              <w:t>按第一篇“三、供应商资格要求（三）落实政府采购政策需满足的资格要求”的要求提交（如果有）。</w:t>
            </w:r>
          </w:p>
        </w:tc>
      </w:tr>
      <w:tr w14:paraId="51C6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14:paraId="2300D408">
            <w:pPr>
              <w:snapToGrid w:val="0"/>
              <w:jc w:val="center"/>
              <w:rPr>
                <w:rFonts w:ascii="宋体" w:hAnsi="宋体"/>
                <w:color w:val="auto"/>
                <w:sz w:val="21"/>
                <w:szCs w:val="21"/>
              </w:rPr>
            </w:pPr>
            <w:r>
              <w:rPr>
                <w:rFonts w:hint="eastAsia" w:ascii="宋体" w:hAnsi="宋体"/>
                <w:color w:val="auto"/>
                <w:sz w:val="21"/>
                <w:szCs w:val="21"/>
              </w:rPr>
              <w:t>（四）</w:t>
            </w:r>
          </w:p>
        </w:tc>
        <w:tc>
          <w:tcPr>
            <w:tcW w:w="4111" w:type="dxa"/>
            <w:gridSpan w:val="2"/>
            <w:vAlign w:val="center"/>
          </w:tcPr>
          <w:p w14:paraId="16A782AB">
            <w:pPr>
              <w:snapToGrid w:val="0"/>
              <w:rPr>
                <w:rFonts w:ascii="宋体" w:hAnsi="宋体"/>
                <w:color w:val="auto"/>
                <w:sz w:val="21"/>
                <w:szCs w:val="21"/>
              </w:rPr>
            </w:pPr>
            <w:r>
              <w:rPr>
                <w:rFonts w:hint="eastAsia" w:ascii="宋体" w:hAnsi="宋体"/>
                <w:color w:val="auto"/>
                <w:sz w:val="21"/>
                <w:szCs w:val="21"/>
              </w:rPr>
              <w:t>比选保证金</w:t>
            </w:r>
          </w:p>
        </w:tc>
        <w:tc>
          <w:tcPr>
            <w:tcW w:w="4740" w:type="dxa"/>
            <w:vAlign w:val="center"/>
          </w:tcPr>
          <w:p w14:paraId="6C22E3FA">
            <w:pPr>
              <w:snapToGrid w:val="0"/>
              <w:rPr>
                <w:rFonts w:ascii="宋体" w:hAnsi="宋体" w:cs="宋体"/>
                <w:color w:val="auto"/>
                <w:sz w:val="21"/>
                <w:szCs w:val="21"/>
              </w:rPr>
            </w:pPr>
            <w:r>
              <w:rPr>
                <w:rFonts w:hint="eastAsia" w:ascii="宋体" w:hAnsi="宋体"/>
                <w:color w:val="auto"/>
                <w:sz w:val="21"/>
                <w:szCs w:val="21"/>
              </w:rPr>
              <w:t>按照采购文件的规定提交比选保证金。</w:t>
            </w:r>
          </w:p>
        </w:tc>
      </w:tr>
    </w:tbl>
    <w:p w14:paraId="19EE449C">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p>
    <w:p w14:paraId="2CFDF7E9">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1DA03465">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5C6AEA3F">
      <w:pPr>
        <w:spacing w:line="360" w:lineRule="auto"/>
        <w:ind w:firstLine="480" w:firstLineChars="200"/>
        <w:rPr>
          <w:rFonts w:ascii="宋体" w:hAnsi="宋体"/>
          <w:color w:val="auto"/>
          <w:kern w:val="0"/>
          <w:sz w:val="24"/>
          <w:szCs w:val="24"/>
        </w:rPr>
      </w:pPr>
      <w:r>
        <w:rPr>
          <w:rFonts w:hint="eastAsia" w:ascii="宋体" w:hAnsi="宋体"/>
          <w:color w:val="auto"/>
          <w:sz w:val="24"/>
          <w:szCs w:val="24"/>
        </w:rPr>
        <w:t>2.</w:t>
      </w:r>
      <w:r>
        <w:rPr>
          <w:rFonts w:hint="eastAsia" w:ascii="宋体" w:hAnsi="宋体" w:cs="宋体"/>
          <w:color w:val="auto"/>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auto"/>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463D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15539164">
            <w:pPr>
              <w:spacing w:line="240" w:lineRule="exact"/>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569" w:type="dxa"/>
            <w:gridSpan w:val="2"/>
            <w:vAlign w:val="center"/>
          </w:tcPr>
          <w:p w14:paraId="498C79F9">
            <w:pPr>
              <w:spacing w:line="240" w:lineRule="exact"/>
              <w:jc w:val="center"/>
              <w:rPr>
                <w:rFonts w:ascii="宋体" w:hAnsi="宋体" w:cs="宋体"/>
                <w:b/>
                <w:color w:val="auto"/>
                <w:kern w:val="0"/>
                <w:sz w:val="21"/>
                <w:szCs w:val="21"/>
              </w:rPr>
            </w:pPr>
            <w:r>
              <w:rPr>
                <w:rFonts w:hint="eastAsia" w:ascii="宋体" w:hAnsi="宋体" w:cs="宋体"/>
                <w:b/>
                <w:color w:val="auto"/>
                <w:kern w:val="0"/>
                <w:sz w:val="21"/>
                <w:szCs w:val="21"/>
              </w:rPr>
              <w:t>评审因素</w:t>
            </w:r>
          </w:p>
        </w:tc>
        <w:tc>
          <w:tcPr>
            <w:tcW w:w="5220" w:type="dxa"/>
            <w:vAlign w:val="center"/>
          </w:tcPr>
          <w:p w14:paraId="3BC9E6AF">
            <w:pPr>
              <w:spacing w:line="240" w:lineRule="exact"/>
              <w:jc w:val="center"/>
              <w:rPr>
                <w:rFonts w:ascii="宋体" w:hAnsi="宋体" w:cs="宋体"/>
                <w:b/>
                <w:color w:val="auto"/>
                <w:kern w:val="0"/>
                <w:sz w:val="21"/>
                <w:szCs w:val="21"/>
              </w:rPr>
            </w:pPr>
            <w:r>
              <w:rPr>
                <w:rFonts w:hint="eastAsia" w:ascii="宋体" w:hAnsi="宋体" w:cs="宋体"/>
                <w:b/>
                <w:color w:val="auto"/>
                <w:kern w:val="0"/>
                <w:sz w:val="21"/>
                <w:szCs w:val="21"/>
              </w:rPr>
              <w:t>评审标准</w:t>
            </w:r>
          </w:p>
        </w:tc>
      </w:tr>
      <w:tr w14:paraId="5730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159A60D0">
            <w:pPr>
              <w:spacing w:line="240" w:lineRule="exact"/>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3" w:type="dxa"/>
            <w:vMerge w:val="restart"/>
            <w:vAlign w:val="center"/>
          </w:tcPr>
          <w:p w14:paraId="4317CD0D">
            <w:pPr>
              <w:spacing w:line="240" w:lineRule="exact"/>
              <w:rPr>
                <w:rFonts w:ascii="宋体" w:hAnsi="宋体" w:cs="宋体"/>
                <w:color w:val="auto"/>
                <w:kern w:val="0"/>
                <w:sz w:val="21"/>
                <w:szCs w:val="21"/>
              </w:rPr>
            </w:pPr>
            <w:r>
              <w:rPr>
                <w:rFonts w:hint="eastAsia" w:ascii="宋体" w:hAnsi="宋体" w:cs="宋体"/>
                <w:color w:val="auto"/>
                <w:kern w:val="0"/>
                <w:sz w:val="21"/>
                <w:szCs w:val="21"/>
              </w:rPr>
              <w:t>有效性审查</w:t>
            </w:r>
          </w:p>
        </w:tc>
        <w:tc>
          <w:tcPr>
            <w:tcW w:w="1996" w:type="dxa"/>
            <w:vAlign w:val="center"/>
          </w:tcPr>
          <w:p w14:paraId="41FD1542">
            <w:pPr>
              <w:spacing w:line="240" w:lineRule="exact"/>
              <w:rPr>
                <w:rFonts w:ascii="宋体" w:hAnsi="宋体" w:cs="宋体"/>
                <w:color w:val="auto"/>
                <w:kern w:val="0"/>
                <w:sz w:val="21"/>
                <w:szCs w:val="21"/>
              </w:rPr>
            </w:pPr>
            <w:r>
              <w:rPr>
                <w:rFonts w:hint="eastAsia" w:ascii="宋体" w:hAnsi="宋体"/>
                <w:color w:val="auto"/>
                <w:sz w:val="21"/>
                <w:szCs w:val="21"/>
              </w:rPr>
              <w:t>响应文件签署</w:t>
            </w:r>
          </w:p>
        </w:tc>
        <w:tc>
          <w:tcPr>
            <w:tcW w:w="5220" w:type="dxa"/>
            <w:vAlign w:val="center"/>
          </w:tcPr>
          <w:p w14:paraId="50077A42">
            <w:pPr>
              <w:spacing w:line="240" w:lineRule="exact"/>
              <w:rPr>
                <w:rFonts w:ascii="宋体" w:hAnsi="宋体" w:cs="宋体"/>
                <w:color w:val="auto"/>
                <w:kern w:val="0"/>
                <w:sz w:val="21"/>
                <w:szCs w:val="21"/>
              </w:rPr>
            </w:pPr>
            <w:r>
              <w:rPr>
                <w:rFonts w:hint="eastAsia" w:ascii="宋体" w:hAnsi="宋体"/>
                <w:color w:val="auto"/>
                <w:sz w:val="21"/>
                <w:szCs w:val="21"/>
              </w:rPr>
              <w:t>响应文件按照竞争性比选文件要求签字或盖章。</w:t>
            </w:r>
          </w:p>
        </w:tc>
      </w:tr>
      <w:tr w14:paraId="280E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266009A9">
            <w:pPr>
              <w:spacing w:line="240" w:lineRule="exact"/>
              <w:jc w:val="center"/>
              <w:rPr>
                <w:rFonts w:ascii="宋体" w:hAnsi="宋体" w:cs="宋体"/>
                <w:color w:val="auto"/>
                <w:kern w:val="0"/>
                <w:sz w:val="21"/>
                <w:szCs w:val="21"/>
              </w:rPr>
            </w:pPr>
          </w:p>
        </w:tc>
        <w:tc>
          <w:tcPr>
            <w:tcW w:w="1573" w:type="dxa"/>
            <w:vMerge w:val="continue"/>
            <w:vAlign w:val="center"/>
          </w:tcPr>
          <w:p w14:paraId="78EE67CB">
            <w:pPr>
              <w:spacing w:line="240" w:lineRule="exact"/>
              <w:rPr>
                <w:rFonts w:ascii="宋体" w:hAnsi="宋体" w:cs="宋体"/>
                <w:color w:val="auto"/>
                <w:kern w:val="0"/>
                <w:sz w:val="21"/>
                <w:szCs w:val="21"/>
              </w:rPr>
            </w:pPr>
          </w:p>
        </w:tc>
        <w:tc>
          <w:tcPr>
            <w:tcW w:w="1996" w:type="dxa"/>
            <w:vAlign w:val="center"/>
          </w:tcPr>
          <w:p w14:paraId="048161B4">
            <w:pPr>
              <w:spacing w:line="240" w:lineRule="exact"/>
              <w:rPr>
                <w:rFonts w:ascii="宋体" w:hAnsi="宋体" w:cs="仿宋_GB2312"/>
                <w:color w:val="auto"/>
                <w:sz w:val="21"/>
                <w:szCs w:val="21"/>
                <w:lang w:val="zh-CN"/>
              </w:rPr>
            </w:pPr>
            <w:r>
              <w:rPr>
                <w:rFonts w:hint="eastAsia" w:ascii="宋体" w:hAnsi="宋体" w:cs="仿宋_GB2312"/>
                <w:color w:val="auto"/>
                <w:sz w:val="21"/>
                <w:szCs w:val="21"/>
                <w:lang w:val="zh-CN"/>
              </w:rPr>
              <w:t>比选方案</w:t>
            </w:r>
          </w:p>
        </w:tc>
        <w:tc>
          <w:tcPr>
            <w:tcW w:w="5220" w:type="dxa"/>
            <w:vAlign w:val="center"/>
          </w:tcPr>
          <w:p w14:paraId="537AB5A1">
            <w:pPr>
              <w:spacing w:line="240" w:lineRule="exact"/>
              <w:rPr>
                <w:rFonts w:ascii="宋体" w:hAnsi="宋体" w:cs="宋体"/>
                <w:color w:val="auto"/>
                <w:kern w:val="0"/>
                <w:sz w:val="21"/>
                <w:szCs w:val="21"/>
              </w:rPr>
            </w:pPr>
            <w:r>
              <w:rPr>
                <w:rFonts w:hint="eastAsia" w:ascii="宋体" w:hAnsi="宋体" w:cs="仿宋_GB2312"/>
                <w:color w:val="auto"/>
                <w:sz w:val="21"/>
                <w:szCs w:val="21"/>
                <w:lang w:val="zh-CN"/>
              </w:rPr>
              <w:t>只能有一个方案参与比选。</w:t>
            </w:r>
          </w:p>
        </w:tc>
      </w:tr>
      <w:tr w14:paraId="45CA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14:paraId="05653B98">
            <w:pPr>
              <w:spacing w:line="240" w:lineRule="exact"/>
              <w:jc w:val="center"/>
              <w:rPr>
                <w:rFonts w:ascii="宋体" w:hAnsi="宋体" w:cs="宋体"/>
                <w:color w:val="auto"/>
                <w:kern w:val="0"/>
                <w:sz w:val="21"/>
                <w:szCs w:val="21"/>
              </w:rPr>
            </w:pPr>
          </w:p>
        </w:tc>
        <w:tc>
          <w:tcPr>
            <w:tcW w:w="1573" w:type="dxa"/>
            <w:vMerge w:val="continue"/>
            <w:vAlign w:val="center"/>
          </w:tcPr>
          <w:p w14:paraId="3EAAFE1C">
            <w:pPr>
              <w:spacing w:line="240" w:lineRule="exact"/>
              <w:rPr>
                <w:rFonts w:ascii="宋体" w:hAnsi="宋体" w:cs="宋体"/>
                <w:color w:val="auto"/>
                <w:kern w:val="0"/>
                <w:sz w:val="21"/>
                <w:szCs w:val="21"/>
              </w:rPr>
            </w:pPr>
          </w:p>
        </w:tc>
        <w:tc>
          <w:tcPr>
            <w:tcW w:w="1996" w:type="dxa"/>
            <w:vAlign w:val="center"/>
          </w:tcPr>
          <w:p w14:paraId="209B0AE2">
            <w:pPr>
              <w:spacing w:line="240" w:lineRule="exact"/>
              <w:rPr>
                <w:rFonts w:ascii="宋体" w:hAnsi="宋体" w:cs="仿宋_GB2312"/>
                <w:color w:val="auto"/>
                <w:sz w:val="21"/>
                <w:szCs w:val="21"/>
                <w:lang w:val="zh-CN"/>
              </w:rPr>
            </w:pPr>
            <w:r>
              <w:rPr>
                <w:rFonts w:hint="eastAsia" w:ascii="宋体" w:hAnsi="宋体"/>
                <w:color w:val="auto"/>
                <w:sz w:val="21"/>
                <w:szCs w:val="21"/>
              </w:rPr>
              <w:t>报价唯一</w:t>
            </w:r>
          </w:p>
        </w:tc>
        <w:tc>
          <w:tcPr>
            <w:tcW w:w="5220" w:type="dxa"/>
            <w:vAlign w:val="center"/>
          </w:tcPr>
          <w:p w14:paraId="5A6A719D">
            <w:pPr>
              <w:spacing w:line="240" w:lineRule="exact"/>
              <w:rPr>
                <w:rFonts w:ascii="宋体" w:hAnsi="宋体" w:cs="宋体"/>
                <w:color w:val="auto"/>
                <w:kern w:val="0"/>
                <w:sz w:val="21"/>
                <w:szCs w:val="21"/>
              </w:rPr>
            </w:pPr>
            <w:r>
              <w:rPr>
                <w:rFonts w:hint="eastAsia" w:ascii="宋体" w:hAnsi="宋体" w:cs="仿宋_GB2312"/>
                <w:color w:val="auto"/>
                <w:sz w:val="21"/>
                <w:szCs w:val="21"/>
                <w:lang w:val="zh-CN"/>
              </w:rPr>
              <w:t>只能在采购预算范围内报价，</w:t>
            </w:r>
            <w:r>
              <w:rPr>
                <w:rFonts w:hint="eastAsia" w:ascii="宋体" w:hAnsi="宋体"/>
                <w:color w:val="auto"/>
                <w:sz w:val="21"/>
                <w:szCs w:val="21"/>
              </w:rPr>
              <w:t>只能有一个有效报价，不得提交选择性报价。</w:t>
            </w:r>
          </w:p>
        </w:tc>
      </w:tr>
      <w:tr w14:paraId="29DB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6D888B01">
            <w:pPr>
              <w:spacing w:line="240" w:lineRule="exact"/>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3" w:type="dxa"/>
            <w:vAlign w:val="center"/>
          </w:tcPr>
          <w:p w14:paraId="048F8BCE">
            <w:pPr>
              <w:spacing w:line="240" w:lineRule="exact"/>
              <w:rPr>
                <w:rFonts w:ascii="宋体" w:hAnsi="宋体" w:cs="宋体"/>
                <w:color w:val="auto"/>
                <w:kern w:val="0"/>
                <w:sz w:val="21"/>
                <w:szCs w:val="21"/>
              </w:rPr>
            </w:pPr>
            <w:r>
              <w:rPr>
                <w:rFonts w:hint="eastAsia" w:ascii="宋体" w:hAnsi="宋体" w:cs="宋体"/>
                <w:color w:val="auto"/>
                <w:kern w:val="0"/>
                <w:sz w:val="21"/>
                <w:szCs w:val="21"/>
              </w:rPr>
              <w:t>完整性审查</w:t>
            </w:r>
          </w:p>
        </w:tc>
        <w:tc>
          <w:tcPr>
            <w:tcW w:w="1996" w:type="dxa"/>
            <w:vAlign w:val="center"/>
          </w:tcPr>
          <w:p w14:paraId="4C93531F">
            <w:pPr>
              <w:spacing w:line="240" w:lineRule="exact"/>
              <w:rPr>
                <w:rFonts w:ascii="宋体" w:hAnsi="宋体" w:cs="宋体"/>
                <w:color w:val="auto"/>
                <w:kern w:val="0"/>
                <w:sz w:val="21"/>
                <w:szCs w:val="21"/>
              </w:rPr>
            </w:pPr>
            <w:r>
              <w:rPr>
                <w:rFonts w:hint="eastAsia" w:ascii="宋体" w:hAnsi="宋体" w:cs="仿宋_GB2312"/>
                <w:color w:val="auto"/>
                <w:sz w:val="21"/>
                <w:szCs w:val="21"/>
                <w:lang w:val="zh-CN"/>
              </w:rPr>
              <w:t>响应文件份数</w:t>
            </w:r>
          </w:p>
        </w:tc>
        <w:tc>
          <w:tcPr>
            <w:tcW w:w="5220" w:type="dxa"/>
            <w:vAlign w:val="center"/>
          </w:tcPr>
          <w:p w14:paraId="408EA330">
            <w:pPr>
              <w:spacing w:line="240" w:lineRule="exact"/>
              <w:rPr>
                <w:rFonts w:ascii="宋体" w:hAnsi="宋体" w:cs="宋体"/>
                <w:color w:val="auto"/>
                <w:kern w:val="0"/>
                <w:sz w:val="21"/>
                <w:szCs w:val="21"/>
              </w:rPr>
            </w:pPr>
            <w:r>
              <w:rPr>
                <w:rFonts w:hint="eastAsia" w:ascii="宋体" w:hAnsi="宋体" w:cs="仿宋_GB2312"/>
                <w:color w:val="auto"/>
                <w:sz w:val="21"/>
                <w:szCs w:val="21"/>
                <w:lang w:val="zh-CN"/>
              </w:rPr>
              <w:t>响应文件正、副本（含电子文档）数量符合竞争性比选文件要求。</w:t>
            </w:r>
          </w:p>
        </w:tc>
      </w:tr>
      <w:tr w14:paraId="02BE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7397BEEA">
            <w:pPr>
              <w:spacing w:line="240" w:lineRule="exact"/>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3" w:type="dxa"/>
            <w:vMerge w:val="restart"/>
            <w:vAlign w:val="center"/>
          </w:tcPr>
          <w:p w14:paraId="77611E29">
            <w:pPr>
              <w:spacing w:line="240" w:lineRule="exact"/>
              <w:rPr>
                <w:rFonts w:ascii="宋体" w:hAnsi="宋体" w:cs="仿宋_GB2312"/>
                <w:color w:val="auto"/>
                <w:sz w:val="21"/>
                <w:szCs w:val="21"/>
                <w:lang w:val="zh-CN"/>
              </w:rPr>
            </w:pPr>
            <w:r>
              <w:rPr>
                <w:rFonts w:hint="eastAsia" w:ascii="宋体" w:hAnsi="宋体" w:cs="宋体"/>
                <w:color w:val="auto"/>
                <w:kern w:val="0"/>
                <w:sz w:val="21"/>
                <w:szCs w:val="21"/>
              </w:rPr>
              <w:t>竞争性比选文件的响应程度审查</w:t>
            </w:r>
          </w:p>
        </w:tc>
        <w:tc>
          <w:tcPr>
            <w:tcW w:w="1996" w:type="dxa"/>
            <w:vAlign w:val="center"/>
          </w:tcPr>
          <w:p w14:paraId="09E449B1">
            <w:pPr>
              <w:spacing w:line="240" w:lineRule="exact"/>
              <w:rPr>
                <w:rFonts w:ascii="宋体" w:hAnsi="宋体" w:cs="宋体"/>
                <w:color w:val="auto"/>
                <w:kern w:val="0"/>
                <w:sz w:val="21"/>
                <w:szCs w:val="21"/>
              </w:rPr>
            </w:pPr>
            <w:r>
              <w:rPr>
                <w:rFonts w:hint="eastAsia" w:ascii="宋体" w:hAnsi="宋体" w:cs="宋体"/>
                <w:color w:val="auto"/>
                <w:kern w:val="0"/>
                <w:sz w:val="21"/>
                <w:szCs w:val="21"/>
              </w:rPr>
              <w:t>响应文件内容</w:t>
            </w:r>
          </w:p>
        </w:tc>
        <w:tc>
          <w:tcPr>
            <w:tcW w:w="5220" w:type="dxa"/>
            <w:vAlign w:val="center"/>
          </w:tcPr>
          <w:p w14:paraId="080C4ADF">
            <w:pPr>
              <w:pStyle w:val="33"/>
              <w:spacing w:line="240" w:lineRule="exact"/>
              <w:rPr>
                <w:rFonts w:ascii="宋体" w:hAnsi="宋体" w:cs="宋体"/>
                <w:color w:val="auto"/>
                <w:kern w:val="0"/>
                <w:sz w:val="21"/>
                <w:szCs w:val="21"/>
              </w:rPr>
            </w:pPr>
            <w:r>
              <w:rPr>
                <w:rFonts w:hint="eastAsia" w:ascii="宋体" w:hAnsi="宋体" w:cs="仿宋_GB2312"/>
                <w:color w:val="auto"/>
                <w:sz w:val="21"/>
                <w:szCs w:val="21"/>
                <w:lang w:val="zh-CN"/>
              </w:rPr>
              <w:t>满足本竞争性比选文件第二篇、第三篇中（※）号标注的部分要求</w:t>
            </w:r>
          </w:p>
        </w:tc>
      </w:tr>
      <w:tr w14:paraId="0ED9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52EEC9BF">
            <w:pPr>
              <w:spacing w:line="240" w:lineRule="exact"/>
              <w:jc w:val="center"/>
              <w:rPr>
                <w:rFonts w:ascii="宋体" w:hAnsi="宋体" w:cs="宋体"/>
                <w:color w:val="auto"/>
                <w:kern w:val="0"/>
                <w:sz w:val="21"/>
                <w:szCs w:val="21"/>
              </w:rPr>
            </w:pPr>
          </w:p>
        </w:tc>
        <w:tc>
          <w:tcPr>
            <w:tcW w:w="1573" w:type="dxa"/>
            <w:vMerge w:val="continue"/>
            <w:vAlign w:val="center"/>
          </w:tcPr>
          <w:p w14:paraId="26E61BD8">
            <w:pPr>
              <w:spacing w:line="240" w:lineRule="exact"/>
              <w:rPr>
                <w:rFonts w:ascii="宋体" w:hAnsi="宋体" w:cs="仿宋_GB2312"/>
                <w:color w:val="auto"/>
                <w:sz w:val="21"/>
                <w:szCs w:val="21"/>
                <w:lang w:val="zh-CN"/>
              </w:rPr>
            </w:pPr>
          </w:p>
        </w:tc>
        <w:tc>
          <w:tcPr>
            <w:tcW w:w="1996" w:type="dxa"/>
            <w:vAlign w:val="center"/>
          </w:tcPr>
          <w:p w14:paraId="35ED9744">
            <w:pPr>
              <w:spacing w:line="240" w:lineRule="exact"/>
              <w:rPr>
                <w:rFonts w:ascii="宋体" w:hAnsi="宋体" w:cs="宋体"/>
                <w:color w:val="auto"/>
                <w:kern w:val="0"/>
                <w:sz w:val="21"/>
                <w:szCs w:val="21"/>
              </w:rPr>
            </w:pPr>
            <w:r>
              <w:rPr>
                <w:rFonts w:hint="eastAsia" w:ascii="宋体" w:hAnsi="宋体" w:cs="宋体"/>
                <w:color w:val="auto"/>
                <w:kern w:val="0"/>
                <w:sz w:val="21"/>
                <w:szCs w:val="21"/>
              </w:rPr>
              <w:t>比选有效期</w:t>
            </w:r>
          </w:p>
        </w:tc>
        <w:tc>
          <w:tcPr>
            <w:tcW w:w="5220" w:type="dxa"/>
            <w:vAlign w:val="center"/>
          </w:tcPr>
          <w:p w14:paraId="23568161">
            <w:pPr>
              <w:spacing w:line="240" w:lineRule="exact"/>
              <w:rPr>
                <w:rFonts w:ascii="宋体" w:hAnsi="宋体" w:cs="宋体"/>
                <w:color w:val="auto"/>
                <w:kern w:val="0"/>
                <w:sz w:val="21"/>
                <w:szCs w:val="21"/>
              </w:rPr>
            </w:pPr>
            <w:r>
              <w:rPr>
                <w:rFonts w:hint="eastAsia" w:ascii="宋体" w:hAnsi="宋体" w:cs="宋体"/>
                <w:color w:val="auto"/>
                <w:kern w:val="0"/>
                <w:sz w:val="21"/>
                <w:szCs w:val="21"/>
              </w:rPr>
              <w:t>满足竞争性比选文件</w:t>
            </w:r>
            <w:r>
              <w:rPr>
                <w:rFonts w:hint="eastAsia" w:ascii="宋体" w:hAnsi="宋体" w:cs="仿宋_GB2312"/>
                <w:color w:val="auto"/>
                <w:sz w:val="21"/>
                <w:szCs w:val="21"/>
                <w:lang w:val="zh-CN"/>
              </w:rPr>
              <w:t>规定。</w:t>
            </w:r>
          </w:p>
        </w:tc>
      </w:tr>
    </w:tbl>
    <w:p w14:paraId="06BCCAAC">
      <w:pPr>
        <w:spacing w:line="360" w:lineRule="auto"/>
        <w:ind w:firstLine="480" w:firstLineChars="200"/>
        <w:rPr>
          <w:rFonts w:ascii="宋体" w:hAnsi="宋体"/>
          <w:color w:val="auto"/>
          <w:sz w:val="24"/>
          <w:szCs w:val="24"/>
        </w:rPr>
      </w:pPr>
      <w:r>
        <w:rPr>
          <w:rFonts w:hint="eastAsia" w:ascii="宋体" w:hAnsi="宋体"/>
          <w:color w:val="auto"/>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AD5249">
      <w:pPr>
        <w:spacing w:line="360" w:lineRule="auto"/>
        <w:ind w:firstLine="480" w:firstLineChars="200"/>
        <w:rPr>
          <w:rFonts w:ascii="宋体" w:hAnsi="宋体"/>
          <w:color w:val="auto"/>
          <w:sz w:val="24"/>
          <w:szCs w:val="24"/>
        </w:rPr>
      </w:pPr>
      <w:r>
        <w:rPr>
          <w:rFonts w:hint="eastAsia" w:ascii="宋体" w:hAnsi="宋体"/>
          <w:color w:val="auto"/>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F327732">
      <w:pPr>
        <w:spacing w:line="360" w:lineRule="auto"/>
        <w:ind w:firstLine="480" w:firstLineChars="200"/>
        <w:rPr>
          <w:rFonts w:ascii="宋体" w:hAnsi="宋体"/>
          <w:color w:val="auto"/>
          <w:sz w:val="24"/>
          <w:szCs w:val="24"/>
        </w:rPr>
      </w:pPr>
      <w:r>
        <w:rPr>
          <w:rFonts w:hint="eastAsia" w:ascii="宋体" w:hAnsi="宋体"/>
          <w:color w:val="auto"/>
          <w:sz w:val="24"/>
          <w:szCs w:val="24"/>
        </w:rPr>
        <w:t>5.在比选过程中比选的任何一方不得向他人透露与比选有关的技术资料、价格或其他信息。</w:t>
      </w:r>
    </w:p>
    <w:p w14:paraId="271989BA">
      <w:pPr>
        <w:spacing w:line="360" w:lineRule="auto"/>
        <w:ind w:firstLine="480" w:firstLineChars="200"/>
        <w:rPr>
          <w:rFonts w:ascii="宋体" w:hAnsi="宋体"/>
          <w:color w:val="auto"/>
          <w:sz w:val="24"/>
          <w:szCs w:val="24"/>
        </w:rPr>
      </w:pPr>
      <w:r>
        <w:rPr>
          <w:rFonts w:ascii="宋体" w:hAnsi="宋体"/>
          <w:color w:val="auto"/>
          <w:sz w:val="24"/>
          <w:szCs w:val="24"/>
        </w:rPr>
        <w:t>6</w:t>
      </w:r>
      <w:r>
        <w:rPr>
          <w:rFonts w:hint="eastAsia" w:ascii="宋体" w:hAnsi="宋体"/>
          <w:color w:val="auto"/>
          <w:sz w:val="24"/>
          <w:szCs w:val="24"/>
        </w:rPr>
        <w:t>.供应商在比选时作出的所有书面承诺须由法定代表人或其授权代表签字。</w:t>
      </w:r>
    </w:p>
    <w:p w14:paraId="5F4C6364">
      <w:pPr>
        <w:spacing w:line="360" w:lineRule="auto"/>
        <w:ind w:firstLine="480" w:firstLineChars="200"/>
        <w:rPr>
          <w:rFonts w:ascii="宋体" w:hAnsi="宋体"/>
          <w:color w:val="auto"/>
          <w:sz w:val="24"/>
          <w:szCs w:val="24"/>
        </w:rPr>
      </w:pPr>
      <w:r>
        <w:rPr>
          <w:rFonts w:ascii="宋体" w:hAnsi="宋体"/>
          <w:color w:val="auto"/>
          <w:sz w:val="24"/>
          <w:szCs w:val="24"/>
        </w:rPr>
        <w:t>7</w:t>
      </w:r>
      <w:r>
        <w:rPr>
          <w:rFonts w:hint="eastAsia" w:ascii="宋体" w:hAnsi="宋体"/>
          <w:color w:val="auto"/>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09F21430">
      <w:pPr>
        <w:spacing w:line="360" w:lineRule="auto"/>
        <w:ind w:firstLine="480" w:firstLineChars="200"/>
        <w:rPr>
          <w:rFonts w:ascii="宋体" w:hAnsi="宋体"/>
          <w:color w:val="auto"/>
          <w:sz w:val="24"/>
          <w:szCs w:val="24"/>
        </w:rPr>
      </w:pPr>
      <w:r>
        <w:rPr>
          <w:rFonts w:ascii="宋体" w:hAnsi="宋体"/>
          <w:color w:val="auto"/>
          <w:sz w:val="24"/>
          <w:szCs w:val="24"/>
        </w:rPr>
        <w:t>8</w:t>
      </w:r>
      <w:r>
        <w:rPr>
          <w:rFonts w:hint="eastAsia" w:ascii="宋体" w:hAnsi="宋体"/>
          <w:color w:val="auto"/>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5A4970B1">
      <w:pPr>
        <w:pStyle w:val="6"/>
        <w:spacing w:before="0" w:after="0" w:line="440" w:lineRule="exact"/>
        <w:ind w:firstLine="480" w:firstLineChars="200"/>
        <w:rPr>
          <w:rFonts w:ascii="宋体" w:hAnsi="宋体"/>
          <w:color w:val="auto"/>
          <w:sz w:val="24"/>
          <w:szCs w:val="24"/>
        </w:rPr>
      </w:pPr>
      <w:bookmarkStart w:id="98" w:name="_Toc32495"/>
      <w:r>
        <w:rPr>
          <w:rFonts w:hint="eastAsia" w:ascii="宋体" w:hAnsi="宋体"/>
          <w:color w:val="auto"/>
          <w:sz w:val="24"/>
          <w:szCs w:val="24"/>
        </w:rPr>
        <w:t>二、</w:t>
      </w:r>
      <w:bookmarkStart w:id="99" w:name="_Toc342913394"/>
      <w:bookmarkStart w:id="100" w:name="_Toc102227320"/>
      <w:r>
        <w:rPr>
          <w:rFonts w:hint="eastAsia" w:ascii="宋体" w:hAnsi="宋体"/>
          <w:color w:val="auto"/>
          <w:sz w:val="24"/>
          <w:szCs w:val="24"/>
        </w:rPr>
        <w:t>评审标准</w:t>
      </w:r>
      <w:bookmarkEnd w:id="98"/>
    </w:p>
    <w:tbl>
      <w:tblPr>
        <w:tblStyle w:val="58"/>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107"/>
        <w:gridCol w:w="860"/>
        <w:gridCol w:w="5131"/>
        <w:gridCol w:w="1963"/>
      </w:tblGrid>
      <w:tr w14:paraId="6EAF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3" w:hRule="atLeast"/>
        </w:trPr>
        <w:tc>
          <w:tcPr>
            <w:tcW w:w="585" w:type="dxa"/>
            <w:vAlign w:val="center"/>
          </w:tcPr>
          <w:p w14:paraId="133B416D">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序号</w:t>
            </w:r>
          </w:p>
        </w:tc>
        <w:tc>
          <w:tcPr>
            <w:tcW w:w="1107" w:type="dxa"/>
            <w:vAlign w:val="center"/>
          </w:tcPr>
          <w:p w14:paraId="6CBC9459">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评分因素</w:t>
            </w:r>
          </w:p>
          <w:p w14:paraId="36830FF4">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及权值</w:t>
            </w:r>
          </w:p>
        </w:tc>
        <w:tc>
          <w:tcPr>
            <w:tcW w:w="860" w:type="dxa"/>
            <w:vAlign w:val="center"/>
          </w:tcPr>
          <w:p w14:paraId="4EE7B331">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分值</w:t>
            </w:r>
          </w:p>
        </w:tc>
        <w:tc>
          <w:tcPr>
            <w:tcW w:w="5131" w:type="dxa"/>
            <w:vAlign w:val="center"/>
          </w:tcPr>
          <w:p w14:paraId="41AD832A">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评分标准</w:t>
            </w:r>
          </w:p>
        </w:tc>
        <w:tc>
          <w:tcPr>
            <w:tcW w:w="1963" w:type="dxa"/>
            <w:vAlign w:val="center"/>
          </w:tcPr>
          <w:p w14:paraId="2F9AEA45">
            <w:pPr>
              <w:pStyle w:val="249"/>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说明</w:t>
            </w:r>
          </w:p>
        </w:tc>
      </w:tr>
      <w:tr w14:paraId="22E5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585" w:type="dxa"/>
            <w:vAlign w:val="center"/>
          </w:tcPr>
          <w:p w14:paraId="6D71B037">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1107" w:type="dxa"/>
            <w:vAlign w:val="center"/>
          </w:tcPr>
          <w:p w14:paraId="64EC10E3">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比选报价</w:t>
            </w:r>
          </w:p>
          <w:p w14:paraId="15972158">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（20%）</w:t>
            </w:r>
          </w:p>
        </w:tc>
        <w:tc>
          <w:tcPr>
            <w:tcW w:w="860" w:type="dxa"/>
            <w:vAlign w:val="center"/>
          </w:tcPr>
          <w:p w14:paraId="02F767DC">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20分</w:t>
            </w:r>
          </w:p>
        </w:tc>
        <w:tc>
          <w:tcPr>
            <w:tcW w:w="5131" w:type="dxa"/>
            <w:vAlign w:val="center"/>
          </w:tcPr>
          <w:p w14:paraId="1A4AFF5D">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满足比选文件要求且报价最低的供应商的价格为比选基准价，其价格分为满分。按照下列公式计算每个供应商的比选报价得分。</w:t>
            </w:r>
          </w:p>
          <w:p w14:paraId="05B9AB19">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比选报价得分=（比选基准价/比选报价）×价格权值×100</w:t>
            </w:r>
          </w:p>
        </w:tc>
        <w:tc>
          <w:tcPr>
            <w:tcW w:w="1963" w:type="dxa"/>
            <w:vAlign w:val="center"/>
          </w:tcPr>
          <w:p w14:paraId="22BAD44F">
            <w:pPr>
              <w:keepNext w:val="0"/>
              <w:keepLines w:val="0"/>
              <w:pageBreakBefore w:val="0"/>
              <w:kinsoku/>
              <w:wordWrap/>
              <w:overflowPunct/>
              <w:topLinePunct w:val="0"/>
              <w:autoSpaceDE/>
              <w:autoSpaceDN/>
              <w:bidi w:val="0"/>
              <w:adjustRightInd/>
              <w:snapToGrid/>
              <w:spacing w:line="240" w:lineRule="auto"/>
              <w:ind w:left="-38"/>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对小微企业的价格用扣除后的价格参与评审，详见“关于小微企业报价扣除比例说明”</w:t>
            </w:r>
          </w:p>
        </w:tc>
      </w:tr>
      <w:tr w14:paraId="3B8E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30" w:hRule="atLeast"/>
        </w:trPr>
        <w:tc>
          <w:tcPr>
            <w:tcW w:w="585" w:type="dxa"/>
            <w:vMerge w:val="restart"/>
            <w:vAlign w:val="center"/>
          </w:tcPr>
          <w:p w14:paraId="6A8C6898">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1107" w:type="dxa"/>
            <w:vMerge w:val="restart"/>
            <w:vAlign w:val="center"/>
          </w:tcPr>
          <w:p w14:paraId="2A76A412">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技术部分</w:t>
            </w:r>
          </w:p>
          <w:p w14:paraId="46E88576">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color w:val="auto"/>
                <w:sz w:val="21"/>
                <w:szCs w:val="21"/>
                <w:lang w:val="en-US" w:eastAsia="zh-CN"/>
              </w:rPr>
              <w:t>46</w:t>
            </w:r>
            <w:r>
              <w:rPr>
                <w:rFonts w:hint="eastAsia" w:asciiTheme="majorEastAsia" w:hAnsiTheme="majorEastAsia" w:eastAsiaTheme="majorEastAsia" w:cstheme="majorEastAsia"/>
                <w:color w:val="auto"/>
                <w:sz w:val="21"/>
                <w:szCs w:val="21"/>
              </w:rPr>
              <w:t>%）</w:t>
            </w:r>
          </w:p>
        </w:tc>
        <w:tc>
          <w:tcPr>
            <w:tcW w:w="860" w:type="dxa"/>
            <w:vMerge w:val="restart"/>
            <w:vAlign w:val="center"/>
          </w:tcPr>
          <w:p w14:paraId="0D634DE4">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服务方案</w:t>
            </w:r>
          </w:p>
          <w:p w14:paraId="57F4B53E">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w:t>
            </w:r>
            <w:r>
              <w:rPr>
                <w:rFonts w:hint="eastAsia" w:asciiTheme="majorEastAsia" w:hAnsiTheme="majorEastAsia" w:eastAsiaTheme="majorEastAsia" w:cstheme="majorEastAsia"/>
                <w:color w:val="auto"/>
                <w:sz w:val="21"/>
                <w:szCs w:val="21"/>
                <w:lang w:val="en-US" w:eastAsia="zh-CN"/>
              </w:rPr>
              <w:t>6</w:t>
            </w:r>
            <w:r>
              <w:rPr>
                <w:rFonts w:hint="eastAsia" w:asciiTheme="majorEastAsia" w:hAnsiTheme="majorEastAsia" w:eastAsiaTheme="majorEastAsia" w:cstheme="majorEastAsia"/>
                <w:color w:val="auto"/>
                <w:sz w:val="21"/>
                <w:szCs w:val="21"/>
              </w:rPr>
              <w:t>分</w:t>
            </w:r>
          </w:p>
        </w:tc>
        <w:tc>
          <w:tcPr>
            <w:tcW w:w="5131" w:type="dxa"/>
            <w:vAlign w:val="center"/>
          </w:tcPr>
          <w:p w14:paraId="7E658D68">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1．工作方案（1</w:t>
            </w:r>
            <w:r>
              <w:rPr>
                <w:rFonts w:hint="eastAsia" w:asciiTheme="majorEastAsia" w:hAnsiTheme="majorEastAsia" w:eastAsiaTheme="majorEastAsia" w:cstheme="majorEastAsia"/>
                <w:color w:val="auto"/>
                <w:sz w:val="21"/>
                <w:szCs w:val="21"/>
                <w:lang w:val="en-US" w:eastAsia="zh-CN"/>
              </w:rPr>
              <w:t>8</w:t>
            </w:r>
            <w:r>
              <w:rPr>
                <w:rFonts w:hint="eastAsia" w:asciiTheme="majorEastAsia" w:hAnsiTheme="majorEastAsia" w:eastAsiaTheme="majorEastAsia" w:cstheme="majorEastAsia"/>
                <w:color w:val="auto"/>
                <w:sz w:val="21"/>
                <w:szCs w:val="21"/>
              </w:rPr>
              <w:t>分）</w:t>
            </w:r>
          </w:p>
          <w:p w14:paraId="02E40114">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工作流程表达清晰，工作方案体现出对本项目能够涉及的政策及规章的熟悉程度。</w:t>
            </w:r>
          </w:p>
          <w:p w14:paraId="3AAB546A">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优（方案完整、内容详实、理解深刻）得1</w:t>
            </w:r>
            <w:r>
              <w:rPr>
                <w:rFonts w:hint="eastAsia" w:asciiTheme="majorEastAsia" w:hAnsiTheme="majorEastAsia" w:eastAsiaTheme="majorEastAsia" w:cstheme="majorEastAsia"/>
                <w:color w:val="auto"/>
                <w:sz w:val="21"/>
                <w:szCs w:val="21"/>
                <w:lang w:val="en-US" w:eastAsia="zh-CN"/>
              </w:rPr>
              <w:t>8</w:t>
            </w:r>
            <w:r>
              <w:rPr>
                <w:rFonts w:hint="eastAsia" w:asciiTheme="majorEastAsia" w:hAnsiTheme="majorEastAsia" w:eastAsiaTheme="majorEastAsia" w:cstheme="majorEastAsia"/>
                <w:color w:val="auto"/>
                <w:sz w:val="21"/>
                <w:szCs w:val="21"/>
              </w:rPr>
              <w:t>分；</w:t>
            </w:r>
          </w:p>
          <w:p w14:paraId="689F5514">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良（方案较完整、内容较详实、理解较深刻）得</w:t>
            </w:r>
            <w:r>
              <w:rPr>
                <w:rFonts w:hint="eastAsia" w:asciiTheme="majorEastAsia" w:hAnsiTheme="majorEastAsia" w:eastAsiaTheme="majorEastAsia" w:cstheme="majorEastAsia"/>
                <w:color w:val="auto"/>
                <w:sz w:val="21"/>
                <w:szCs w:val="21"/>
                <w:lang w:val="en-US" w:eastAsia="zh-CN"/>
              </w:rPr>
              <w:t>12</w:t>
            </w:r>
            <w:r>
              <w:rPr>
                <w:rFonts w:hint="eastAsia" w:asciiTheme="majorEastAsia" w:hAnsiTheme="majorEastAsia" w:eastAsiaTheme="majorEastAsia" w:cstheme="majorEastAsia"/>
                <w:color w:val="auto"/>
                <w:sz w:val="21"/>
                <w:szCs w:val="21"/>
              </w:rPr>
              <w:t>分；</w:t>
            </w:r>
          </w:p>
          <w:p w14:paraId="54E59A3A">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一般（方案一般、内容一般、理解一般）得</w:t>
            </w:r>
            <w:r>
              <w:rPr>
                <w:rFonts w:hint="eastAsia" w:asciiTheme="majorEastAsia" w:hAnsiTheme="majorEastAsia" w:eastAsiaTheme="majorEastAsia" w:cstheme="majorEastAsia"/>
                <w:color w:val="auto"/>
                <w:sz w:val="21"/>
                <w:szCs w:val="21"/>
                <w:lang w:val="en-US" w:eastAsia="zh-CN"/>
              </w:rPr>
              <w:t>6</w:t>
            </w:r>
            <w:r>
              <w:rPr>
                <w:rFonts w:hint="eastAsia" w:asciiTheme="majorEastAsia" w:hAnsiTheme="majorEastAsia" w:eastAsiaTheme="majorEastAsia" w:cstheme="majorEastAsia"/>
                <w:color w:val="auto"/>
                <w:sz w:val="21"/>
                <w:szCs w:val="21"/>
              </w:rPr>
              <w:t>分；</w:t>
            </w:r>
          </w:p>
          <w:p w14:paraId="45C49547">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差（方案不完整、内容单薄、理解差）或未提供不得分。</w:t>
            </w:r>
          </w:p>
        </w:tc>
        <w:tc>
          <w:tcPr>
            <w:tcW w:w="1963" w:type="dxa"/>
            <w:vMerge w:val="restart"/>
            <w:vAlign w:val="center"/>
          </w:tcPr>
          <w:p w14:paraId="0DDF9B42">
            <w:pPr>
              <w:keepNext w:val="0"/>
              <w:keepLines w:val="0"/>
              <w:pageBreakBefore w:val="0"/>
              <w:kinsoku/>
              <w:wordWrap/>
              <w:overflowPunct/>
              <w:topLinePunct w:val="0"/>
              <w:autoSpaceDE/>
              <w:autoSpaceDN/>
              <w:bidi w:val="0"/>
              <w:adjustRightInd/>
              <w:snapToGrid/>
              <w:spacing w:line="240" w:lineRule="auto"/>
              <w:ind w:left="-38"/>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rPr>
              <w:t>根据供应商提供的方案进行打分</w:t>
            </w:r>
            <w:r>
              <w:rPr>
                <w:rFonts w:hint="eastAsia" w:asciiTheme="majorEastAsia" w:hAnsiTheme="majorEastAsia" w:eastAsiaTheme="majorEastAsia" w:cstheme="majorEastAsia"/>
                <w:color w:val="auto"/>
                <w:sz w:val="21"/>
                <w:szCs w:val="21"/>
                <w:lang w:eastAsia="zh-CN"/>
              </w:rPr>
              <w:t>。</w:t>
            </w:r>
          </w:p>
        </w:tc>
      </w:tr>
      <w:tr w14:paraId="6CB6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5" w:hRule="atLeast"/>
        </w:trPr>
        <w:tc>
          <w:tcPr>
            <w:tcW w:w="585" w:type="dxa"/>
            <w:vMerge w:val="continue"/>
            <w:vAlign w:val="center"/>
          </w:tcPr>
          <w:p w14:paraId="06F26BA8">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1107" w:type="dxa"/>
            <w:vMerge w:val="continue"/>
            <w:vAlign w:val="center"/>
          </w:tcPr>
          <w:p w14:paraId="4EEF1DDD">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860" w:type="dxa"/>
            <w:vMerge w:val="continue"/>
            <w:vAlign w:val="center"/>
          </w:tcPr>
          <w:p w14:paraId="26253DCC">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5131" w:type="dxa"/>
            <w:vAlign w:val="center"/>
          </w:tcPr>
          <w:p w14:paraId="6A1F33C0">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2．进度安排方案（1</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分）</w:t>
            </w:r>
          </w:p>
          <w:p w14:paraId="0E2A7176">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有详细的进度计划，时间安排合理，能高效完成审计。</w:t>
            </w:r>
          </w:p>
          <w:p w14:paraId="2A8549D1">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优（方案完整、内容详实、理解深刻）得1</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分；</w:t>
            </w:r>
          </w:p>
          <w:p w14:paraId="6DE0CBCE">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良（方案较完整、内容较详实、理解较深刻）得</w:t>
            </w:r>
            <w:r>
              <w:rPr>
                <w:rFonts w:hint="eastAsia" w:asciiTheme="majorEastAsia" w:hAnsiTheme="majorEastAsia" w:eastAsiaTheme="majorEastAsia" w:cstheme="majorEastAsia"/>
                <w:color w:val="auto"/>
                <w:sz w:val="21"/>
                <w:szCs w:val="21"/>
                <w:lang w:val="en-US" w:eastAsia="zh-CN"/>
              </w:rPr>
              <w:t>8</w:t>
            </w:r>
            <w:r>
              <w:rPr>
                <w:rFonts w:hint="eastAsia" w:asciiTheme="majorEastAsia" w:hAnsiTheme="majorEastAsia" w:eastAsiaTheme="majorEastAsia" w:cstheme="majorEastAsia"/>
                <w:color w:val="auto"/>
                <w:sz w:val="21"/>
                <w:szCs w:val="21"/>
              </w:rPr>
              <w:t>分；</w:t>
            </w:r>
          </w:p>
          <w:p w14:paraId="1E38094C">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一般（方案一般、内容一般、理解一般）得4分；</w:t>
            </w:r>
          </w:p>
          <w:p w14:paraId="269ECE25">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差（方案不完整、内容单薄、理解差）或未提供不得分。</w:t>
            </w:r>
          </w:p>
        </w:tc>
        <w:tc>
          <w:tcPr>
            <w:tcW w:w="1963" w:type="dxa"/>
            <w:vMerge w:val="continue"/>
            <w:vAlign w:val="center"/>
          </w:tcPr>
          <w:p w14:paraId="023342AE">
            <w:pPr>
              <w:keepNext w:val="0"/>
              <w:keepLines w:val="0"/>
              <w:pageBreakBefore w:val="0"/>
              <w:kinsoku/>
              <w:wordWrap/>
              <w:overflowPunct/>
              <w:topLinePunct w:val="0"/>
              <w:autoSpaceDE/>
              <w:autoSpaceDN/>
              <w:bidi w:val="0"/>
              <w:adjustRightInd/>
              <w:snapToGrid/>
              <w:spacing w:line="240" w:lineRule="auto"/>
              <w:ind w:left="-38"/>
              <w:rPr>
                <w:rFonts w:hint="eastAsia" w:asciiTheme="majorEastAsia" w:hAnsiTheme="majorEastAsia" w:eastAsiaTheme="majorEastAsia" w:cstheme="majorEastAsia"/>
                <w:color w:val="auto"/>
                <w:sz w:val="21"/>
                <w:szCs w:val="21"/>
              </w:rPr>
            </w:pPr>
          </w:p>
        </w:tc>
      </w:tr>
      <w:tr w14:paraId="17B1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585" w:type="dxa"/>
            <w:vMerge w:val="continue"/>
            <w:vAlign w:val="center"/>
          </w:tcPr>
          <w:p w14:paraId="68AC62E9">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1107" w:type="dxa"/>
            <w:vMerge w:val="continue"/>
            <w:vAlign w:val="center"/>
          </w:tcPr>
          <w:p w14:paraId="78BB805C">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860" w:type="dxa"/>
            <w:vMerge w:val="continue"/>
            <w:vAlign w:val="center"/>
          </w:tcPr>
          <w:p w14:paraId="0369FBFB">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5131" w:type="dxa"/>
            <w:vAlign w:val="center"/>
          </w:tcPr>
          <w:p w14:paraId="65CD2D1A">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3.重难点分析及解决方案（</w:t>
            </w:r>
            <w:r>
              <w:rPr>
                <w:rFonts w:hint="eastAsia" w:asciiTheme="majorEastAsia" w:hAnsiTheme="majorEastAsia" w:eastAsiaTheme="majorEastAsia" w:cstheme="majorEastAsia"/>
                <w:color w:val="auto"/>
                <w:sz w:val="21"/>
                <w:szCs w:val="21"/>
                <w:lang w:val="en-US" w:eastAsia="zh-CN"/>
              </w:rPr>
              <w:t>16</w:t>
            </w:r>
            <w:r>
              <w:rPr>
                <w:rFonts w:hint="eastAsia" w:asciiTheme="majorEastAsia" w:hAnsiTheme="majorEastAsia" w:eastAsiaTheme="majorEastAsia" w:cstheme="majorEastAsia"/>
                <w:color w:val="auto"/>
                <w:sz w:val="21"/>
                <w:szCs w:val="21"/>
              </w:rPr>
              <w:t>分）；</w:t>
            </w:r>
          </w:p>
          <w:p w14:paraId="3B27ACB9">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根据供应商对本项目重点、难点分析的透彻程度，及相应解决方案的针对性、可行性进行评分。</w:t>
            </w:r>
          </w:p>
          <w:p w14:paraId="7D4E3280">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优（方案完整、内容详实、理解深刻）得</w:t>
            </w:r>
            <w:r>
              <w:rPr>
                <w:rFonts w:hint="eastAsia" w:asciiTheme="majorEastAsia" w:hAnsiTheme="majorEastAsia" w:eastAsiaTheme="majorEastAsia" w:cstheme="majorEastAsia"/>
                <w:color w:val="auto"/>
                <w:sz w:val="21"/>
                <w:szCs w:val="21"/>
                <w:lang w:val="en-US" w:eastAsia="zh-CN"/>
              </w:rPr>
              <w:t>16</w:t>
            </w:r>
            <w:r>
              <w:rPr>
                <w:rFonts w:hint="eastAsia" w:asciiTheme="majorEastAsia" w:hAnsiTheme="majorEastAsia" w:eastAsiaTheme="majorEastAsia" w:cstheme="majorEastAsia"/>
                <w:color w:val="auto"/>
                <w:sz w:val="21"/>
                <w:szCs w:val="21"/>
              </w:rPr>
              <w:t>分；</w:t>
            </w:r>
          </w:p>
          <w:p w14:paraId="71E3EECF">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良（方案较完整、内容较详实、理解较深刻）得</w:t>
            </w:r>
            <w:r>
              <w:rPr>
                <w:rFonts w:hint="eastAsia" w:asciiTheme="majorEastAsia" w:hAnsiTheme="majorEastAsia" w:eastAsiaTheme="majorEastAsia" w:cstheme="majorEastAsia"/>
                <w:color w:val="auto"/>
                <w:sz w:val="21"/>
                <w:szCs w:val="21"/>
                <w:lang w:val="en-US" w:eastAsia="zh-CN"/>
              </w:rPr>
              <w:t>10</w:t>
            </w:r>
            <w:r>
              <w:rPr>
                <w:rFonts w:hint="eastAsia" w:asciiTheme="majorEastAsia" w:hAnsiTheme="majorEastAsia" w:eastAsiaTheme="majorEastAsia" w:cstheme="majorEastAsia"/>
                <w:color w:val="auto"/>
                <w:sz w:val="21"/>
                <w:szCs w:val="21"/>
              </w:rPr>
              <w:t>分；</w:t>
            </w:r>
          </w:p>
          <w:p w14:paraId="4F7C0A3A">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一般（方案一般、内容一般、理解一般）得</w:t>
            </w: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rPr>
              <w:t>分；</w:t>
            </w:r>
          </w:p>
          <w:p w14:paraId="549D77C2">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差（方案不完整、内容单薄、理解差）或未提供不得分。</w:t>
            </w:r>
          </w:p>
        </w:tc>
        <w:tc>
          <w:tcPr>
            <w:tcW w:w="1963" w:type="dxa"/>
            <w:vMerge w:val="continue"/>
            <w:vAlign w:val="center"/>
          </w:tcPr>
          <w:p w14:paraId="45BB68CF">
            <w:pPr>
              <w:keepNext w:val="0"/>
              <w:keepLines w:val="0"/>
              <w:pageBreakBefore w:val="0"/>
              <w:kinsoku/>
              <w:wordWrap/>
              <w:overflowPunct/>
              <w:topLinePunct w:val="0"/>
              <w:autoSpaceDE/>
              <w:autoSpaceDN/>
              <w:bidi w:val="0"/>
              <w:adjustRightInd/>
              <w:snapToGrid/>
              <w:spacing w:line="240" w:lineRule="auto"/>
              <w:ind w:left="-38"/>
              <w:rPr>
                <w:rFonts w:hint="eastAsia" w:asciiTheme="majorEastAsia" w:hAnsiTheme="majorEastAsia" w:eastAsiaTheme="majorEastAsia" w:cstheme="majorEastAsia"/>
                <w:color w:val="auto"/>
                <w:sz w:val="21"/>
                <w:szCs w:val="21"/>
              </w:rPr>
            </w:pPr>
          </w:p>
        </w:tc>
      </w:tr>
      <w:tr w14:paraId="0EF0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8" w:hRule="atLeast"/>
        </w:trPr>
        <w:tc>
          <w:tcPr>
            <w:tcW w:w="585" w:type="dxa"/>
            <w:vMerge w:val="restart"/>
            <w:vAlign w:val="center"/>
          </w:tcPr>
          <w:p w14:paraId="39D14F67">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w:t>
            </w:r>
          </w:p>
        </w:tc>
        <w:tc>
          <w:tcPr>
            <w:tcW w:w="1107" w:type="dxa"/>
            <w:vMerge w:val="restart"/>
            <w:vAlign w:val="center"/>
          </w:tcPr>
          <w:p w14:paraId="19CCFD9C">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商务部分</w:t>
            </w:r>
          </w:p>
          <w:p w14:paraId="0D622E85">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color w:val="auto"/>
                <w:sz w:val="21"/>
                <w:szCs w:val="21"/>
                <w:lang w:val="en-US" w:eastAsia="zh-CN"/>
              </w:rPr>
              <w:t>34</w:t>
            </w:r>
            <w:r>
              <w:rPr>
                <w:rFonts w:hint="eastAsia" w:asciiTheme="majorEastAsia" w:hAnsiTheme="majorEastAsia" w:eastAsiaTheme="majorEastAsia" w:cstheme="majorEastAsia"/>
                <w:color w:val="auto"/>
                <w:sz w:val="21"/>
                <w:szCs w:val="21"/>
              </w:rPr>
              <w:t>%）</w:t>
            </w:r>
          </w:p>
        </w:tc>
        <w:tc>
          <w:tcPr>
            <w:tcW w:w="860" w:type="dxa"/>
            <w:vMerge w:val="restart"/>
            <w:vAlign w:val="center"/>
          </w:tcPr>
          <w:p w14:paraId="6FBC8C22">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团队配置</w:t>
            </w:r>
          </w:p>
          <w:p w14:paraId="6AA12667">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20分</w:t>
            </w:r>
          </w:p>
        </w:tc>
        <w:tc>
          <w:tcPr>
            <w:tcW w:w="5131" w:type="dxa"/>
            <w:vAlign w:val="center"/>
          </w:tcPr>
          <w:p w14:paraId="2813446E">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1.项目负责人（10分）</w:t>
            </w:r>
          </w:p>
          <w:p w14:paraId="3B0D9BE4">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项目负责人具有高级会计师及以上职称，并具有十年（含）以上审计执业经验，得10分；具有副高级会计师及以上职称，并具有五年（含）以上审计执业经验，得5分；其余情况不得分。本项总计最多得10分。</w:t>
            </w:r>
          </w:p>
        </w:tc>
        <w:tc>
          <w:tcPr>
            <w:tcW w:w="1963" w:type="dxa"/>
            <w:vMerge w:val="restart"/>
            <w:vAlign w:val="center"/>
          </w:tcPr>
          <w:p w14:paraId="584789E9">
            <w:pPr>
              <w:keepNext w:val="0"/>
              <w:keepLines w:val="0"/>
              <w:pageBreakBefore w:val="0"/>
              <w:kinsoku/>
              <w:wordWrap/>
              <w:overflowPunct/>
              <w:topLinePunct w:val="0"/>
              <w:autoSpaceDE/>
              <w:autoSpaceDN/>
              <w:bidi w:val="0"/>
              <w:adjustRightInd/>
              <w:snapToGrid/>
              <w:spacing w:line="240" w:lineRule="auto"/>
              <w:ind w:left="-38"/>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拟派人员应为供应商在职员工，提供人员名单、相关证明材料复印件、供应商为其缴纳的社保证明复印件，加盖供应商公章。</w:t>
            </w:r>
          </w:p>
        </w:tc>
      </w:tr>
      <w:tr w14:paraId="565A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85" w:type="dxa"/>
            <w:vMerge w:val="continue"/>
            <w:vAlign w:val="center"/>
          </w:tcPr>
          <w:p w14:paraId="462861EB">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1107" w:type="dxa"/>
            <w:vMerge w:val="continue"/>
            <w:vAlign w:val="center"/>
          </w:tcPr>
          <w:p w14:paraId="182D3176">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860" w:type="dxa"/>
            <w:vMerge w:val="continue"/>
            <w:vAlign w:val="center"/>
          </w:tcPr>
          <w:p w14:paraId="5684C48C">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5131" w:type="dxa"/>
            <w:vAlign w:val="center"/>
          </w:tcPr>
          <w:p w14:paraId="38D83B7B">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2.团队成员（10分）</w:t>
            </w:r>
          </w:p>
          <w:p w14:paraId="4086B90C">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除</w:t>
            </w:r>
            <w:r>
              <w:rPr>
                <w:rFonts w:hint="eastAsia" w:asciiTheme="majorEastAsia" w:hAnsiTheme="majorEastAsia" w:eastAsiaTheme="majorEastAsia" w:cstheme="majorEastAsia"/>
                <w:color w:val="auto"/>
                <w:sz w:val="21"/>
                <w:szCs w:val="21"/>
                <w:lang w:val="en-US" w:eastAsia="zh-CN"/>
              </w:rPr>
              <w:t>项目</w:t>
            </w:r>
            <w:r>
              <w:rPr>
                <w:rFonts w:hint="eastAsia" w:asciiTheme="majorEastAsia" w:hAnsiTheme="majorEastAsia" w:eastAsiaTheme="majorEastAsia" w:cstheme="majorEastAsia"/>
                <w:color w:val="auto"/>
                <w:sz w:val="21"/>
                <w:szCs w:val="21"/>
              </w:rPr>
              <w:t>负责人外，拟派本项目的其余团队人员中有1名注册会计师资格或高级会计师及以上职称的，得3分，此项最多得6分；有1名中级会计师得2分，此项最多得4分。本项总计最多得10分。</w:t>
            </w:r>
          </w:p>
        </w:tc>
        <w:tc>
          <w:tcPr>
            <w:tcW w:w="1963" w:type="dxa"/>
            <w:vMerge w:val="continue"/>
            <w:vAlign w:val="center"/>
          </w:tcPr>
          <w:p w14:paraId="5475E548">
            <w:pPr>
              <w:keepNext w:val="0"/>
              <w:keepLines w:val="0"/>
              <w:pageBreakBefore w:val="0"/>
              <w:kinsoku/>
              <w:wordWrap/>
              <w:overflowPunct/>
              <w:topLinePunct w:val="0"/>
              <w:autoSpaceDE/>
              <w:autoSpaceDN/>
              <w:bidi w:val="0"/>
              <w:adjustRightInd/>
              <w:snapToGrid/>
              <w:spacing w:line="240" w:lineRule="auto"/>
              <w:ind w:left="-38"/>
              <w:jc w:val="left"/>
              <w:rPr>
                <w:rFonts w:hint="eastAsia" w:asciiTheme="majorEastAsia" w:hAnsiTheme="majorEastAsia" w:eastAsiaTheme="majorEastAsia" w:cstheme="majorEastAsia"/>
                <w:color w:val="auto"/>
                <w:sz w:val="21"/>
                <w:szCs w:val="21"/>
              </w:rPr>
            </w:pPr>
          </w:p>
        </w:tc>
      </w:tr>
      <w:tr w14:paraId="5BC2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 w:hRule="atLeast"/>
        </w:trPr>
        <w:tc>
          <w:tcPr>
            <w:tcW w:w="585" w:type="dxa"/>
            <w:vMerge w:val="continue"/>
            <w:vAlign w:val="center"/>
          </w:tcPr>
          <w:p w14:paraId="48D3341A">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1107" w:type="dxa"/>
            <w:vMerge w:val="continue"/>
            <w:vAlign w:val="center"/>
          </w:tcPr>
          <w:p w14:paraId="54DCEFFD">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860" w:type="dxa"/>
            <w:vMerge w:val="restart"/>
            <w:vAlign w:val="center"/>
          </w:tcPr>
          <w:p w14:paraId="7642AB9F">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业绩</w:t>
            </w:r>
          </w:p>
          <w:p w14:paraId="219C7FA2">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r>
              <w:rPr>
                <w:rFonts w:hint="eastAsia" w:asciiTheme="majorEastAsia" w:hAnsiTheme="majorEastAsia" w:eastAsiaTheme="majorEastAsia" w:cstheme="majorEastAsia"/>
                <w:color w:val="auto"/>
                <w:sz w:val="21"/>
                <w:szCs w:val="21"/>
                <w:lang w:val="en-US" w:eastAsia="zh-CN"/>
              </w:rPr>
              <w:t>4</w:t>
            </w:r>
            <w:r>
              <w:rPr>
                <w:rFonts w:hint="eastAsia" w:asciiTheme="majorEastAsia" w:hAnsiTheme="majorEastAsia" w:eastAsiaTheme="majorEastAsia" w:cstheme="majorEastAsia"/>
                <w:color w:val="auto"/>
                <w:sz w:val="21"/>
                <w:szCs w:val="21"/>
              </w:rPr>
              <w:t>分</w:t>
            </w:r>
          </w:p>
        </w:tc>
        <w:tc>
          <w:tcPr>
            <w:tcW w:w="5131" w:type="dxa"/>
            <w:vAlign w:val="center"/>
          </w:tcPr>
          <w:p w14:paraId="2404724C">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1.202</w:t>
            </w:r>
            <w:r>
              <w:rPr>
                <w:rFonts w:hint="eastAsia" w:asciiTheme="majorEastAsia" w:hAnsiTheme="majorEastAsia" w:eastAsiaTheme="majorEastAsia" w:cstheme="majorEastAsia"/>
                <w:color w:val="auto"/>
                <w:kern w:val="0"/>
                <w:sz w:val="21"/>
                <w:szCs w:val="21"/>
                <w:lang w:val="en-US" w:eastAsia="zh-CN" w:bidi="ar"/>
              </w:rPr>
              <w:t>2</w:t>
            </w:r>
            <w:r>
              <w:rPr>
                <w:rFonts w:hint="eastAsia" w:asciiTheme="majorEastAsia" w:hAnsiTheme="majorEastAsia" w:eastAsiaTheme="majorEastAsia" w:cstheme="majorEastAsia"/>
                <w:color w:val="auto"/>
                <w:kern w:val="0"/>
                <w:sz w:val="21"/>
                <w:szCs w:val="21"/>
                <w:lang w:bidi="ar"/>
              </w:rPr>
              <w:t>年1月1日至今，供应商承接过</w:t>
            </w:r>
            <w:r>
              <w:rPr>
                <w:rFonts w:hint="eastAsia" w:asciiTheme="majorEastAsia" w:hAnsiTheme="majorEastAsia" w:eastAsiaTheme="majorEastAsia" w:cstheme="majorEastAsia"/>
                <w:color w:val="auto"/>
                <w:kern w:val="0"/>
                <w:sz w:val="21"/>
                <w:szCs w:val="21"/>
                <w:lang w:eastAsia="zh-CN" w:bidi="ar"/>
              </w:rPr>
              <w:t>省</w:t>
            </w:r>
            <w:r>
              <w:rPr>
                <w:rFonts w:hint="eastAsia" w:asciiTheme="majorEastAsia" w:hAnsiTheme="majorEastAsia" w:eastAsiaTheme="majorEastAsia" w:cstheme="majorEastAsia"/>
                <w:color w:val="auto"/>
                <w:kern w:val="0"/>
                <w:sz w:val="21"/>
                <w:szCs w:val="21"/>
                <w:lang w:bidi="ar"/>
              </w:rPr>
              <w:t>级及以上部门或机构委托的各类审计类或评审类项目业绩的，提供一个合同得2分，本项总计最多得10分。</w:t>
            </w:r>
          </w:p>
        </w:tc>
        <w:tc>
          <w:tcPr>
            <w:tcW w:w="1963" w:type="dxa"/>
            <w:vMerge w:val="restart"/>
            <w:vAlign w:val="center"/>
          </w:tcPr>
          <w:p w14:paraId="74A33218">
            <w:pPr>
              <w:keepNext w:val="0"/>
              <w:keepLines w:val="0"/>
              <w:pageBreakBefore w:val="0"/>
              <w:kinsoku/>
              <w:wordWrap/>
              <w:overflowPunct/>
              <w:topLinePunct w:val="0"/>
              <w:autoSpaceDE/>
              <w:autoSpaceDN/>
              <w:bidi w:val="0"/>
              <w:adjustRightInd/>
              <w:snapToGrid/>
              <w:spacing w:line="240" w:lineRule="auto"/>
              <w:ind w:left="-38"/>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提供合同复印件，加盖供应商公章。同一业绩不重复得分。</w:t>
            </w:r>
          </w:p>
        </w:tc>
      </w:tr>
      <w:tr w14:paraId="2880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85" w:type="dxa"/>
            <w:vMerge w:val="continue"/>
            <w:vAlign w:val="center"/>
          </w:tcPr>
          <w:p w14:paraId="7094CD12">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1107" w:type="dxa"/>
            <w:vMerge w:val="continue"/>
            <w:vAlign w:val="center"/>
          </w:tcPr>
          <w:p w14:paraId="793E2804">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860" w:type="dxa"/>
            <w:vMerge w:val="continue"/>
            <w:vAlign w:val="center"/>
          </w:tcPr>
          <w:p w14:paraId="28DEC3B5">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color w:val="auto"/>
                <w:sz w:val="21"/>
                <w:szCs w:val="21"/>
              </w:rPr>
            </w:pPr>
          </w:p>
        </w:tc>
        <w:tc>
          <w:tcPr>
            <w:tcW w:w="5131" w:type="dxa"/>
            <w:vAlign w:val="center"/>
          </w:tcPr>
          <w:p w14:paraId="09441EC1">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2.202</w:t>
            </w:r>
            <w:r>
              <w:rPr>
                <w:rFonts w:hint="eastAsia" w:asciiTheme="majorEastAsia" w:hAnsiTheme="majorEastAsia" w:eastAsiaTheme="majorEastAsia" w:cstheme="majorEastAsia"/>
                <w:color w:val="auto"/>
                <w:kern w:val="0"/>
                <w:sz w:val="21"/>
                <w:szCs w:val="21"/>
                <w:lang w:val="en-US" w:eastAsia="zh-CN" w:bidi="ar"/>
              </w:rPr>
              <w:t>2</w:t>
            </w:r>
            <w:r>
              <w:rPr>
                <w:rFonts w:hint="eastAsia" w:asciiTheme="majorEastAsia" w:hAnsiTheme="majorEastAsia" w:eastAsiaTheme="majorEastAsia" w:cstheme="majorEastAsia"/>
                <w:color w:val="auto"/>
                <w:kern w:val="0"/>
                <w:sz w:val="21"/>
                <w:szCs w:val="21"/>
                <w:lang w:bidi="ar"/>
              </w:rPr>
              <w:t>年1月1日至今，供应商承接过</w:t>
            </w:r>
            <w:r>
              <w:rPr>
                <w:rFonts w:hint="eastAsia" w:asciiTheme="majorEastAsia" w:hAnsiTheme="majorEastAsia" w:eastAsiaTheme="majorEastAsia" w:cstheme="majorEastAsia"/>
                <w:color w:val="auto"/>
                <w:kern w:val="0"/>
                <w:sz w:val="21"/>
                <w:szCs w:val="21"/>
                <w:lang w:eastAsia="zh-CN" w:bidi="ar"/>
              </w:rPr>
              <w:t>省</w:t>
            </w:r>
            <w:r>
              <w:rPr>
                <w:rFonts w:hint="eastAsia" w:asciiTheme="majorEastAsia" w:hAnsiTheme="majorEastAsia" w:eastAsiaTheme="majorEastAsia" w:cstheme="majorEastAsia"/>
                <w:color w:val="auto"/>
                <w:kern w:val="0"/>
                <w:sz w:val="21"/>
                <w:szCs w:val="21"/>
                <w:lang w:bidi="ar"/>
              </w:rPr>
              <w:t>级及以上财政部门委托的各类物流资金专项审计或评审类项目业绩的，每提供一个合同得</w:t>
            </w:r>
            <w:r>
              <w:rPr>
                <w:rFonts w:hint="eastAsia" w:asciiTheme="majorEastAsia" w:hAnsiTheme="majorEastAsia" w:eastAsiaTheme="majorEastAsia" w:cstheme="majorEastAsia"/>
                <w:color w:val="auto"/>
                <w:kern w:val="0"/>
                <w:sz w:val="21"/>
                <w:szCs w:val="21"/>
                <w:lang w:val="en-US" w:eastAsia="zh-CN" w:bidi="ar"/>
              </w:rPr>
              <w:t>2</w:t>
            </w:r>
            <w:r>
              <w:rPr>
                <w:rFonts w:hint="eastAsia" w:asciiTheme="majorEastAsia" w:hAnsiTheme="majorEastAsia" w:eastAsiaTheme="majorEastAsia" w:cstheme="majorEastAsia"/>
                <w:color w:val="auto"/>
                <w:kern w:val="0"/>
                <w:sz w:val="21"/>
                <w:szCs w:val="21"/>
                <w:lang w:bidi="ar"/>
              </w:rPr>
              <w:t>分，最多得</w:t>
            </w:r>
            <w:r>
              <w:rPr>
                <w:rFonts w:hint="eastAsia" w:asciiTheme="majorEastAsia" w:hAnsiTheme="majorEastAsia" w:eastAsiaTheme="majorEastAsia" w:cstheme="majorEastAsia"/>
                <w:color w:val="auto"/>
                <w:kern w:val="0"/>
                <w:sz w:val="21"/>
                <w:szCs w:val="21"/>
                <w:lang w:val="en-US" w:eastAsia="zh-CN" w:bidi="ar"/>
              </w:rPr>
              <w:t>4</w:t>
            </w:r>
            <w:r>
              <w:rPr>
                <w:rFonts w:hint="eastAsia" w:asciiTheme="majorEastAsia" w:hAnsiTheme="majorEastAsia" w:eastAsiaTheme="majorEastAsia" w:cstheme="majorEastAsia"/>
                <w:color w:val="auto"/>
                <w:kern w:val="0"/>
                <w:sz w:val="21"/>
                <w:szCs w:val="21"/>
                <w:lang w:bidi="ar"/>
              </w:rPr>
              <w:t>分。</w:t>
            </w:r>
          </w:p>
        </w:tc>
        <w:tc>
          <w:tcPr>
            <w:tcW w:w="1963" w:type="dxa"/>
            <w:vMerge w:val="continue"/>
            <w:vAlign w:val="center"/>
          </w:tcPr>
          <w:p w14:paraId="76AC2389">
            <w:pPr>
              <w:keepNext w:val="0"/>
              <w:keepLines w:val="0"/>
              <w:pageBreakBefore w:val="0"/>
              <w:kinsoku/>
              <w:wordWrap/>
              <w:overflowPunct/>
              <w:topLinePunct w:val="0"/>
              <w:autoSpaceDE/>
              <w:autoSpaceDN/>
              <w:bidi w:val="0"/>
              <w:adjustRightInd/>
              <w:snapToGrid/>
              <w:spacing w:line="240" w:lineRule="auto"/>
              <w:ind w:left="-38"/>
              <w:rPr>
                <w:rFonts w:hint="eastAsia" w:asciiTheme="majorEastAsia" w:hAnsiTheme="majorEastAsia" w:eastAsiaTheme="majorEastAsia" w:cstheme="majorEastAsia"/>
                <w:color w:val="auto"/>
                <w:sz w:val="21"/>
                <w:szCs w:val="21"/>
              </w:rPr>
            </w:pPr>
          </w:p>
        </w:tc>
      </w:tr>
    </w:tbl>
    <w:p w14:paraId="73FABB00">
      <w:pPr>
        <w:snapToGrid w:val="0"/>
        <w:spacing w:line="360" w:lineRule="auto"/>
        <w:ind w:firstLine="465"/>
        <w:rPr>
          <w:rFonts w:ascii="宋体" w:hAnsi="宋体"/>
          <w:b/>
          <w:color w:val="auto"/>
          <w:sz w:val="24"/>
          <w:szCs w:val="24"/>
        </w:rPr>
      </w:pPr>
      <w:r>
        <w:rPr>
          <w:rFonts w:hint="eastAsia" w:ascii="宋体" w:hAnsi="宋体"/>
          <w:b/>
          <w:color w:val="auto"/>
          <w:sz w:val="24"/>
          <w:szCs w:val="24"/>
        </w:rPr>
        <w:t>说明：</w:t>
      </w:r>
    </w:p>
    <w:p w14:paraId="091EB793">
      <w:pPr>
        <w:snapToGrid w:val="0"/>
        <w:spacing w:line="360" w:lineRule="auto"/>
        <w:ind w:firstLine="465"/>
        <w:rPr>
          <w:rFonts w:ascii="宋体" w:hAnsi="宋体"/>
          <w:color w:val="auto"/>
          <w:sz w:val="24"/>
          <w:szCs w:val="24"/>
        </w:rPr>
      </w:pPr>
      <w:r>
        <w:rPr>
          <w:rFonts w:hint="eastAsia" w:ascii="宋体" w:hAnsi="宋体"/>
          <w:color w:val="auto"/>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7C2E278A">
      <w:pPr>
        <w:snapToGrid w:val="0"/>
        <w:spacing w:line="360" w:lineRule="auto"/>
        <w:ind w:firstLine="465"/>
        <w:rPr>
          <w:rFonts w:ascii="宋体" w:hAnsi="宋体"/>
          <w:color w:val="auto"/>
          <w:sz w:val="24"/>
          <w:szCs w:val="24"/>
        </w:rPr>
      </w:pPr>
      <w:r>
        <w:rPr>
          <w:rFonts w:hint="eastAsia" w:ascii="宋体" w:hAnsi="宋体"/>
          <w:color w:val="auto"/>
          <w:sz w:val="24"/>
          <w:szCs w:val="24"/>
        </w:rPr>
        <w:t>（二）关于小微企业报价扣除比例说明</w:t>
      </w:r>
    </w:p>
    <w:p w14:paraId="1E8BD866">
      <w:pPr>
        <w:snapToGrid w:val="0"/>
        <w:spacing w:line="360" w:lineRule="auto"/>
        <w:ind w:firstLine="465"/>
        <w:rPr>
          <w:rFonts w:ascii="宋体" w:hAnsi="宋体"/>
          <w:color w:val="auto"/>
          <w:sz w:val="24"/>
          <w:szCs w:val="24"/>
        </w:rPr>
      </w:pPr>
      <w:r>
        <w:rPr>
          <w:rFonts w:hint="eastAsia" w:ascii="宋体" w:hAnsi="宋体"/>
          <w:color w:val="auto"/>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3558D42E">
      <w:pPr>
        <w:snapToGrid w:val="0"/>
        <w:spacing w:line="360" w:lineRule="auto"/>
        <w:ind w:firstLine="465"/>
        <w:rPr>
          <w:rFonts w:ascii="宋体" w:hAnsi="宋体"/>
          <w:color w:val="auto"/>
          <w:sz w:val="24"/>
          <w:szCs w:val="24"/>
        </w:rPr>
      </w:pPr>
      <w:r>
        <w:rPr>
          <w:rFonts w:hint="eastAsia" w:ascii="宋体" w:hAnsi="宋体"/>
          <w:color w:val="auto"/>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63566C4C">
      <w:pPr>
        <w:snapToGrid w:val="0"/>
        <w:spacing w:line="360" w:lineRule="auto"/>
        <w:ind w:firstLine="465"/>
        <w:rPr>
          <w:rFonts w:ascii="宋体" w:hAnsi="宋体"/>
          <w:color w:val="auto"/>
          <w:sz w:val="24"/>
          <w:szCs w:val="24"/>
        </w:rPr>
      </w:pPr>
      <w:r>
        <w:rPr>
          <w:rFonts w:hint="eastAsia" w:ascii="宋体" w:hAnsi="宋体"/>
          <w:color w:val="auto"/>
          <w:sz w:val="24"/>
          <w:szCs w:val="24"/>
        </w:rPr>
        <w:t>（2）在工程采购项目中，工程由中小企业承建，即工程施工单位为中小企业；</w:t>
      </w:r>
    </w:p>
    <w:p w14:paraId="47902404">
      <w:pPr>
        <w:snapToGrid w:val="0"/>
        <w:spacing w:line="360" w:lineRule="auto"/>
        <w:ind w:firstLine="465"/>
        <w:rPr>
          <w:rFonts w:ascii="宋体" w:hAnsi="宋体"/>
          <w:color w:val="auto"/>
          <w:sz w:val="24"/>
          <w:szCs w:val="24"/>
        </w:rPr>
      </w:pPr>
      <w:r>
        <w:rPr>
          <w:rFonts w:hint="eastAsia" w:ascii="宋体" w:hAnsi="宋体"/>
          <w:color w:val="auto"/>
          <w:sz w:val="24"/>
          <w:szCs w:val="24"/>
        </w:rPr>
        <w:t>（3）在服务采购项目中，服务由中小企业承接，即提供服务的人员为中小企业依照《中华人民共和国民法典》订立劳动合同的从业人员。</w:t>
      </w:r>
    </w:p>
    <w:p w14:paraId="225D2C42">
      <w:pPr>
        <w:snapToGrid w:val="0"/>
        <w:spacing w:line="360" w:lineRule="auto"/>
        <w:ind w:firstLine="465"/>
        <w:rPr>
          <w:rFonts w:ascii="宋体" w:hAnsi="宋体"/>
          <w:color w:val="auto"/>
          <w:sz w:val="24"/>
          <w:szCs w:val="24"/>
        </w:rPr>
      </w:pPr>
      <w:r>
        <w:rPr>
          <w:rFonts w:hint="eastAsia" w:ascii="宋体" w:hAnsi="宋体"/>
          <w:color w:val="auto"/>
          <w:sz w:val="24"/>
          <w:szCs w:val="24"/>
        </w:rPr>
        <w:t>2.对小微型企业给予</w:t>
      </w:r>
      <w:r>
        <w:rPr>
          <w:rFonts w:hint="eastAsia" w:ascii="宋体" w:hAnsi="宋体"/>
          <w:color w:val="auto"/>
          <w:sz w:val="24"/>
          <w:szCs w:val="24"/>
          <w:u w:val="single"/>
        </w:rPr>
        <w:t xml:space="preserve"> </w:t>
      </w:r>
      <w:r>
        <w:rPr>
          <w:rFonts w:ascii="宋体" w:hAnsi="宋体"/>
          <w:b/>
          <w:bCs/>
          <w:color w:val="auto"/>
          <w:sz w:val="24"/>
          <w:szCs w:val="24"/>
          <w:u w:val="single"/>
        </w:rPr>
        <w:t>10</w:t>
      </w:r>
      <w:r>
        <w:rPr>
          <w:rFonts w:hint="eastAsia" w:ascii="宋体" w:hAnsi="宋体"/>
          <w:b/>
          <w:bCs/>
          <w:color w:val="auto"/>
          <w:sz w:val="24"/>
          <w:szCs w:val="24"/>
          <w:u w:val="single"/>
        </w:rPr>
        <w:t xml:space="preserve"> %</w:t>
      </w:r>
      <w:r>
        <w:rPr>
          <w:rFonts w:hint="eastAsia" w:ascii="宋体" w:hAnsi="宋体"/>
          <w:color w:val="auto"/>
          <w:sz w:val="24"/>
          <w:szCs w:val="24"/>
        </w:rPr>
        <w:t>的扣除，以扣除后的报价参与评审。</w:t>
      </w:r>
    </w:p>
    <w:p w14:paraId="4EFDE73E">
      <w:pPr>
        <w:snapToGrid w:val="0"/>
        <w:spacing w:line="360" w:lineRule="auto"/>
        <w:ind w:firstLine="465"/>
        <w:rPr>
          <w:rFonts w:ascii="宋体" w:hAnsi="宋体"/>
          <w:color w:val="auto"/>
          <w:sz w:val="24"/>
          <w:szCs w:val="24"/>
        </w:rPr>
      </w:pPr>
      <w:r>
        <w:rPr>
          <w:rFonts w:hint="eastAsia" w:ascii="宋体" w:hAnsi="宋体"/>
          <w:color w:val="auto"/>
          <w:sz w:val="24"/>
          <w:szCs w:val="24"/>
        </w:rPr>
        <w:t>3.监狱企业、残疾人福利性单位视同小型、微型企业。</w:t>
      </w:r>
    </w:p>
    <w:p w14:paraId="52650916">
      <w:pPr>
        <w:pStyle w:val="6"/>
        <w:spacing w:before="0" w:after="0" w:line="360" w:lineRule="auto"/>
        <w:ind w:firstLine="480" w:firstLineChars="200"/>
        <w:rPr>
          <w:rFonts w:ascii="宋体" w:hAnsi="宋体"/>
          <w:color w:val="auto"/>
          <w:sz w:val="24"/>
          <w:szCs w:val="24"/>
        </w:rPr>
      </w:pPr>
      <w:bookmarkStart w:id="101" w:name="_Toc5316"/>
      <w:r>
        <w:rPr>
          <w:rFonts w:hint="eastAsia" w:ascii="宋体" w:hAnsi="宋体"/>
          <w:color w:val="auto"/>
          <w:sz w:val="24"/>
          <w:szCs w:val="24"/>
        </w:rPr>
        <w:t>三、无效响应</w:t>
      </w:r>
      <w:bookmarkEnd w:id="101"/>
    </w:p>
    <w:p w14:paraId="0B558B05">
      <w:pPr>
        <w:snapToGrid w:val="0"/>
        <w:spacing w:line="360" w:lineRule="auto"/>
        <w:ind w:firstLine="465"/>
        <w:rPr>
          <w:rFonts w:ascii="宋体" w:hAnsi="宋体"/>
          <w:color w:val="auto"/>
          <w:sz w:val="24"/>
          <w:szCs w:val="24"/>
        </w:rPr>
      </w:pPr>
      <w:r>
        <w:rPr>
          <w:rFonts w:hint="eastAsia" w:ascii="宋体" w:hAnsi="宋体"/>
          <w:color w:val="auto"/>
          <w:sz w:val="24"/>
          <w:szCs w:val="24"/>
        </w:rPr>
        <w:t>供应商发生以下条款情况之一者，视为无效响应：</w:t>
      </w:r>
    </w:p>
    <w:p w14:paraId="54925248">
      <w:pPr>
        <w:snapToGrid w:val="0"/>
        <w:spacing w:line="360" w:lineRule="auto"/>
        <w:ind w:firstLine="465"/>
        <w:rPr>
          <w:rFonts w:ascii="宋体" w:hAnsi="宋体"/>
          <w:color w:val="auto"/>
          <w:sz w:val="24"/>
          <w:szCs w:val="24"/>
        </w:rPr>
      </w:pPr>
      <w:r>
        <w:rPr>
          <w:rFonts w:hint="eastAsia" w:ascii="宋体" w:hAnsi="宋体"/>
          <w:color w:val="auto"/>
          <w:sz w:val="24"/>
          <w:szCs w:val="24"/>
        </w:rPr>
        <w:t>（一）供应商不符合规定的基本资格条件或特定资格条件的；</w:t>
      </w:r>
    </w:p>
    <w:p w14:paraId="44E0CA8F">
      <w:pPr>
        <w:snapToGrid w:val="0"/>
        <w:spacing w:line="360" w:lineRule="auto"/>
        <w:ind w:firstLine="465"/>
        <w:rPr>
          <w:rFonts w:ascii="宋体" w:hAnsi="宋体"/>
          <w:color w:val="auto"/>
          <w:sz w:val="24"/>
          <w:szCs w:val="24"/>
        </w:rPr>
      </w:pPr>
      <w:r>
        <w:rPr>
          <w:rFonts w:hint="eastAsia" w:ascii="宋体" w:hAnsi="宋体"/>
          <w:color w:val="auto"/>
          <w:sz w:val="24"/>
          <w:szCs w:val="24"/>
        </w:rPr>
        <w:t>（二）供应商的法定代表人或其授权代表未参加比选；</w:t>
      </w:r>
    </w:p>
    <w:p w14:paraId="7A076295">
      <w:pPr>
        <w:snapToGrid w:val="0"/>
        <w:spacing w:line="360" w:lineRule="auto"/>
        <w:ind w:firstLine="465"/>
        <w:rPr>
          <w:rFonts w:ascii="宋体" w:hAnsi="宋体"/>
          <w:color w:val="auto"/>
          <w:sz w:val="24"/>
          <w:szCs w:val="24"/>
        </w:rPr>
      </w:pPr>
      <w:r>
        <w:rPr>
          <w:rFonts w:hint="eastAsia" w:ascii="宋体" w:hAnsi="宋体"/>
          <w:color w:val="auto"/>
          <w:sz w:val="24"/>
          <w:szCs w:val="24"/>
        </w:rPr>
        <w:t>（三）供应商未按照竞争性比选文件的要求缴纳比选保证金；</w:t>
      </w:r>
    </w:p>
    <w:p w14:paraId="471FE2DB">
      <w:pPr>
        <w:snapToGrid w:val="0"/>
        <w:spacing w:line="360" w:lineRule="auto"/>
        <w:ind w:firstLine="465"/>
        <w:rPr>
          <w:rFonts w:ascii="宋体" w:hAnsi="宋体"/>
          <w:color w:val="auto"/>
          <w:sz w:val="24"/>
          <w:szCs w:val="24"/>
        </w:rPr>
      </w:pPr>
      <w:r>
        <w:rPr>
          <w:rFonts w:hint="eastAsia" w:ascii="宋体" w:hAnsi="宋体"/>
          <w:color w:val="auto"/>
          <w:sz w:val="24"/>
          <w:szCs w:val="24"/>
        </w:rPr>
        <w:t>（四）供应商所提交的响应文件不按第七篇“响应文件编制要求”规定签字、盖章；</w:t>
      </w:r>
    </w:p>
    <w:p w14:paraId="0B2D3621">
      <w:pPr>
        <w:snapToGrid w:val="0"/>
        <w:spacing w:line="360" w:lineRule="auto"/>
        <w:ind w:firstLine="465"/>
        <w:rPr>
          <w:rFonts w:ascii="宋体" w:hAnsi="宋体"/>
          <w:color w:val="auto"/>
          <w:sz w:val="24"/>
          <w:szCs w:val="24"/>
        </w:rPr>
      </w:pPr>
      <w:r>
        <w:rPr>
          <w:rFonts w:hint="eastAsia" w:ascii="宋体" w:hAnsi="宋体"/>
          <w:color w:val="auto"/>
          <w:sz w:val="24"/>
          <w:szCs w:val="24"/>
        </w:rPr>
        <w:t>（五）供应商的报价超过采购预算金额或最高限价的；</w:t>
      </w:r>
    </w:p>
    <w:p w14:paraId="01A2D489">
      <w:pPr>
        <w:snapToGrid w:val="0"/>
        <w:spacing w:line="360" w:lineRule="auto"/>
        <w:ind w:firstLine="465"/>
        <w:rPr>
          <w:rFonts w:ascii="宋体" w:hAnsi="宋体"/>
          <w:color w:val="auto"/>
          <w:sz w:val="24"/>
          <w:szCs w:val="24"/>
        </w:rPr>
      </w:pPr>
      <w:r>
        <w:rPr>
          <w:rFonts w:hint="eastAsia" w:ascii="宋体" w:hAnsi="宋体"/>
          <w:color w:val="auto"/>
          <w:sz w:val="24"/>
          <w:szCs w:val="24"/>
        </w:rPr>
        <w:t>（六）单位负责人为同一人或者存在直接控股、管理关系的不同供应商，参加同一合同项下的政府采购活动的；</w:t>
      </w:r>
    </w:p>
    <w:p w14:paraId="2017BF0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（七）</w:t>
      </w:r>
      <w:r>
        <w:rPr>
          <w:rFonts w:ascii="宋体" w:hAnsi="宋体"/>
          <w:color w:val="auto"/>
          <w:sz w:val="24"/>
          <w:szCs w:val="24"/>
        </w:rPr>
        <w:t>为采购项目提供整体设计、规范编制或者项目管理、监理、检测等服务的供应商，再参加</w:t>
      </w:r>
      <w:r>
        <w:rPr>
          <w:rFonts w:hint="eastAsia" w:ascii="宋体" w:hAnsi="宋体"/>
          <w:color w:val="auto"/>
          <w:sz w:val="24"/>
          <w:szCs w:val="24"/>
        </w:rPr>
        <w:t>该采购</w:t>
      </w:r>
      <w:r>
        <w:rPr>
          <w:rFonts w:ascii="宋体" w:hAnsi="宋体"/>
          <w:color w:val="auto"/>
          <w:sz w:val="24"/>
          <w:szCs w:val="24"/>
        </w:rPr>
        <w:t>项目的</w:t>
      </w:r>
      <w:r>
        <w:rPr>
          <w:rFonts w:hint="eastAsia" w:ascii="宋体" w:hAnsi="宋体"/>
          <w:color w:val="auto"/>
          <w:sz w:val="24"/>
          <w:szCs w:val="24"/>
        </w:rPr>
        <w:t>其他</w:t>
      </w:r>
      <w:r>
        <w:rPr>
          <w:rFonts w:ascii="宋体" w:hAnsi="宋体"/>
          <w:color w:val="auto"/>
          <w:sz w:val="24"/>
          <w:szCs w:val="24"/>
        </w:rPr>
        <w:t>采购活动</w:t>
      </w:r>
      <w:r>
        <w:rPr>
          <w:rFonts w:hint="eastAsia" w:ascii="宋体" w:hAnsi="宋体"/>
          <w:color w:val="auto"/>
          <w:sz w:val="24"/>
          <w:szCs w:val="24"/>
        </w:rPr>
        <w:t>；</w:t>
      </w:r>
    </w:p>
    <w:p w14:paraId="522BD1D2">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（八）所提供的产品不符合必须强制执行的国家标准的；</w:t>
      </w:r>
    </w:p>
    <w:p w14:paraId="7B9F8A8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（九）供应商的服务时间、服务质保期及比选有效期不满足竞争性比选文件要求的；</w:t>
      </w:r>
    </w:p>
    <w:p w14:paraId="14313274">
      <w:pPr>
        <w:snapToGrid w:val="0"/>
        <w:spacing w:line="360" w:lineRule="auto"/>
        <w:ind w:firstLine="465"/>
        <w:rPr>
          <w:rFonts w:ascii="宋体" w:hAnsi="宋体"/>
          <w:color w:val="auto"/>
          <w:sz w:val="24"/>
          <w:szCs w:val="24"/>
        </w:rPr>
      </w:pPr>
      <w:r>
        <w:rPr>
          <w:rFonts w:hint="eastAsia" w:ascii="宋体" w:hAnsi="宋体"/>
          <w:color w:val="auto"/>
          <w:sz w:val="24"/>
          <w:szCs w:val="24"/>
        </w:rPr>
        <w:t>（十）供应商响应文件内容有与国家现行法律法规相违背的内容，或附有采购人无法接受的条件。</w:t>
      </w:r>
    </w:p>
    <w:p w14:paraId="209A7407">
      <w:pPr>
        <w:pStyle w:val="6"/>
        <w:spacing w:before="0" w:after="0" w:line="360" w:lineRule="auto"/>
        <w:ind w:firstLine="480" w:firstLineChars="200"/>
        <w:rPr>
          <w:rFonts w:ascii="宋体" w:hAnsi="宋体"/>
          <w:color w:val="auto"/>
          <w:sz w:val="24"/>
          <w:szCs w:val="24"/>
        </w:rPr>
      </w:pPr>
      <w:bookmarkStart w:id="102" w:name="_Toc10858"/>
      <w:r>
        <w:rPr>
          <w:rFonts w:hint="eastAsia" w:ascii="宋体" w:hAnsi="宋体"/>
          <w:color w:val="auto"/>
          <w:sz w:val="24"/>
          <w:szCs w:val="24"/>
        </w:rPr>
        <w:t>四、</w:t>
      </w:r>
      <w:bookmarkEnd w:id="99"/>
      <w:bookmarkEnd w:id="100"/>
      <w:r>
        <w:rPr>
          <w:rFonts w:hint="eastAsia" w:ascii="宋体" w:hAnsi="宋体"/>
          <w:color w:val="auto"/>
          <w:sz w:val="24"/>
          <w:szCs w:val="24"/>
        </w:rPr>
        <w:t>采购终止</w:t>
      </w:r>
      <w:bookmarkEnd w:id="102"/>
    </w:p>
    <w:p w14:paraId="58A001D3">
      <w:pPr>
        <w:snapToGrid w:val="0"/>
        <w:spacing w:line="360" w:lineRule="auto"/>
        <w:ind w:firstLine="465"/>
        <w:rPr>
          <w:rFonts w:ascii="宋体" w:hAnsi="宋体"/>
          <w:color w:val="auto"/>
          <w:sz w:val="24"/>
          <w:szCs w:val="24"/>
        </w:rPr>
      </w:pPr>
      <w:r>
        <w:rPr>
          <w:rFonts w:hint="eastAsia" w:ascii="宋体" w:hAnsi="宋体"/>
          <w:color w:val="auto"/>
          <w:sz w:val="24"/>
          <w:szCs w:val="24"/>
        </w:rPr>
        <w:t>出现下列情形之一的，采购人或者采购代理机构应当终止竞争性比选采购活动，发布项目终止公告并说明原因，重新开展采购活动：</w:t>
      </w:r>
    </w:p>
    <w:p w14:paraId="6D5023CB">
      <w:pPr>
        <w:snapToGrid w:val="0"/>
        <w:spacing w:line="360" w:lineRule="auto"/>
        <w:ind w:firstLine="465"/>
        <w:rPr>
          <w:rFonts w:ascii="宋体" w:hAnsi="宋体"/>
          <w:color w:val="auto"/>
          <w:sz w:val="24"/>
          <w:szCs w:val="24"/>
        </w:rPr>
      </w:pPr>
      <w:r>
        <w:rPr>
          <w:rFonts w:hint="eastAsia" w:ascii="宋体" w:hAnsi="宋体"/>
          <w:color w:val="auto"/>
          <w:sz w:val="24"/>
          <w:szCs w:val="24"/>
        </w:rPr>
        <w:t>（一）因情况变化，不再符合规定的竞争性比选采购方式适用情形的；</w:t>
      </w:r>
    </w:p>
    <w:p w14:paraId="39CF1AB5">
      <w:pPr>
        <w:snapToGrid w:val="0"/>
        <w:spacing w:line="360" w:lineRule="auto"/>
        <w:ind w:firstLine="465"/>
        <w:rPr>
          <w:rFonts w:ascii="宋体" w:hAnsi="宋体"/>
          <w:color w:val="auto"/>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auto"/>
          <w:sz w:val="24"/>
          <w:szCs w:val="24"/>
        </w:rPr>
        <w:t>（二）出现影响采购公正的违法、违规行为的。</w:t>
      </w:r>
    </w:p>
    <w:p w14:paraId="5226F853">
      <w:pPr>
        <w:pStyle w:val="5"/>
        <w:spacing w:line="360" w:lineRule="auto"/>
        <w:jc w:val="center"/>
        <w:rPr>
          <w:rFonts w:ascii="宋体" w:hAnsi="宋体" w:eastAsia="宋体"/>
          <w:color w:val="auto"/>
          <w:sz w:val="36"/>
          <w:szCs w:val="30"/>
        </w:rPr>
      </w:pPr>
      <w:bookmarkStart w:id="103" w:name="_Toc21690"/>
      <w:bookmarkStart w:id="104" w:name="_Toc102227313"/>
      <w:r>
        <w:rPr>
          <w:rFonts w:hint="eastAsia" w:ascii="宋体" w:hAnsi="宋体" w:eastAsia="宋体"/>
          <w:color w:val="auto"/>
          <w:sz w:val="36"/>
          <w:szCs w:val="30"/>
        </w:rPr>
        <w:t>第五篇  供应商须知</w:t>
      </w:r>
      <w:bookmarkEnd w:id="103"/>
      <w:bookmarkEnd w:id="104"/>
    </w:p>
    <w:p w14:paraId="3170BD6B">
      <w:pPr>
        <w:pStyle w:val="6"/>
        <w:spacing w:before="0" w:after="0" w:line="360" w:lineRule="auto"/>
        <w:ind w:firstLine="480" w:firstLineChars="200"/>
        <w:rPr>
          <w:rFonts w:ascii="宋体" w:hAnsi="宋体"/>
          <w:color w:val="auto"/>
          <w:sz w:val="24"/>
          <w:szCs w:val="24"/>
        </w:rPr>
      </w:pPr>
      <w:bookmarkStart w:id="105" w:name="_Toc497"/>
      <w:bookmarkStart w:id="106" w:name="_Toc342913389"/>
      <w:r>
        <w:rPr>
          <w:rFonts w:hint="eastAsia" w:ascii="宋体" w:hAnsi="宋体"/>
          <w:color w:val="auto"/>
          <w:sz w:val="24"/>
          <w:szCs w:val="24"/>
        </w:rPr>
        <w:t>一、比选费用</w:t>
      </w:r>
      <w:bookmarkEnd w:id="105"/>
      <w:bookmarkEnd w:id="106"/>
    </w:p>
    <w:p w14:paraId="02A4849D">
      <w:pPr>
        <w:pStyle w:val="199"/>
        <w:spacing w:line="360" w:lineRule="auto"/>
        <w:ind w:firstLine="480" w:firstLineChars="200"/>
        <w:rPr>
          <w:rFonts w:hAnsi="宋体"/>
          <w:color w:val="auto"/>
          <w:sz w:val="24"/>
          <w:szCs w:val="24"/>
        </w:rPr>
      </w:pPr>
      <w:r>
        <w:rPr>
          <w:rFonts w:hint="eastAsia" w:hAnsi="宋体"/>
          <w:color w:val="auto"/>
          <w:sz w:val="24"/>
          <w:szCs w:val="24"/>
        </w:rPr>
        <w:t>参与比选的供应商应承担其编制响应文件与递交响应文件所涉及的一切费用，不论比选结果如何，采购人和采购代理机构在任何情况下无义务也无责任承担这些费用。</w:t>
      </w:r>
    </w:p>
    <w:p w14:paraId="2C85A1FC">
      <w:pPr>
        <w:pStyle w:val="6"/>
        <w:tabs>
          <w:tab w:val="left" w:pos="2640"/>
        </w:tabs>
        <w:spacing w:before="0" w:after="0" w:line="360" w:lineRule="auto"/>
        <w:ind w:firstLine="480" w:firstLineChars="200"/>
        <w:rPr>
          <w:rFonts w:ascii="宋体" w:hAnsi="宋体"/>
          <w:color w:val="auto"/>
          <w:sz w:val="24"/>
          <w:szCs w:val="24"/>
        </w:rPr>
      </w:pPr>
      <w:bookmarkStart w:id="107" w:name="_Toc27654"/>
      <w:bookmarkStart w:id="108" w:name="_Toc342913391"/>
      <w:r>
        <w:rPr>
          <w:rFonts w:hint="eastAsia" w:ascii="宋体" w:hAnsi="宋体"/>
          <w:color w:val="auto"/>
          <w:sz w:val="24"/>
          <w:szCs w:val="24"/>
        </w:rPr>
        <w:t>二、竞争性比选文件</w:t>
      </w:r>
      <w:bookmarkEnd w:id="107"/>
      <w:bookmarkEnd w:id="108"/>
    </w:p>
    <w:p w14:paraId="3292C49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（一）竞争性比选文件由采购邀请书；采购服务需求；采购商务需求；比选程序及方法、评审标准、无效响应和采购终止；供应商须知；合同草案条款；响应文件编制要求共七部分组成。</w:t>
      </w:r>
    </w:p>
    <w:p w14:paraId="45D41331">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（二）采购人（或采购代理机构）所作的一切有效的书面通知、修改及补充，都是竞争性比选文件不可分割的部分。</w:t>
      </w:r>
    </w:p>
    <w:p w14:paraId="2AB6CC5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（三）竞争性比选文件的解释</w:t>
      </w:r>
    </w:p>
    <w:p w14:paraId="674C0CB3">
      <w:pPr>
        <w:spacing w:line="360" w:lineRule="auto"/>
        <w:ind w:firstLine="480" w:firstLineChars="200"/>
        <w:rPr>
          <w:rFonts w:ascii="宋体" w:hAnsi="宋体"/>
          <w:color w:val="auto"/>
          <w:sz w:val="24"/>
          <w:szCs w:val="24"/>
        </w:rPr>
      </w:pPr>
      <w:r>
        <w:rPr>
          <w:rFonts w:hint="eastAsia" w:ascii="宋体" w:hAnsi="宋体"/>
          <w:color w:val="auto"/>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09" w:name="_Toc318159780"/>
      <w:bookmarkStart w:id="110" w:name="_Toc318159349"/>
      <w:bookmarkStart w:id="111" w:name="_Toc318159160"/>
      <w:bookmarkStart w:id="112" w:name="_Toc318166429"/>
    </w:p>
    <w:p w14:paraId="0A11F956">
      <w:pPr>
        <w:spacing w:line="360" w:lineRule="auto"/>
        <w:ind w:firstLine="480" w:firstLineChars="200"/>
        <w:rPr>
          <w:rFonts w:ascii="宋体" w:hAnsi="宋体"/>
          <w:color w:val="auto"/>
          <w:sz w:val="24"/>
          <w:szCs w:val="24"/>
        </w:rPr>
      </w:pPr>
      <w:r>
        <w:rPr>
          <w:rFonts w:hint="eastAsia" w:ascii="宋体" w:hAnsi="宋体"/>
          <w:color w:val="auto"/>
          <w:sz w:val="24"/>
          <w:szCs w:val="24"/>
        </w:rPr>
        <w:t>（四）评审的依据为竞争性比选文件和响应文件（含有效的书面承诺）。评审委员会判断响应文件对竞争性比选文件的响应，仅基于响应文件本身而不靠外部证据。</w:t>
      </w:r>
    </w:p>
    <w:bookmarkEnd w:id="109"/>
    <w:bookmarkEnd w:id="110"/>
    <w:bookmarkEnd w:id="111"/>
    <w:bookmarkEnd w:id="112"/>
    <w:p w14:paraId="31066CB2">
      <w:pPr>
        <w:pStyle w:val="6"/>
        <w:spacing w:before="0" w:after="0" w:line="360" w:lineRule="auto"/>
        <w:ind w:firstLine="480" w:firstLineChars="200"/>
        <w:rPr>
          <w:rFonts w:ascii="宋体" w:hAnsi="宋体"/>
          <w:color w:val="auto"/>
          <w:sz w:val="24"/>
          <w:szCs w:val="24"/>
        </w:rPr>
      </w:pPr>
      <w:bookmarkStart w:id="113" w:name="_Toc342913392"/>
      <w:bookmarkStart w:id="114" w:name="_Toc13837"/>
      <w:bookmarkStart w:id="115" w:name="_Toc179714297"/>
      <w:bookmarkStart w:id="116" w:name="_Toc102227318"/>
      <w:r>
        <w:rPr>
          <w:rFonts w:hint="eastAsia" w:ascii="宋体" w:hAnsi="宋体"/>
          <w:color w:val="auto"/>
          <w:sz w:val="24"/>
          <w:szCs w:val="24"/>
        </w:rPr>
        <w:t>三、比选要求</w:t>
      </w:r>
      <w:bookmarkEnd w:id="113"/>
      <w:bookmarkEnd w:id="114"/>
      <w:bookmarkEnd w:id="115"/>
      <w:bookmarkEnd w:id="116"/>
    </w:p>
    <w:p w14:paraId="339288DB">
      <w:pPr>
        <w:spacing w:line="360" w:lineRule="auto"/>
        <w:ind w:firstLine="480" w:firstLineChars="200"/>
        <w:rPr>
          <w:rFonts w:ascii="宋体" w:hAnsi="宋体"/>
          <w:color w:val="auto"/>
          <w:sz w:val="24"/>
          <w:szCs w:val="24"/>
        </w:rPr>
      </w:pPr>
      <w:r>
        <w:rPr>
          <w:rFonts w:hint="eastAsia" w:ascii="宋体" w:hAnsi="宋体"/>
          <w:color w:val="auto"/>
          <w:sz w:val="24"/>
          <w:szCs w:val="24"/>
        </w:rPr>
        <w:t>（一）响应文件</w:t>
      </w:r>
    </w:p>
    <w:p w14:paraId="2C81187F">
      <w:pPr>
        <w:spacing w:line="360" w:lineRule="auto"/>
        <w:ind w:firstLine="480" w:firstLineChars="200"/>
        <w:rPr>
          <w:rFonts w:ascii="宋体" w:hAnsi="宋体"/>
          <w:color w:val="auto"/>
          <w:sz w:val="24"/>
          <w:szCs w:val="24"/>
        </w:rPr>
      </w:pPr>
      <w:r>
        <w:rPr>
          <w:rFonts w:hint="eastAsia" w:ascii="宋体" w:hAnsi="宋体"/>
          <w:color w:val="auto"/>
          <w:sz w:val="24"/>
          <w:szCs w:val="24"/>
        </w:rPr>
        <w:t>1.供应商应当按照竞争性比选文件的要求编制响应文件，并对竞争性比选文件提出的要求和条件作出实质性响应，响应文件原则上采用软面订本，同时应编制完整的页码、目录。</w:t>
      </w:r>
    </w:p>
    <w:p w14:paraId="530C21AC">
      <w:pPr>
        <w:spacing w:line="360" w:lineRule="auto"/>
        <w:ind w:firstLine="480" w:firstLineChars="200"/>
        <w:rPr>
          <w:rFonts w:ascii="宋体" w:hAnsi="宋体"/>
          <w:color w:val="auto"/>
          <w:sz w:val="24"/>
          <w:szCs w:val="24"/>
        </w:rPr>
      </w:pPr>
      <w:r>
        <w:rPr>
          <w:rFonts w:hint="eastAsia" w:ascii="宋体" w:hAnsi="宋体"/>
          <w:color w:val="auto"/>
          <w:sz w:val="24"/>
          <w:szCs w:val="24"/>
        </w:rPr>
        <w:t>2.响应文件组成</w:t>
      </w:r>
    </w:p>
    <w:p w14:paraId="48703B16">
      <w:pPr>
        <w:spacing w:line="360" w:lineRule="auto"/>
        <w:ind w:firstLine="480" w:firstLineChars="200"/>
        <w:rPr>
          <w:rFonts w:ascii="宋体" w:hAnsi="宋体"/>
          <w:color w:val="auto"/>
          <w:sz w:val="24"/>
          <w:szCs w:val="24"/>
        </w:rPr>
      </w:pPr>
      <w:r>
        <w:rPr>
          <w:rFonts w:hint="eastAsia" w:ascii="宋体" w:hAnsi="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3D7F8BE">
      <w:pPr>
        <w:spacing w:line="360" w:lineRule="auto"/>
        <w:ind w:firstLine="480" w:firstLineChars="200"/>
        <w:rPr>
          <w:rFonts w:ascii="宋体" w:hAnsi="宋体"/>
          <w:color w:val="auto"/>
          <w:sz w:val="24"/>
          <w:szCs w:val="24"/>
        </w:rPr>
      </w:pPr>
      <w:r>
        <w:rPr>
          <w:rFonts w:hint="eastAsia" w:ascii="宋体" w:hAnsi="宋体"/>
          <w:color w:val="auto"/>
          <w:sz w:val="24"/>
          <w:szCs w:val="24"/>
        </w:rPr>
        <w:t>（二）联合体</w:t>
      </w:r>
    </w:p>
    <w:p w14:paraId="0C8CD680">
      <w:pPr>
        <w:spacing w:line="360" w:lineRule="auto"/>
        <w:ind w:firstLine="480" w:firstLineChars="200"/>
        <w:rPr>
          <w:rFonts w:ascii="宋体" w:hAnsi="宋体"/>
          <w:color w:val="auto"/>
          <w:sz w:val="24"/>
          <w:szCs w:val="24"/>
        </w:rPr>
      </w:pPr>
      <w:r>
        <w:rPr>
          <w:rFonts w:hint="eastAsia" w:ascii="宋体" w:hAnsi="宋体"/>
          <w:color w:val="auto"/>
          <w:sz w:val="24"/>
          <w:szCs w:val="24"/>
        </w:rPr>
        <w:t>本项目不接受联合体比选。</w:t>
      </w:r>
    </w:p>
    <w:p w14:paraId="669B5EAE">
      <w:pPr>
        <w:spacing w:line="360" w:lineRule="auto"/>
        <w:ind w:firstLine="480" w:firstLineChars="200"/>
        <w:rPr>
          <w:rFonts w:ascii="宋体" w:hAnsi="宋体"/>
          <w:color w:val="auto"/>
          <w:sz w:val="24"/>
          <w:szCs w:val="24"/>
        </w:rPr>
      </w:pPr>
      <w:r>
        <w:rPr>
          <w:rFonts w:hint="eastAsia" w:ascii="宋体" w:hAnsi="宋体"/>
          <w:color w:val="auto"/>
          <w:sz w:val="24"/>
          <w:szCs w:val="24"/>
        </w:rPr>
        <w:t>（三）比选有效期：响应文件及有关承诺文件有效期为提交响应文件截止时间起90天。</w:t>
      </w:r>
    </w:p>
    <w:p w14:paraId="24F6590D">
      <w:pPr>
        <w:spacing w:line="360" w:lineRule="auto"/>
        <w:ind w:firstLine="480" w:firstLineChars="200"/>
        <w:rPr>
          <w:rFonts w:ascii="宋体" w:hAnsi="宋体"/>
          <w:color w:val="auto"/>
          <w:sz w:val="24"/>
          <w:szCs w:val="24"/>
        </w:rPr>
      </w:pPr>
      <w:r>
        <w:rPr>
          <w:rFonts w:hint="eastAsia" w:ascii="宋体" w:hAnsi="宋体"/>
          <w:color w:val="auto"/>
          <w:sz w:val="24"/>
          <w:szCs w:val="24"/>
        </w:rPr>
        <w:t>（四）比选保证金：</w:t>
      </w:r>
    </w:p>
    <w:p w14:paraId="01B0967C">
      <w:pPr>
        <w:spacing w:line="360" w:lineRule="auto"/>
        <w:ind w:firstLine="480" w:firstLineChars="200"/>
        <w:rPr>
          <w:rFonts w:ascii="宋体" w:hAnsi="宋体"/>
          <w:color w:val="auto"/>
          <w:sz w:val="24"/>
          <w:szCs w:val="24"/>
        </w:rPr>
      </w:pPr>
      <w:r>
        <w:rPr>
          <w:rFonts w:hint="eastAsia" w:ascii="宋体" w:hAnsi="宋体"/>
          <w:color w:val="auto"/>
          <w:sz w:val="24"/>
          <w:szCs w:val="24"/>
        </w:rPr>
        <w:t>1.供应商提交保证金金额和方式详见本文件第一篇“五、比选保证金”；</w:t>
      </w:r>
    </w:p>
    <w:p w14:paraId="7BD869CC">
      <w:pPr>
        <w:spacing w:line="360" w:lineRule="auto"/>
        <w:ind w:firstLine="480" w:firstLineChars="200"/>
        <w:rPr>
          <w:rFonts w:ascii="宋体" w:hAnsi="宋体"/>
          <w:color w:val="auto"/>
          <w:sz w:val="24"/>
          <w:szCs w:val="24"/>
        </w:rPr>
      </w:pPr>
      <w:r>
        <w:rPr>
          <w:rFonts w:hint="eastAsia" w:ascii="宋体" w:hAnsi="宋体"/>
          <w:color w:val="auto"/>
          <w:sz w:val="24"/>
          <w:szCs w:val="24"/>
        </w:rPr>
        <w:t>2.发生以下情况之一者，比选保证金不予退还：</w:t>
      </w:r>
    </w:p>
    <w:p w14:paraId="4757BEBD">
      <w:pPr>
        <w:spacing w:line="360" w:lineRule="auto"/>
        <w:ind w:firstLine="480" w:firstLineChars="200"/>
        <w:rPr>
          <w:rFonts w:ascii="宋体" w:hAnsi="宋体"/>
          <w:color w:val="auto"/>
          <w:sz w:val="24"/>
          <w:szCs w:val="24"/>
        </w:rPr>
      </w:pPr>
      <w:r>
        <w:rPr>
          <w:rFonts w:hint="eastAsia" w:ascii="宋体" w:hAnsi="宋体"/>
          <w:color w:val="auto"/>
          <w:sz w:val="24"/>
          <w:szCs w:val="24"/>
        </w:rPr>
        <w:t>2.1 供应商在提交响应文件截止时间后撤回响应文件的；</w:t>
      </w:r>
    </w:p>
    <w:p w14:paraId="2BB67EE9">
      <w:pPr>
        <w:spacing w:line="360" w:lineRule="auto"/>
        <w:ind w:firstLine="480" w:firstLineChars="200"/>
        <w:rPr>
          <w:rFonts w:ascii="宋体" w:hAnsi="宋体"/>
          <w:color w:val="auto"/>
          <w:sz w:val="24"/>
          <w:szCs w:val="24"/>
        </w:rPr>
      </w:pPr>
      <w:r>
        <w:rPr>
          <w:rFonts w:hint="eastAsia" w:ascii="宋体" w:hAnsi="宋体"/>
          <w:color w:val="auto"/>
          <w:sz w:val="24"/>
          <w:szCs w:val="24"/>
        </w:rPr>
        <w:t>2.2 供应商在响应文件中提供虚假材料的；</w:t>
      </w:r>
    </w:p>
    <w:p w14:paraId="4E99E05E">
      <w:pPr>
        <w:spacing w:line="360" w:lineRule="auto"/>
        <w:ind w:firstLine="480" w:firstLineChars="200"/>
        <w:rPr>
          <w:rFonts w:ascii="宋体" w:hAnsi="宋体"/>
          <w:color w:val="auto"/>
          <w:sz w:val="24"/>
          <w:szCs w:val="24"/>
        </w:rPr>
      </w:pPr>
      <w:r>
        <w:rPr>
          <w:rFonts w:hint="eastAsia" w:ascii="宋体" w:hAnsi="宋体"/>
          <w:color w:val="auto"/>
          <w:sz w:val="24"/>
          <w:szCs w:val="24"/>
        </w:rPr>
        <w:t>2.3 除因不可抗力或竞争性比选文件认可的情形以外，成交供应商不与采购人签订合同的；</w:t>
      </w:r>
    </w:p>
    <w:p w14:paraId="4FAEE4CC">
      <w:pPr>
        <w:spacing w:line="360" w:lineRule="auto"/>
        <w:ind w:firstLine="480" w:firstLineChars="200"/>
        <w:rPr>
          <w:rFonts w:ascii="宋体" w:hAnsi="宋体"/>
          <w:color w:val="auto"/>
          <w:sz w:val="24"/>
          <w:szCs w:val="24"/>
        </w:rPr>
      </w:pPr>
      <w:r>
        <w:rPr>
          <w:rFonts w:hint="eastAsia" w:ascii="宋体" w:hAnsi="宋体"/>
          <w:color w:val="auto"/>
          <w:sz w:val="24"/>
          <w:szCs w:val="24"/>
        </w:rPr>
        <w:t>2.4 供应商与采购人、其他供应商或者采购代理机构恶意串通的；</w:t>
      </w:r>
    </w:p>
    <w:p w14:paraId="3D3374F8">
      <w:pPr>
        <w:spacing w:line="360" w:lineRule="auto"/>
        <w:ind w:firstLine="480" w:firstLineChars="200"/>
        <w:rPr>
          <w:rFonts w:ascii="宋体" w:hAnsi="宋体"/>
          <w:color w:val="auto"/>
          <w:sz w:val="24"/>
          <w:szCs w:val="24"/>
        </w:rPr>
      </w:pPr>
      <w:r>
        <w:rPr>
          <w:rFonts w:hint="eastAsia" w:ascii="宋体" w:hAnsi="宋体"/>
          <w:color w:val="auto"/>
          <w:sz w:val="24"/>
          <w:szCs w:val="24"/>
        </w:rPr>
        <w:t>2.5 成交供应商不按规定的时间或拒绝按成交状态签订合同。</w:t>
      </w:r>
    </w:p>
    <w:p w14:paraId="461EAA0D">
      <w:pPr>
        <w:spacing w:line="360" w:lineRule="auto"/>
        <w:ind w:firstLine="480" w:firstLineChars="200"/>
        <w:rPr>
          <w:rFonts w:ascii="宋体" w:hAnsi="宋体"/>
          <w:color w:val="auto"/>
          <w:sz w:val="24"/>
          <w:szCs w:val="24"/>
        </w:rPr>
      </w:pPr>
      <w:r>
        <w:rPr>
          <w:rFonts w:hint="eastAsia" w:ascii="宋体" w:hAnsi="宋体"/>
          <w:color w:val="auto"/>
          <w:sz w:val="24"/>
          <w:szCs w:val="24"/>
        </w:rPr>
        <w:t>（四）修正错误</w:t>
      </w:r>
    </w:p>
    <w:p w14:paraId="00E17359">
      <w:pPr>
        <w:spacing w:line="360" w:lineRule="auto"/>
        <w:ind w:firstLine="480" w:firstLineChars="200"/>
        <w:rPr>
          <w:rFonts w:ascii="宋体" w:hAnsi="宋体"/>
          <w:color w:val="auto"/>
          <w:sz w:val="24"/>
          <w:szCs w:val="24"/>
        </w:rPr>
      </w:pPr>
      <w:r>
        <w:rPr>
          <w:rFonts w:hint="eastAsia" w:ascii="宋体" w:hAnsi="宋体"/>
          <w:color w:val="auto"/>
          <w:sz w:val="24"/>
          <w:szCs w:val="24"/>
        </w:rPr>
        <w:t>1.若供应商所递交的响应文件或报价中的价格出现大写金额和小写金额不一致的错误，以大写金额修正为准。</w:t>
      </w:r>
    </w:p>
    <w:p w14:paraId="6E7308B0">
      <w:pPr>
        <w:spacing w:line="360" w:lineRule="auto"/>
        <w:ind w:firstLine="480" w:firstLineChars="200"/>
        <w:rPr>
          <w:rFonts w:ascii="宋体" w:hAnsi="宋体"/>
          <w:color w:val="auto"/>
          <w:sz w:val="24"/>
          <w:szCs w:val="24"/>
        </w:rPr>
      </w:pPr>
      <w:r>
        <w:rPr>
          <w:rFonts w:hint="eastAsia" w:ascii="宋体" w:hAnsi="宋体"/>
          <w:color w:val="auto"/>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3D967DB1">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（五）提交响应文件的份数和签署</w:t>
      </w:r>
    </w:p>
    <w:p w14:paraId="3404F9B6">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1.响应文件一式四份，其中正本一份，副本二份，电子文档一份；副本可为正本的复印件，应与正本一致，如出现不一致情况以正本为准。</w:t>
      </w:r>
    </w:p>
    <w:p w14:paraId="64272A36">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rPr>
        <w:t>在响应文件正本中，竞争性比选文件第七篇响应文件编制要求中规定签字、盖章的地方必须按其规定签字、盖章。</w:t>
      </w:r>
    </w:p>
    <w:p w14:paraId="2BBB5670">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（六）响应文件的递交</w:t>
      </w:r>
    </w:p>
    <w:p w14:paraId="7A0E5326">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1.响应文件的密封与标记</w:t>
      </w:r>
    </w:p>
    <w:p w14:paraId="6E386265">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1A23FA2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响应文件的装订形式为</w:t>
      </w:r>
      <w:r>
        <w:rPr>
          <w:rFonts w:hint="eastAsia" w:ascii="宋体" w:hAnsi="宋体"/>
          <w:b/>
          <w:color w:val="auto"/>
          <w:sz w:val="24"/>
          <w:szCs w:val="24"/>
        </w:rPr>
        <w:t>胶装</w:t>
      </w:r>
      <w:r>
        <w:rPr>
          <w:rFonts w:hint="eastAsia" w:ascii="宋体" w:hAnsi="宋体"/>
          <w:color w:val="auto"/>
          <w:sz w:val="24"/>
          <w:szCs w:val="24"/>
        </w:rPr>
        <w:t>。</w:t>
      </w:r>
    </w:p>
    <w:p w14:paraId="549483B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2.响应文件递交截止时间：参阅采购邀请书。</w:t>
      </w:r>
    </w:p>
    <w:p w14:paraId="137AC0F5">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3.响应文件语言：简体中文</w:t>
      </w:r>
    </w:p>
    <w:p w14:paraId="6680F390">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（七）供应商参与人员</w:t>
      </w:r>
    </w:p>
    <w:p w14:paraId="7A737ABC">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各个供应商可派1-2名代表参与比选，至少1人应为法定代表人或具有法定代表人授权委托书的授权代表。</w:t>
      </w:r>
    </w:p>
    <w:p w14:paraId="3C839223">
      <w:pPr>
        <w:pStyle w:val="6"/>
        <w:spacing w:before="0" w:after="0" w:line="360" w:lineRule="auto"/>
        <w:ind w:firstLine="480" w:firstLineChars="200"/>
        <w:rPr>
          <w:rFonts w:ascii="宋体" w:hAnsi="宋体"/>
          <w:color w:val="auto"/>
          <w:sz w:val="24"/>
          <w:szCs w:val="24"/>
        </w:rPr>
      </w:pPr>
      <w:bookmarkStart w:id="117" w:name="_Toc26326"/>
      <w:r>
        <w:rPr>
          <w:rFonts w:hint="eastAsia" w:ascii="宋体" w:hAnsi="宋体"/>
          <w:color w:val="auto"/>
          <w:sz w:val="24"/>
          <w:szCs w:val="24"/>
        </w:rPr>
        <w:t>四、成交供应商的确认和变更</w:t>
      </w:r>
      <w:bookmarkEnd w:id="117"/>
    </w:p>
    <w:p w14:paraId="70D57442">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（一）成交供应商的确认</w:t>
      </w:r>
    </w:p>
    <w:p w14:paraId="29FB43C4">
      <w:pPr>
        <w:snapToGrid w:val="0"/>
        <w:spacing w:line="360" w:lineRule="auto"/>
        <w:ind w:firstLine="480" w:firstLineChars="200"/>
        <w:rPr>
          <w:rFonts w:ascii="宋体" w:hAnsi="宋体"/>
          <w:color w:val="auto"/>
          <w:sz w:val="24"/>
          <w:szCs w:val="24"/>
        </w:rPr>
      </w:pPr>
      <w:r>
        <w:rPr>
          <w:rFonts w:ascii="宋体" w:hAnsi="宋体"/>
          <w:color w:val="auto"/>
          <w:sz w:val="24"/>
          <w:szCs w:val="24"/>
        </w:rPr>
        <w:t>采购代理机构应当在评审结束后2个工作日内将评审报告送采购人确认。采购人应当在收到评审报告后5个工作日内</w:t>
      </w:r>
      <w:r>
        <w:rPr>
          <w:rFonts w:hint="eastAsia" w:ascii="宋体" w:hAnsi="宋体"/>
          <w:color w:val="auto"/>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5B3B23AC">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（二）成交供应商的变更</w:t>
      </w:r>
    </w:p>
    <w:p w14:paraId="20C3393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D0380D6">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2.成交供应商无充分理由放弃成交的，采购人将会同采购代理机构把相关情况报财政部门，财政部门将根据相关法律法规的规定对违规供应商进行处罚。</w:t>
      </w:r>
    </w:p>
    <w:p w14:paraId="74241198">
      <w:pPr>
        <w:pStyle w:val="6"/>
        <w:spacing w:before="0" w:after="0" w:line="360" w:lineRule="auto"/>
        <w:ind w:firstLine="480" w:firstLineChars="200"/>
        <w:rPr>
          <w:rFonts w:ascii="宋体" w:hAnsi="宋体"/>
          <w:color w:val="auto"/>
          <w:sz w:val="24"/>
          <w:szCs w:val="24"/>
        </w:rPr>
      </w:pPr>
      <w:bookmarkStart w:id="118" w:name="_Toc102227321"/>
      <w:bookmarkStart w:id="119" w:name="_Toc28882"/>
      <w:bookmarkStart w:id="120" w:name="_Toc342913395"/>
      <w:r>
        <w:rPr>
          <w:rFonts w:hint="eastAsia" w:ascii="宋体" w:hAnsi="宋体"/>
          <w:color w:val="auto"/>
          <w:sz w:val="24"/>
          <w:szCs w:val="24"/>
        </w:rPr>
        <w:t>五、成交通知</w:t>
      </w:r>
      <w:bookmarkEnd w:id="118"/>
      <w:bookmarkEnd w:id="119"/>
      <w:bookmarkEnd w:id="120"/>
    </w:p>
    <w:p w14:paraId="028A2DFF">
      <w:pPr>
        <w:spacing w:line="360" w:lineRule="auto"/>
        <w:ind w:firstLine="480" w:firstLineChars="200"/>
        <w:rPr>
          <w:rFonts w:ascii="宋体" w:hAnsi="宋体"/>
          <w:color w:val="auto"/>
          <w:sz w:val="24"/>
          <w:szCs w:val="24"/>
        </w:rPr>
      </w:pPr>
      <w:r>
        <w:rPr>
          <w:rFonts w:hint="eastAsia" w:ascii="宋体" w:hAnsi="宋体"/>
          <w:color w:val="auto"/>
          <w:sz w:val="24"/>
          <w:szCs w:val="24"/>
        </w:rPr>
        <w:t>（一）成交供应商确定后，采购代理机构将在重庆市人民政府口岸和物流办公室官网（http://zfkawlb.cq.gov.cn/）发布成交结果公告。</w:t>
      </w:r>
    </w:p>
    <w:p w14:paraId="7C9DED08">
      <w:pPr>
        <w:spacing w:line="360" w:lineRule="auto"/>
        <w:ind w:firstLine="480" w:firstLineChars="200"/>
        <w:rPr>
          <w:rFonts w:ascii="宋体" w:hAnsi="宋体"/>
          <w:color w:val="auto"/>
          <w:sz w:val="24"/>
          <w:szCs w:val="24"/>
        </w:rPr>
      </w:pPr>
      <w:r>
        <w:rPr>
          <w:rFonts w:hint="eastAsia" w:ascii="宋体" w:hAnsi="宋体"/>
          <w:color w:val="auto"/>
          <w:sz w:val="24"/>
          <w:szCs w:val="24"/>
        </w:rPr>
        <w:t>（二）结果公告期结束后，采购代理机构将以书面形式发出《成交通知书》。《成交通知书》一经发出即发生法律效力。</w:t>
      </w:r>
    </w:p>
    <w:p w14:paraId="7AD53B30">
      <w:pPr>
        <w:spacing w:line="360" w:lineRule="auto"/>
        <w:ind w:firstLine="480" w:firstLineChars="200"/>
        <w:rPr>
          <w:rFonts w:ascii="宋体" w:hAnsi="宋体"/>
          <w:color w:val="auto"/>
          <w:sz w:val="24"/>
          <w:szCs w:val="24"/>
        </w:rPr>
      </w:pPr>
      <w:r>
        <w:rPr>
          <w:rFonts w:hint="eastAsia" w:ascii="宋体" w:hAnsi="宋体"/>
          <w:color w:val="auto"/>
          <w:sz w:val="24"/>
          <w:szCs w:val="24"/>
        </w:rPr>
        <w:t>（三）《成交通知书》将作为签订合同的依据。</w:t>
      </w:r>
    </w:p>
    <w:p w14:paraId="4B3912C2">
      <w:pPr>
        <w:spacing w:line="360" w:lineRule="auto"/>
        <w:ind w:firstLine="480" w:firstLineChars="200"/>
        <w:rPr>
          <w:rFonts w:ascii="宋体" w:hAnsi="宋体"/>
          <w:color w:val="auto"/>
        </w:rPr>
      </w:pPr>
      <w:r>
        <w:rPr>
          <w:rFonts w:hint="eastAsia" w:ascii="宋体" w:hAnsi="宋体"/>
          <w:color w:val="auto"/>
          <w:sz w:val="24"/>
          <w:szCs w:val="24"/>
        </w:rPr>
        <w:t>（四）如有供应商对成交结果提出质疑的，在质疑处理完毕后发出成交通知书。</w:t>
      </w:r>
    </w:p>
    <w:p w14:paraId="00D7622E">
      <w:pPr>
        <w:pStyle w:val="6"/>
        <w:spacing w:before="0" w:after="0" w:line="360" w:lineRule="auto"/>
        <w:ind w:firstLine="480" w:firstLineChars="200"/>
        <w:rPr>
          <w:rFonts w:ascii="宋体" w:hAnsi="宋体"/>
          <w:color w:val="auto"/>
          <w:sz w:val="24"/>
          <w:szCs w:val="24"/>
        </w:rPr>
      </w:pPr>
      <w:bookmarkStart w:id="121" w:name="_Toc25351"/>
      <w:r>
        <w:rPr>
          <w:rFonts w:hint="eastAsia" w:ascii="宋体" w:hAnsi="宋体"/>
          <w:color w:val="auto"/>
          <w:sz w:val="24"/>
          <w:szCs w:val="24"/>
        </w:rPr>
        <w:t>六、关于质疑和投诉</w:t>
      </w:r>
      <w:bookmarkEnd w:id="121"/>
    </w:p>
    <w:p w14:paraId="27007B25">
      <w:pPr>
        <w:spacing w:line="360" w:lineRule="auto"/>
        <w:ind w:firstLine="480" w:firstLineChars="200"/>
        <w:rPr>
          <w:rFonts w:ascii="宋体" w:hAnsi="宋体"/>
          <w:color w:val="auto"/>
          <w:sz w:val="24"/>
          <w:szCs w:val="24"/>
        </w:rPr>
      </w:pPr>
      <w:r>
        <w:rPr>
          <w:rFonts w:hint="eastAsia" w:ascii="宋体" w:hAnsi="宋体"/>
          <w:color w:val="auto"/>
          <w:sz w:val="24"/>
          <w:szCs w:val="24"/>
        </w:rPr>
        <w:t>（一）质疑</w:t>
      </w:r>
    </w:p>
    <w:p w14:paraId="6C8F67B7">
      <w:pPr>
        <w:spacing w:line="360" w:lineRule="auto"/>
        <w:ind w:firstLine="570"/>
        <w:rPr>
          <w:rFonts w:ascii="宋体" w:hAnsi="宋体"/>
          <w:color w:val="auto"/>
          <w:sz w:val="24"/>
          <w:szCs w:val="24"/>
        </w:rPr>
      </w:pPr>
      <w:r>
        <w:rPr>
          <w:rFonts w:hint="eastAsia" w:ascii="宋体" w:hAnsi="宋体"/>
          <w:color w:val="auto"/>
          <w:sz w:val="24"/>
          <w:szCs w:val="24"/>
        </w:rPr>
        <w:t>供应商认为比选文件、采购过程和成交结果使自己的权益收到伤害的，可向采购人或采购代理机构以书面形式提出质疑。</w:t>
      </w:r>
    </w:p>
    <w:p w14:paraId="6901033F">
      <w:pPr>
        <w:spacing w:line="360" w:lineRule="auto"/>
        <w:ind w:firstLine="570"/>
        <w:rPr>
          <w:rFonts w:ascii="宋体" w:hAnsi="宋体"/>
          <w:color w:val="auto"/>
          <w:sz w:val="24"/>
          <w:szCs w:val="24"/>
        </w:rPr>
      </w:pPr>
      <w:r>
        <w:rPr>
          <w:rFonts w:hint="eastAsia" w:ascii="宋体" w:hAnsi="宋体"/>
          <w:color w:val="auto"/>
          <w:sz w:val="24"/>
          <w:szCs w:val="24"/>
        </w:rPr>
        <w:t>提出质疑的应当是参与所质疑项目采购活动的供应商。</w:t>
      </w:r>
    </w:p>
    <w:p w14:paraId="60D36089">
      <w:pPr>
        <w:spacing w:line="360" w:lineRule="auto"/>
        <w:ind w:firstLine="570"/>
        <w:rPr>
          <w:rFonts w:ascii="宋体" w:hAnsi="宋体"/>
          <w:color w:val="auto"/>
          <w:sz w:val="24"/>
          <w:szCs w:val="24"/>
        </w:rPr>
      </w:pPr>
      <w:r>
        <w:rPr>
          <w:rFonts w:hint="eastAsia" w:ascii="宋体" w:hAnsi="宋体"/>
          <w:color w:val="auto"/>
          <w:sz w:val="24"/>
          <w:szCs w:val="24"/>
        </w:rPr>
        <w:t>1.质疑内容、时限</w:t>
      </w:r>
    </w:p>
    <w:p w14:paraId="0E269E93">
      <w:pPr>
        <w:spacing w:line="360" w:lineRule="auto"/>
        <w:ind w:firstLine="570"/>
        <w:rPr>
          <w:rFonts w:ascii="宋体" w:hAnsi="宋体"/>
          <w:color w:val="auto"/>
          <w:sz w:val="24"/>
          <w:szCs w:val="24"/>
        </w:rPr>
      </w:pPr>
      <w:r>
        <w:rPr>
          <w:rFonts w:hint="eastAsia" w:ascii="宋体" w:hAnsi="宋体"/>
          <w:color w:val="auto"/>
          <w:sz w:val="24"/>
          <w:szCs w:val="24"/>
        </w:rPr>
        <w:t>1.1供应商认为比选文件、采购过程、成交结果使自己的权益受到损害的，可以在知道或者应知其权益受到损害之日起7个工作日内，以书面形式向采购人、采购代理机构提出质疑。</w:t>
      </w:r>
    </w:p>
    <w:p w14:paraId="30229713">
      <w:pPr>
        <w:spacing w:line="360" w:lineRule="auto"/>
        <w:ind w:firstLine="570"/>
        <w:rPr>
          <w:rFonts w:ascii="宋体" w:hAnsi="宋体"/>
          <w:color w:val="auto"/>
          <w:sz w:val="24"/>
          <w:szCs w:val="24"/>
        </w:rPr>
      </w:pPr>
      <w:r>
        <w:rPr>
          <w:rFonts w:hint="eastAsia" w:ascii="宋体" w:hAnsi="宋体"/>
          <w:color w:val="auto"/>
          <w:sz w:val="24"/>
          <w:szCs w:val="24"/>
        </w:rPr>
        <w:t>1.2 供应商提出质疑应当提交质疑函和必要的证明材料，质疑函应当包括下列内容：</w:t>
      </w:r>
    </w:p>
    <w:p w14:paraId="609CFDA1">
      <w:pPr>
        <w:spacing w:line="360" w:lineRule="auto"/>
        <w:ind w:firstLine="570"/>
        <w:rPr>
          <w:rFonts w:ascii="宋体" w:hAnsi="宋体"/>
          <w:color w:val="auto"/>
          <w:sz w:val="24"/>
          <w:szCs w:val="24"/>
        </w:rPr>
      </w:pPr>
      <w:r>
        <w:rPr>
          <w:rFonts w:hint="eastAsia" w:ascii="宋体" w:hAnsi="宋体"/>
          <w:color w:val="auto"/>
          <w:sz w:val="24"/>
          <w:szCs w:val="24"/>
        </w:rPr>
        <w:t>（1）供应商的姓名或者名称、地址、邮编、联系人及联系电话；</w:t>
      </w:r>
    </w:p>
    <w:p w14:paraId="28E8C135">
      <w:pPr>
        <w:spacing w:line="360" w:lineRule="auto"/>
        <w:ind w:firstLine="570"/>
        <w:rPr>
          <w:rFonts w:ascii="宋体" w:hAnsi="宋体"/>
          <w:color w:val="auto"/>
          <w:sz w:val="24"/>
          <w:szCs w:val="24"/>
        </w:rPr>
      </w:pPr>
      <w:r>
        <w:rPr>
          <w:rFonts w:hint="eastAsia" w:ascii="宋体" w:hAnsi="宋体"/>
          <w:color w:val="auto"/>
          <w:sz w:val="24"/>
          <w:szCs w:val="24"/>
        </w:rPr>
        <w:t>（2）质疑项目的名称、项目号以及招标项目编号；</w:t>
      </w:r>
    </w:p>
    <w:p w14:paraId="7288DAEF">
      <w:pPr>
        <w:spacing w:line="360" w:lineRule="auto"/>
        <w:ind w:firstLine="570"/>
        <w:rPr>
          <w:rFonts w:ascii="宋体" w:hAnsi="宋体"/>
          <w:color w:val="auto"/>
          <w:sz w:val="24"/>
          <w:szCs w:val="24"/>
        </w:rPr>
      </w:pPr>
      <w:r>
        <w:rPr>
          <w:rFonts w:hint="eastAsia" w:ascii="宋体" w:hAnsi="宋体"/>
          <w:color w:val="auto"/>
          <w:sz w:val="24"/>
          <w:szCs w:val="24"/>
        </w:rPr>
        <w:t>（3）具体、明确的质疑事项和与质疑事项相关的请求；</w:t>
      </w:r>
    </w:p>
    <w:p w14:paraId="3BF0272D">
      <w:pPr>
        <w:spacing w:line="360" w:lineRule="auto"/>
        <w:ind w:firstLine="570"/>
        <w:rPr>
          <w:rFonts w:ascii="宋体" w:hAnsi="宋体"/>
          <w:color w:val="auto"/>
          <w:sz w:val="24"/>
          <w:szCs w:val="24"/>
        </w:rPr>
      </w:pPr>
      <w:r>
        <w:rPr>
          <w:rFonts w:hint="eastAsia" w:ascii="宋体" w:hAnsi="宋体"/>
          <w:color w:val="auto"/>
          <w:sz w:val="24"/>
          <w:szCs w:val="24"/>
        </w:rPr>
        <w:t>（4）事实依据；</w:t>
      </w:r>
    </w:p>
    <w:p w14:paraId="7666021C">
      <w:pPr>
        <w:spacing w:line="360" w:lineRule="auto"/>
        <w:ind w:firstLine="570"/>
        <w:rPr>
          <w:rFonts w:ascii="宋体" w:hAnsi="宋体"/>
          <w:color w:val="auto"/>
          <w:sz w:val="24"/>
          <w:szCs w:val="24"/>
        </w:rPr>
      </w:pPr>
      <w:r>
        <w:rPr>
          <w:rFonts w:hint="eastAsia" w:ascii="宋体" w:hAnsi="宋体"/>
          <w:color w:val="auto"/>
          <w:sz w:val="24"/>
          <w:szCs w:val="24"/>
        </w:rPr>
        <w:t>（5）必要的法律依据；</w:t>
      </w:r>
    </w:p>
    <w:p w14:paraId="22BFE720">
      <w:pPr>
        <w:spacing w:line="360" w:lineRule="auto"/>
        <w:ind w:firstLine="570"/>
        <w:rPr>
          <w:rFonts w:ascii="宋体" w:hAnsi="宋体"/>
          <w:color w:val="auto"/>
          <w:sz w:val="24"/>
          <w:szCs w:val="24"/>
        </w:rPr>
      </w:pPr>
      <w:r>
        <w:rPr>
          <w:rFonts w:hint="eastAsia" w:ascii="宋体" w:hAnsi="宋体"/>
          <w:color w:val="auto"/>
          <w:sz w:val="24"/>
          <w:szCs w:val="24"/>
        </w:rPr>
        <w:t>（6）提出质疑的日期；</w:t>
      </w:r>
    </w:p>
    <w:p w14:paraId="6D680EA1">
      <w:pPr>
        <w:spacing w:line="360" w:lineRule="auto"/>
        <w:ind w:firstLine="570"/>
        <w:rPr>
          <w:rFonts w:ascii="宋体" w:hAnsi="宋体"/>
          <w:color w:val="auto"/>
          <w:sz w:val="24"/>
          <w:szCs w:val="24"/>
        </w:rPr>
      </w:pPr>
      <w:r>
        <w:rPr>
          <w:rFonts w:hint="eastAsia" w:ascii="宋体" w:hAnsi="宋体"/>
          <w:color w:val="auto"/>
          <w:sz w:val="24"/>
          <w:szCs w:val="24"/>
        </w:rPr>
        <w:t>（7）营业执照（或事业单位法人证书，或个体工商户营业执照或有效的自然人身份证明、组织机构代码证）复印件；</w:t>
      </w:r>
    </w:p>
    <w:p w14:paraId="0E2EFC60">
      <w:pPr>
        <w:spacing w:line="360" w:lineRule="auto"/>
        <w:ind w:firstLine="570"/>
        <w:rPr>
          <w:rFonts w:ascii="宋体" w:hAnsi="宋体"/>
          <w:color w:val="auto"/>
          <w:sz w:val="24"/>
          <w:szCs w:val="24"/>
        </w:rPr>
      </w:pPr>
      <w:r>
        <w:rPr>
          <w:rFonts w:hint="eastAsia" w:ascii="宋体" w:hAnsi="宋体"/>
          <w:color w:val="auto"/>
          <w:sz w:val="24"/>
          <w:szCs w:val="24"/>
        </w:rPr>
        <w:t>（8）法定代表人授权委托书原件、法定代表人身份证复印件和其授权代表的身份证复印件（供应商为自然人的提供自然人身份证复印件）；</w:t>
      </w:r>
    </w:p>
    <w:p w14:paraId="77497914">
      <w:pPr>
        <w:spacing w:line="360" w:lineRule="auto"/>
        <w:ind w:firstLine="570"/>
        <w:rPr>
          <w:rFonts w:ascii="宋体" w:hAnsi="宋体"/>
          <w:color w:val="auto"/>
          <w:sz w:val="24"/>
          <w:szCs w:val="24"/>
        </w:rPr>
      </w:pPr>
      <w:r>
        <w:rPr>
          <w:rFonts w:hint="eastAsia" w:ascii="宋体" w:hAnsi="宋体"/>
          <w:color w:val="auto"/>
          <w:sz w:val="24"/>
          <w:szCs w:val="24"/>
        </w:rPr>
        <w:t>1.3 供应商为自然人的，质疑函应当由本人签字；供应商为法人或者其他组织的，质疑函应当由法定代表人、主要负责人，或者其授权代表签字或者盖章，并加盖公章。</w:t>
      </w:r>
    </w:p>
    <w:p w14:paraId="6F3836F1">
      <w:pPr>
        <w:spacing w:line="360" w:lineRule="auto"/>
        <w:ind w:firstLine="570"/>
        <w:rPr>
          <w:rFonts w:ascii="宋体" w:hAnsi="宋体"/>
          <w:color w:val="auto"/>
          <w:sz w:val="24"/>
          <w:szCs w:val="24"/>
        </w:rPr>
      </w:pPr>
      <w:r>
        <w:rPr>
          <w:rFonts w:hint="eastAsia" w:ascii="宋体" w:hAnsi="宋体"/>
          <w:color w:val="auto"/>
          <w:sz w:val="24"/>
          <w:szCs w:val="24"/>
        </w:rPr>
        <w:t>2.质疑答复</w:t>
      </w:r>
    </w:p>
    <w:p w14:paraId="076F0C15">
      <w:pPr>
        <w:spacing w:line="360" w:lineRule="auto"/>
        <w:ind w:firstLine="570"/>
        <w:rPr>
          <w:rFonts w:ascii="宋体" w:hAnsi="宋体"/>
          <w:color w:val="auto"/>
          <w:sz w:val="24"/>
          <w:szCs w:val="24"/>
        </w:rPr>
      </w:pPr>
      <w:r>
        <w:rPr>
          <w:rFonts w:hint="eastAsia" w:ascii="宋体" w:hAnsi="宋体"/>
          <w:color w:val="auto"/>
          <w:sz w:val="24"/>
          <w:szCs w:val="24"/>
        </w:rPr>
        <w:t>采购人、采购代理机构应当在收到供应商的书面质疑后七个工作日内作出答复，并以书面形式通知质疑供应商和其他有关供应商。</w:t>
      </w:r>
    </w:p>
    <w:p w14:paraId="4F8678F3">
      <w:pPr>
        <w:spacing w:line="360" w:lineRule="auto"/>
        <w:ind w:firstLine="570"/>
        <w:rPr>
          <w:rFonts w:ascii="宋体" w:hAnsi="宋体"/>
          <w:color w:val="auto"/>
          <w:sz w:val="24"/>
          <w:szCs w:val="24"/>
        </w:rPr>
      </w:pPr>
      <w:r>
        <w:rPr>
          <w:rFonts w:hint="eastAsia" w:ascii="宋体" w:hAnsi="宋体"/>
          <w:color w:val="auto"/>
          <w:sz w:val="24"/>
          <w:szCs w:val="24"/>
        </w:rPr>
        <w:t>3.其他</w:t>
      </w:r>
    </w:p>
    <w:p w14:paraId="3188589F">
      <w:pPr>
        <w:spacing w:line="360" w:lineRule="auto"/>
        <w:ind w:firstLine="570"/>
        <w:rPr>
          <w:rFonts w:ascii="宋体" w:hAnsi="宋体"/>
          <w:color w:val="auto"/>
          <w:sz w:val="24"/>
          <w:szCs w:val="24"/>
        </w:rPr>
      </w:pPr>
      <w:r>
        <w:rPr>
          <w:rFonts w:hint="eastAsia" w:ascii="宋体" w:hAnsi="宋体"/>
          <w:color w:val="auto"/>
          <w:sz w:val="24"/>
          <w:szCs w:val="24"/>
        </w:rPr>
        <w:t>3.1 供应商应按照《政府采购质疑和投诉办法》（财政部令第94号）及相关法律法规要求，在法定质疑期内一次性提出针对同一采购程序环节的质疑。</w:t>
      </w:r>
    </w:p>
    <w:p w14:paraId="55F251BA">
      <w:pPr>
        <w:spacing w:line="360" w:lineRule="auto"/>
        <w:ind w:firstLine="570"/>
        <w:rPr>
          <w:rFonts w:ascii="宋体" w:hAnsi="宋体"/>
          <w:color w:val="auto"/>
          <w:sz w:val="24"/>
          <w:szCs w:val="24"/>
        </w:rPr>
      </w:pPr>
      <w:r>
        <w:rPr>
          <w:rFonts w:hint="eastAsia" w:ascii="宋体" w:hAnsi="宋体"/>
          <w:color w:val="auto"/>
          <w:sz w:val="24"/>
          <w:szCs w:val="24"/>
        </w:rPr>
        <w:t>3.2 质疑函范本可在财政部门户网站和中国政府采购网下载。</w:t>
      </w:r>
    </w:p>
    <w:p w14:paraId="36366225">
      <w:pPr>
        <w:spacing w:line="360" w:lineRule="auto"/>
        <w:ind w:firstLine="570"/>
        <w:rPr>
          <w:rFonts w:ascii="宋体" w:hAnsi="宋体"/>
          <w:color w:val="auto"/>
          <w:sz w:val="24"/>
          <w:szCs w:val="24"/>
        </w:rPr>
      </w:pPr>
      <w:r>
        <w:rPr>
          <w:rFonts w:hint="eastAsia" w:ascii="宋体" w:hAnsi="宋体"/>
          <w:color w:val="auto"/>
          <w:sz w:val="24"/>
          <w:szCs w:val="24"/>
        </w:rPr>
        <w:t>（二）投诉</w:t>
      </w:r>
    </w:p>
    <w:p w14:paraId="42F2ECEF">
      <w:pPr>
        <w:spacing w:line="360" w:lineRule="auto"/>
        <w:ind w:firstLine="57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供应商对采购人、采购代理机构的答复不满意，或者采购人、采购代理机构未在规定时间内作出答复的，可以在答复期满后</w:t>
      </w:r>
      <w:r>
        <w:rPr>
          <w:rFonts w:ascii="宋体" w:hAnsi="宋体"/>
          <w:color w:val="auto"/>
          <w:sz w:val="24"/>
          <w:szCs w:val="24"/>
        </w:rPr>
        <w:t>15</w:t>
      </w:r>
      <w:r>
        <w:rPr>
          <w:rFonts w:hint="eastAsia" w:ascii="宋体" w:hAnsi="宋体"/>
          <w:color w:val="auto"/>
          <w:sz w:val="24"/>
          <w:szCs w:val="24"/>
        </w:rPr>
        <w:t>个工作日内按照相关法律法规向财政部门提起投诉。</w:t>
      </w:r>
    </w:p>
    <w:p w14:paraId="36DCA2C7">
      <w:pPr>
        <w:spacing w:line="360" w:lineRule="auto"/>
        <w:ind w:firstLine="57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供应商应按照《政府采购质疑和投诉办法》（财政部令第</w:t>
      </w:r>
      <w:r>
        <w:rPr>
          <w:rFonts w:ascii="宋体" w:hAnsi="宋体"/>
          <w:color w:val="auto"/>
          <w:sz w:val="24"/>
          <w:szCs w:val="24"/>
        </w:rPr>
        <w:t>94</w:t>
      </w:r>
      <w:r>
        <w:rPr>
          <w:rFonts w:hint="eastAsia" w:ascii="宋体" w:hAnsi="宋体"/>
          <w:color w:val="auto"/>
          <w:sz w:val="24"/>
          <w:szCs w:val="24"/>
        </w:rPr>
        <w:t>号）及相关法律法规要求递交投诉书和必要的证明材料。投诉书范本可在财政部门户网站和中国政府采购网下载。</w:t>
      </w:r>
    </w:p>
    <w:p w14:paraId="1C7C0933">
      <w:pPr>
        <w:spacing w:line="360" w:lineRule="auto"/>
        <w:ind w:firstLine="57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C6058E0">
      <w:pPr>
        <w:spacing w:line="360" w:lineRule="auto"/>
        <w:ind w:firstLine="570"/>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在确定受理投诉后，财政部门自受理投诉之日起</w:t>
      </w:r>
      <w:r>
        <w:rPr>
          <w:rFonts w:ascii="宋体" w:hAnsi="宋体"/>
          <w:color w:val="auto"/>
          <w:sz w:val="24"/>
          <w:szCs w:val="24"/>
        </w:rPr>
        <w:t>30</w:t>
      </w:r>
      <w:r>
        <w:rPr>
          <w:rFonts w:hint="eastAsia" w:ascii="宋体" w:hAnsi="宋体"/>
          <w:color w:val="auto"/>
          <w:sz w:val="24"/>
          <w:szCs w:val="24"/>
        </w:rPr>
        <w:t>个工作日内（需要检验、检测、鉴定、专家评审以及需要投诉人补正材料的，所需时间不计算在投诉处理期限内）对投诉事项做出处理决定。</w:t>
      </w:r>
    </w:p>
    <w:p w14:paraId="7EA92CBC">
      <w:pPr>
        <w:pStyle w:val="6"/>
        <w:spacing w:before="0" w:after="0" w:line="360" w:lineRule="auto"/>
        <w:ind w:firstLine="480" w:firstLineChars="200"/>
        <w:rPr>
          <w:rFonts w:ascii="宋体" w:hAnsi="宋体"/>
          <w:color w:val="auto"/>
          <w:sz w:val="24"/>
          <w:szCs w:val="24"/>
        </w:rPr>
      </w:pPr>
      <w:bookmarkStart w:id="122" w:name="_Toc27738"/>
      <w:r>
        <w:rPr>
          <w:rFonts w:hint="eastAsia" w:ascii="宋体" w:hAnsi="宋体"/>
          <w:color w:val="auto"/>
          <w:sz w:val="24"/>
          <w:szCs w:val="24"/>
        </w:rPr>
        <w:t>七、采购代理服务费</w:t>
      </w:r>
      <w:bookmarkEnd w:id="122"/>
    </w:p>
    <w:p w14:paraId="6720D1D4">
      <w:pPr>
        <w:spacing w:line="360" w:lineRule="auto"/>
        <w:ind w:firstLine="480" w:firstLineChars="200"/>
        <w:rPr>
          <w:rFonts w:ascii="宋体" w:hAnsi="宋体"/>
          <w:color w:val="auto"/>
          <w:sz w:val="24"/>
        </w:rPr>
      </w:pPr>
      <w:r>
        <w:rPr>
          <w:rFonts w:hint="eastAsia" w:ascii="宋体" w:hAnsi="宋体"/>
          <w:color w:val="auto"/>
          <w:sz w:val="24"/>
        </w:rPr>
        <w:t>（一）采购代理服务费标准</w:t>
      </w:r>
    </w:p>
    <w:p w14:paraId="6C548996">
      <w:pPr>
        <w:spacing w:line="360" w:lineRule="auto"/>
        <w:ind w:firstLine="480" w:firstLineChars="200"/>
        <w:rPr>
          <w:rFonts w:ascii="宋体" w:hAnsi="宋体"/>
          <w:color w:val="auto"/>
          <w:sz w:val="24"/>
        </w:rPr>
      </w:pPr>
      <w:r>
        <w:rPr>
          <w:rFonts w:hint="eastAsia" w:ascii="宋体" w:hAnsi="宋体"/>
          <w:color w:val="auto"/>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314F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14:paraId="20BC0315">
            <w:pPr>
              <w:spacing w:line="240" w:lineRule="atLeast"/>
              <w:jc w:val="right"/>
              <w:rPr>
                <w:rFonts w:ascii="宋体" w:hAnsi="宋体"/>
                <w:color w:val="auto"/>
                <w:sz w:val="21"/>
                <w:szCs w:val="21"/>
              </w:rPr>
            </w:pPr>
            <w:r>
              <w:rPr>
                <w:rFonts w:ascii="宋体" w:hAnsi="宋体"/>
                <w:color w:val="auto"/>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z75g9YAAAAIAQAADwAA&#10;AAAAAAABACAAAAAiAAAAZHJzL2Rvd25yZXYueG1sUEsBAhQAFAAAAAgAh07iQBGn7BXfAQAA2wMA&#10;AA4AAAAAAAAAAQAgAAAAJQEAAGRycy9lMm9Eb2MueG1sUEsFBgAAAAAGAAYAWQEAAHYFAAAAAA==&#10;">
                      <v:fill on="f" focussize="0,0"/>
                      <v:stroke color="#000000" joinstyle="round"/>
                      <v:imagedata o:title=""/>
                      <o:lock v:ext="edit" aspectratio="f"/>
                    </v:line>
                  </w:pict>
                </mc:Fallback>
              </mc:AlternateContent>
            </w:r>
            <w:r>
              <w:rPr>
                <w:rFonts w:hint="eastAsia" w:ascii="宋体" w:hAnsi="宋体"/>
                <w:color w:val="auto"/>
                <w:sz w:val="21"/>
                <w:szCs w:val="21"/>
              </w:rPr>
              <w:t>招标类型</w:t>
            </w:r>
          </w:p>
          <w:p w14:paraId="320D12F6">
            <w:pPr>
              <w:spacing w:line="240" w:lineRule="atLeast"/>
              <w:rPr>
                <w:rFonts w:ascii="宋体" w:hAnsi="宋体"/>
                <w:color w:val="auto"/>
                <w:sz w:val="21"/>
                <w:szCs w:val="21"/>
              </w:rPr>
            </w:pPr>
            <w:r>
              <w:rPr>
                <w:rFonts w:hint="eastAsia" w:ascii="宋体" w:hAnsi="宋体"/>
                <w:color w:val="auto"/>
                <w:sz w:val="21"/>
                <w:szCs w:val="21"/>
              </w:rPr>
              <w:t>中标金额（万元）</w:t>
            </w:r>
          </w:p>
        </w:tc>
        <w:tc>
          <w:tcPr>
            <w:tcW w:w="2273" w:type="dxa"/>
            <w:vAlign w:val="center"/>
          </w:tcPr>
          <w:p w14:paraId="4ECD8FF6">
            <w:pPr>
              <w:spacing w:line="240" w:lineRule="atLeast"/>
              <w:jc w:val="center"/>
              <w:rPr>
                <w:rFonts w:ascii="宋体" w:hAnsi="宋体"/>
                <w:color w:val="auto"/>
                <w:sz w:val="21"/>
                <w:szCs w:val="21"/>
              </w:rPr>
            </w:pPr>
            <w:r>
              <w:rPr>
                <w:rFonts w:hint="eastAsia" w:ascii="宋体" w:hAnsi="宋体"/>
                <w:color w:val="auto"/>
                <w:sz w:val="21"/>
                <w:szCs w:val="21"/>
              </w:rPr>
              <w:t>货物招标</w:t>
            </w:r>
          </w:p>
        </w:tc>
        <w:tc>
          <w:tcPr>
            <w:tcW w:w="2273" w:type="dxa"/>
            <w:vAlign w:val="center"/>
          </w:tcPr>
          <w:p w14:paraId="5A5CF77A">
            <w:pPr>
              <w:spacing w:line="240" w:lineRule="atLeast"/>
              <w:jc w:val="center"/>
              <w:rPr>
                <w:rFonts w:ascii="宋体" w:hAnsi="宋体"/>
                <w:color w:val="auto"/>
                <w:sz w:val="21"/>
                <w:szCs w:val="21"/>
              </w:rPr>
            </w:pPr>
            <w:r>
              <w:rPr>
                <w:rFonts w:hint="eastAsia" w:ascii="宋体" w:hAnsi="宋体"/>
                <w:color w:val="auto"/>
                <w:sz w:val="21"/>
                <w:szCs w:val="21"/>
              </w:rPr>
              <w:t>服务招标</w:t>
            </w:r>
          </w:p>
        </w:tc>
        <w:tc>
          <w:tcPr>
            <w:tcW w:w="2272" w:type="dxa"/>
            <w:vAlign w:val="center"/>
          </w:tcPr>
          <w:p w14:paraId="6AAC8EA0">
            <w:pPr>
              <w:pStyle w:val="211"/>
              <w:widowControl w:val="0"/>
              <w:pBdr>
                <w:left w:val="none" w:color="auto" w:sz="0" w:space="0"/>
                <w:right w:val="none" w:color="auto" w:sz="0" w:space="0"/>
              </w:pBdr>
              <w:spacing w:before="0" w:beforeAutospacing="0" w:after="0" w:afterAutospacing="0" w:line="240" w:lineRule="atLeast"/>
              <w:rPr>
                <w:color w:val="auto"/>
                <w:kern w:val="2"/>
                <w:sz w:val="21"/>
                <w:szCs w:val="21"/>
              </w:rPr>
            </w:pPr>
            <w:r>
              <w:rPr>
                <w:rFonts w:hint="eastAsia"/>
                <w:color w:val="auto"/>
                <w:kern w:val="2"/>
                <w:sz w:val="21"/>
                <w:szCs w:val="21"/>
              </w:rPr>
              <w:t>工程招标</w:t>
            </w:r>
          </w:p>
        </w:tc>
      </w:tr>
      <w:tr w14:paraId="78AB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572DAE5C">
            <w:pPr>
              <w:spacing w:line="240" w:lineRule="atLeast"/>
              <w:jc w:val="center"/>
              <w:rPr>
                <w:rFonts w:ascii="宋体" w:hAnsi="宋体"/>
                <w:color w:val="auto"/>
                <w:sz w:val="21"/>
                <w:szCs w:val="21"/>
              </w:rPr>
            </w:pPr>
            <w:r>
              <w:rPr>
                <w:rFonts w:hint="eastAsia" w:ascii="宋体" w:hAnsi="宋体"/>
                <w:color w:val="auto"/>
                <w:sz w:val="21"/>
                <w:szCs w:val="21"/>
              </w:rPr>
              <w:t>100（含）以下</w:t>
            </w:r>
          </w:p>
        </w:tc>
        <w:tc>
          <w:tcPr>
            <w:tcW w:w="2273" w:type="dxa"/>
            <w:vAlign w:val="center"/>
          </w:tcPr>
          <w:p w14:paraId="4C3FFC95">
            <w:pPr>
              <w:spacing w:line="240" w:lineRule="atLeast"/>
              <w:jc w:val="center"/>
              <w:rPr>
                <w:rFonts w:ascii="宋体" w:hAnsi="宋体"/>
                <w:color w:val="auto"/>
                <w:sz w:val="21"/>
                <w:szCs w:val="21"/>
              </w:rPr>
            </w:pPr>
            <w:r>
              <w:rPr>
                <w:rFonts w:hint="eastAsia" w:ascii="宋体" w:hAnsi="宋体"/>
                <w:color w:val="auto"/>
                <w:sz w:val="21"/>
                <w:szCs w:val="21"/>
              </w:rPr>
              <w:t>1.5%</w:t>
            </w:r>
          </w:p>
        </w:tc>
        <w:tc>
          <w:tcPr>
            <w:tcW w:w="2273" w:type="dxa"/>
            <w:vAlign w:val="center"/>
          </w:tcPr>
          <w:p w14:paraId="19442237">
            <w:pPr>
              <w:spacing w:line="240" w:lineRule="atLeast"/>
              <w:jc w:val="center"/>
              <w:rPr>
                <w:rFonts w:ascii="宋体" w:hAnsi="宋体"/>
                <w:color w:val="auto"/>
                <w:sz w:val="21"/>
                <w:szCs w:val="21"/>
              </w:rPr>
            </w:pPr>
            <w:r>
              <w:rPr>
                <w:rFonts w:hint="eastAsia" w:ascii="宋体" w:hAnsi="宋体"/>
                <w:color w:val="auto"/>
                <w:sz w:val="21"/>
                <w:szCs w:val="21"/>
              </w:rPr>
              <w:t>1.5%</w:t>
            </w:r>
          </w:p>
        </w:tc>
        <w:tc>
          <w:tcPr>
            <w:tcW w:w="2272" w:type="dxa"/>
            <w:vAlign w:val="center"/>
          </w:tcPr>
          <w:p w14:paraId="03C6C46D">
            <w:pPr>
              <w:spacing w:line="240" w:lineRule="atLeast"/>
              <w:jc w:val="center"/>
              <w:rPr>
                <w:rFonts w:ascii="宋体" w:hAnsi="宋体"/>
                <w:color w:val="auto"/>
                <w:sz w:val="21"/>
                <w:szCs w:val="21"/>
              </w:rPr>
            </w:pPr>
            <w:r>
              <w:rPr>
                <w:rFonts w:hint="eastAsia" w:ascii="宋体" w:hAnsi="宋体"/>
                <w:color w:val="auto"/>
                <w:sz w:val="21"/>
                <w:szCs w:val="21"/>
              </w:rPr>
              <w:t>1.0%</w:t>
            </w:r>
          </w:p>
        </w:tc>
      </w:tr>
      <w:tr w14:paraId="1EE2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3ED8C8FB">
            <w:pPr>
              <w:spacing w:line="240" w:lineRule="atLeast"/>
              <w:jc w:val="center"/>
              <w:rPr>
                <w:rFonts w:ascii="宋体" w:hAnsi="宋体"/>
                <w:color w:val="auto"/>
                <w:sz w:val="21"/>
                <w:szCs w:val="21"/>
              </w:rPr>
            </w:pPr>
            <w:r>
              <w:rPr>
                <w:rFonts w:hint="eastAsia" w:ascii="宋体" w:hAnsi="宋体"/>
                <w:color w:val="auto"/>
                <w:sz w:val="21"/>
                <w:szCs w:val="21"/>
              </w:rPr>
              <w:t>100以上-500</w:t>
            </w:r>
          </w:p>
        </w:tc>
        <w:tc>
          <w:tcPr>
            <w:tcW w:w="2273" w:type="dxa"/>
            <w:vAlign w:val="center"/>
          </w:tcPr>
          <w:p w14:paraId="32F3632C">
            <w:pPr>
              <w:spacing w:line="240" w:lineRule="atLeast"/>
              <w:jc w:val="center"/>
              <w:rPr>
                <w:rFonts w:ascii="宋体" w:hAnsi="宋体"/>
                <w:color w:val="auto"/>
                <w:sz w:val="21"/>
                <w:szCs w:val="21"/>
              </w:rPr>
            </w:pPr>
            <w:r>
              <w:rPr>
                <w:rFonts w:hint="eastAsia" w:ascii="宋体" w:hAnsi="宋体"/>
                <w:color w:val="auto"/>
                <w:sz w:val="21"/>
                <w:szCs w:val="21"/>
              </w:rPr>
              <w:t>1.1%</w:t>
            </w:r>
          </w:p>
        </w:tc>
        <w:tc>
          <w:tcPr>
            <w:tcW w:w="2273" w:type="dxa"/>
            <w:vAlign w:val="center"/>
          </w:tcPr>
          <w:p w14:paraId="5FE8ED7F">
            <w:pPr>
              <w:spacing w:line="240" w:lineRule="atLeast"/>
              <w:jc w:val="center"/>
              <w:rPr>
                <w:rFonts w:ascii="宋体" w:hAnsi="宋体"/>
                <w:color w:val="auto"/>
                <w:sz w:val="21"/>
                <w:szCs w:val="21"/>
              </w:rPr>
            </w:pPr>
            <w:r>
              <w:rPr>
                <w:rFonts w:hint="eastAsia" w:ascii="宋体" w:hAnsi="宋体"/>
                <w:color w:val="auto"/>
                <w:sz w:val="21"/>
                <w:szCs w:val="21"/>
              </w:rPr>
              <w:t>0.8%</w:t>
            </w:r>
          </w:p>
        </w:tc>
        <w:tc>
          <w:tcPr>
            <w:tcW w:w="2272" w:type="dxa"/>
            <w:vAlign w:val="center"/>
          </w:tcPr>
          <w:p w14:paraId="2BBEC04F">
            <w:pPr>
              <w:spacing w:line="240" w:lineRule="atLeast"/>
              <w:jc w:val="center"/>
              <w:rPr>
                <w:rFonts w:ascii="宋体" w:hAnsi="宋体"/>
                <w:color w:val="auto"/>
                <w:sz w:val="21"/>
                <w:szCs w:val="21"/>
              </w:rPr>
            </w:pPr>
            <w:r>
              <w:rPr>
                <w:rFonts w:hint="eastAsia" w:ascii="宋体" w:hAnsi="宋体"/>
                <w:color w:val="auto"/>
                <w:sz w:val="21"/>
                <w:szCs w:val="21"/>
              </w:rPr>
              <w:t>0.7%</w:t>
            </w:r>
          </w:p>
        </w:tc>
      </w:tr>
      <w:tr w14:paraId="6D7B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3164339E">
            <w:pPr>
              <w:spacing w:line="240" w:lineRule="atLeast"/>
              <w:jc w:val="center"/>
              <w:rPr>
                <w:rFonts w:ascii="宋体" w:hAnsi="宋体"/>
                <w:color w:val="auto"/>
                <w:sz w:val="21"/>
                <w:szCs w:val="21"/>
              </w:rPr>
            </w:pPr>
            <w:r>
              <w:rPr>
                <w:rFonts w:hint="eastAsia" w:ascii="宋体" w:hAnsi="宋体"/>
                <w:color w:val="auto"/>
                <w:sz w:val="21"/>
                <w:szCs w:val="21"/>
              </w:rPr>
              <w:t>500以上-1000</w:t>
            </w:r>
          </w:p>
        </w:tc>
        <w:tc>
          <w:tcPr>
            <w:tcW w:w="2273" w:type="dxa"/>
            <w:vAlign w:val="center"/>
          </w:tcPr>
          <w:p w14:paraId="6FE3D5A9">
            <w:pPr>
              <w:spacing w:line="240" w:lineRule="atLeast"/>
              <w:jc w:val="center"/>
              <w:rPr>
                <w:rFonts w:ascii="宋体" w:hAnsi="宋体"/>
                <w:color w:val="auto"/>
                <w:sz w:val="21"/>
                <w:szCs w:val="21"/>
              </w:rPr>
            </w:pPr>
            <w:r>
              <w:rPr>
                <w:rFonts w:hint="eastAsia" w:ascii="宋体" w:hAnsi="宋体"/>
                <w:color w:val="auto"/>
                <w:sz w:val="21"/>
                <w:szCs w:val="21"/>
              </w:rPr>
              <w:t>0.8%</w:t>
            </w:r>
          </w:p>
        </w:tc>
        <w:tc>
          <w:tcPr>
            <w:tcW w:w="2273" w:type="dxa"/>
            <w:vAlign w:val="center"/>
          </w:tcPr>
          <w:p w14:paraId="400CF413">
            <w:pPr>
              <w:spacing w:line="240" w:lineRule="atLeast"/>
              <w:jc w:val="center"/>
              <w:rPr>
                <w:rFonts w:ascii="宋体" w:hAnsi="宋体"/>
                <w:color w:val="auto"/>
                <w:sz w:val="21"/>
                <w:szCs w:val="21"/>
              </w:rPr>
            </w:pPr>
            <w:r>
              <w:rPr>
                <w:rFonts w:hint="eastAsia" w:ascii="宋体" w:hAnsi="宋体"/>
                <w:color w:val="auto"/>
                <w:sz w:val="21"/>
                <w:szCs w:val="21"/>
              </w:rPr>
              <w:t>0.45%</w:t>
            </w:r>
          </w:p>
        </w:tc>
        <w:tc>
          <w:tcPr>
            <w:tcW w:w="2272" w:type="dxa"/>
            <w:vAlign w:val="center"/>
          </w:tcPr>
          <w:p w14:paraId="12C9BEC2">
            <w:pPr>
              <w:spacing w:line="240" w:lineRule="atLeast"/>
              <w:jc w:val="center"/>
              <w:rPr>
                <w:rFonts w:ascii="宋体" w:hAnsi="宋体"/>
                <w:color w:val="auto"/>
                <w:sz w:val="21"/>
                <w:szCs w:val="21"/>
              </w:rPr>
            </w:pPr>
            <w:r>
              <w:rPr>
                <w:rFonts w:hint="eastAsia" w:ascii="宋体" w:hAnsi="宋体"/>
                <w:color w:val="auto"/>
                <w:sz w:val="21"/>
                <w:szCs w:val="21"/>
              </w:rPr>
              <w:t>0.55%</w:t>
            </w:r>
          </w:p>
        </w:tc>
      </w:tr>
    </w:tbl>
    <w:p w14:paraId="276AD039">
      <w:pPr>
        <w:snapToGrid w:val="0"/>
        <w:spacing w:line="360" w:lineRule="auto"/>
        <w:ind w:firstLine="480" w:firstLineChars="200"/>
        <w:rPr>
          <w:rFonts w:ascii="宋体" w:hAnsi="宋体"/>
          <w:color w:val="auto"/>
          <w:sz w:val="24"/>
        </w:rPr>
      </w:pPr>
      <w:r>
        <w:rPr>
          <w:rFonts w:hint="eastAsia" w:ascii="宋体" w:hAnsi="宋体"/>
          <w:color w:val="auto"/>
          <w:sz w:val="24"/>
        </w:rPr>
        <w:t>注：采购代理服务收费按差额定率累进法计算。采购代理服务费按上表计算出不足3</w:t>
      </w:r>
      <w:r>
        <w:rPr>
          <w:rFonts w:ascii="宋体" w:hAnsi="宋体"/>
          <w:color w:val="auto"/>
          <w:sz w:val="24"/>
        </w:rPr>
        <w:t>5</w:t>
      </w:r>
      <w:r>
        <w:rPr>
          <w:rFonts w:hint="eastAsia" w:ascii="宋体" w:hAnsi="宋体"/>
          <w:color w:val="auto"/>
          <w:sz w:val="24"/>
        </w:rPr>
        <w:t>00元的，按3</w:t>
      </w:r>
      <w:r>
        <w:rPr>
          <w:rFonts w:ascii="宋体" w:hAnsi="宋体"/>
          <w:color w:val="auto"/>
          <w:sz w:val="24"/>
        </w:rPr>
        <w:t>5</w:t>
      </w:r>
      <w:r>
        <w:rPr>
          <w:rFonts w:hint="eastAsia" w:ascii="宋体" w:hAnsi="宋体"/>
          <w:color w:val="auto"/>
          <w:sz w:val="24"/>
        </w:rPr>
        <w:t>00元记取。</w:t>
      </w:r>
    </w:p>
    <w:p w14:paraId="0EB10E48">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（二）采购代理服务费缴纳账户信息：</w:t>
      </w:r>
    </w:p>
    <w:p w14:paraId="5E72E9C4">
      <w:pPr>
        <w:snapToGrid w:val="0"/>
        <w:spacing w:line="360" w:lineRule="auto"/>
        <w:ind w:firstLine="480" w:firstLineChars="200"/>
        <w:rPr>
          <w:rFonts w:ascii="宋体" w:hAnsi="宋体"/>
          <w:b/>
          <w:color w:val="auto"/>
          <w:sz w:val="24"/>
          <w:szCs w:val="24"/>
        </w:rPr>
      </w:pPr>
      <w:r>
        <w:rPr>
          <w:rFonts w:hint="eastAsia" w:ascii="宋体" w:hAnsi="宋体"/>
          <w:b/>
          <w:color w:val="auto"/>
          <w:sz w:val="24"/>
          <w:szCs w:val="24"/>
        </w:rPr>
        <w:t>户  名：重庆市中基致信招标代理有限公司</w:t>
      </w:r>
    </w:p>
    <w:p w14:paraId="1770134F">
      <w:pPr>
        <w:snapToGrid w:val="0"/>
        <w:spacing w:line="360" w:lineRule="auto"/>
        <w:ind w:firstLine="480" w:firstLineChars="200"/>
        <w:rPr>
          <w:rFonts w:ascii="宋体" w:hAnsi="宋体"/>
          <w:b/>
          <w:color w:val="auto"/>
          <w:sz w:val="24"/>
          <w:szCs w:val="24"/>
        </w:rPr>
      </w:pPr>
      <w:r>
        <w:rPr>
          <w:rFonts w:hint="eastAsia" w:ascii="宋体" w:hAnsi="宋体"/>
          <w:b/>
          <w:color w:val="auto"/>
          <w:sz w:val="24"/>
          <w:szCs w:val="24"/>
        </w:rPr>
        <w:t>开户行：中国银行重庆江北支行</w:t>
      </w:r>
    </w:p>
    <w:p w14:paraId="6C2E64C5">
      <w:pPr>
        <w:snapToGrid w:val="0"/>
        <w:spacing w:line="360" w:lineRule="auto"/>
        <w:ind w:firstLine="480" w:firstLineChars="200"/>
        <w:rPr>
          <w:rFonts w:ascii="宋体" w:hAnsi="宋体"/>
          <w:b/>
          <w:color w:val="auto"/>
          <w:sz w:val="24"/>
          <w:szCs w:val="24"/>
        </w:rPr>
      </w:pPr>
      <w:r>
        <w:rPr>
          <w:rFonts w:hint="eastAsia" w:ascii="宋体" w:hAnsi="宋体"/>
          <w:b/>
          <w:color w:val="auto"/>
          <w:sz w:val="24"/>
          <w:szCs w:val="24"/>
        </w:rPr>
        <w:t>账  号：1144 6718 4234</w:t>
      </w:r>
    </w:p>
    <w:p w14:paraId="65CCDE4F">
      <w:pPr>
        <w:pStyle w:val="6"/>
        <w:spacing w:before="0" w:after="0" w:line="360" w:lineRule="auto"/>
        <w:ind w:firstLine="480" w:firstLineChars="200"/>
        <w:rPr>
          <w:rFonts w:ascii="宋体" w:hAnsi="宋体"/>
          <w:color w:val="auto"/>
          <w:sz w:val="24"/>
          <w:szCs w:val="24"/>
        </w:rPr>
      </w:pPr>
      <w:bookmarkStart w:id="123" w:name="_Toc102227322"/>
      <w:bookmarkStart w:id="124" w:name="_Toc16182"/>
      <w:bookmarkStart w:id="125" w:name="_Toc342913396"/>
      <w:bookmarkStart w:id="126" w:name="_Toc11641055"/>
      <w:bookmarkStart w:id="127" w:name="_Toc12789059"/>
      <w:r>
        <w:rPr>
          <w:rFonts w:hint="eastAsia" w:ascii="宋体" w:hAnsi="宋体"/>
          <w:color w:val="auto"/>
          <w:sz w:val="24"/>
          <w:szCs w:val="24"/>
        </w:rPr>
        <w:t>八、签订</w:t>
      </w:r>
      <w:bookmarkEnd w:id="123"/>
      <w:r>
        <w:rPr>
          <w:rFonts w:hint="eastAsia" w:ascii="宋体" w:hAnsi="宋体"/>
          <w:color w:val="auto"/>
          <w:sz w:val="24"/>
          <w:szCs w:val="24"/>
        </w:rPr>
        <w:t>合同</w:t>
      </w:r>
      <w:bookmarkEnd w:id="124"/>
      <w:bookmarkEnd w:id="125"/>
    </w:p>
    <w:p w14:paraId="66051770">
      <w:pPr>
        <w:spacing w:line="360" w:lineRule="auto"/>
        <w:ind w:firstLine="480" w:firstLineChars="200"/>
        <w:rPr>
          <w:rFonts w:ascii="宋体" w:hAnsi="宋体"/>
          <w:color w:val="auto"/>
          <w:sz w:val="24"/>
          <w:szCs w:val="24"/>
        </w:rPr>
      </w:pPr>
      <w:r>
        <w:rPr>
          <w:rFonts w:hint="eastAsia" w:ascii="宋体" w:hAnsi="宋体"/>
          <w:color w:val="auto"/>
          <w:sz w:val="24"/>
          <w:szCs w:val="24"/>
        </w:rPr>
        <w:t>（一）采购人与成交供应商应当在成交通知书发出之日起20日内，按照比选文件确定的合同文本以及技术和服务要求等事项签订政府采购合同。</w:t>
      </w:r>
    </w:p>
    <w:p w14:paraId="352442CD">
      <w:pPr>
        <w:spacing w:line="360" w:lineRule="auto"/>
        <w:ind w:firstLine="480" w:firstLineChars="200"/>
        <w:rPr>
          <w:rFonts w:ascii="宋体" w:hAnsi="宋体"/>
          <w:color w:val="auto"/>
          <w:sz w:val="24"/>
          <w:szCs w:val="24"/>
        </w:rPr>
      </w:pPr>
      <w:r>
        <w:rPr>
          <w:rFonts w:hint="eastAsia" w:ascii="宋体" w:hAnsi="宋体"/>
          <w:color w:val="auto"/>
          <w:sz w:val="24"/>
          <w:szCs w:val="24"/>
        </w:rPr>
        <w:t>（二）竞争性比选文件、成交供应商的响应文件及有效承诺文件等，均为签订合同的依据。</w:t>
      </w:r>
    </w:p>
    <w:p w14:paraId="630F4F0A">
      <w:pPr>
        <w:spacing w:line="360" w:lineRule="auto"/>
        <w:ind w:firstLine="480" w:firstLineChars="200"/>
        <w:rPr>
          <w:rFonts w:ascii="宋体" w:hAnsi="宋体"/>
          <w:color w:val="auto"/>
          <w:sz w:val="24"/>
          <w:szCs w:val="24"/>
        </w:rPr>
      </w:pPr>
      <w:r>
        <w:rPr>
          <w:rFonts w:hint="eastAsia" w:ascii="宋体" w:hAnsi="宋体"/>
          <w:color w:val="auto"/>
          <w:sz w:val="24"/>
          <w:szCs w:val="24"/>
        </w:rPr>
        <w:t>（三）如成交供应商放弃成交项目或在签订合同时擅自改变成交状态的，采购人将按照相关法律法规处理。</w:t>
      </w:r>
    </w:p>
    <w:p w14:paraId="3A273B44">
      <w:pPr>
        <w:spacing w:line="360" w:lineRule="auto"/>
        <w:ind w:firstLine="480" w:firstLineChars="200"/>
        <w:rPr>
          <w:rFonts w:ascii="宋体" w:hAnsi="宋体"/>
          <w:color w:val="auto"/>
          <w:sz w:val="24"/>
          <w:szCs w:val="24"/>
        </w:rPr>
      </w:pPr>
      <w:r>
        <w:rPr>
          <w:rFonts w:hint="eastAsia" w:ascii="宋体" w:hAnsi="宋体"/>
          <w:color w:val="auto"/>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147DFBC9">
      <w:pPr>
        <w:spacing w:line="360" w:lineRule="auto"/>
        <w:ind w:firstLine="480" w:firstLineChars="200"/>
        <w:rPr>
          <w:rFonts w:ascii="宋体" w:hAnsi="宋体"/>
          <w:color w:val="auto"/>
          <w:sz w:val="24"/>
          <w:szCs w:val="24"/>
        </w:rPr>
      </w:pPr>
      <w:r>
        <w:rPr>
          <w:rFonts w:hint="eastAsia" w:ascii="宋体" w:hAnsi="宋体"/>
          <w:color w:val="auto"/>
          <w:sz w:val="24"/>
          <w:szCs w:val="24"/>
        </w:rPr>
        <w:t>（五）除不可抗力等因素外，成交通知书发出后，采购人改变成交结果，或者成交供应商拒绝签订政府采购合同的，应当承担相应的法律责任。</w:t>
      </w:r>
    </w:p>
    <w:p w14:paraId="0E39EAEA">
      <w:pPr>
        <w:pStyle w:val="5"/>
        <w:pageBreakBefore/>
        <w:spacing w:line="360" w:lineRule="auto"/>
        <w:jc w:val="center"/>
        <w:rPr>
          <w:rFonts w:ascii="宋体" w:hAnsi="宋体" w:eastAsia="宋体"/>
          <w:color w:val="auto"/>
          <w:sz w:val="36"/>
          <w:szCs w:val="30"/>
        </w:rPr>
      </w:pPr>
      <w:bookmarkStart w:id="128" w:name="_Toc3606"/>
      <w:r>
        <w:rPr>
          <w:rFonts w:hint="eastAsia" w:ascii="宋体" w:hAnsi="宋体" w:eastAsia="宋体"/>
          <w:color w:val="auto"/>
          <w:sz w:val="36"/>
          <w:szCs w:val="30"/>
        </w:rPr>
        <w:t xml:space="preserve">第六篇  </w:t>
      </w:r>
      <w:bookmarkEnd w:id="126"/>
      <w:bookmarkEnd w:id="127"/>
      <w:r>
        <w:rPr>
          <w:rFonts w:hint="eastAsia" w:ascii="宋体" w:hAnsi="宋体" w:eastAsia="宋体"/>
          <w:color w:val="auto"/>
          <w:sz w:val="36"/>
          <w:szCs w:val="30"/>
        </w:rPr>
        <w:t>合同草案条款</w:t>
      </w:r>
      <w:bookmarkEnd w:id="128"/>
    </w:p>
    <w:p w14:paraId="74B5A026">
      <w:pPr>
        <w:pStyle w:val="6"/>
        <w:spacing w:before="0" w:after="0" w:line="360" w:lineRule="auto"/>
        <w:ind w:firstLine="480" w:firstLineChars="200"/>
        <w:rPr>
          <w:rFonts w:ascii="宋体" w:hAnsi="宋体"/>
          <w:color w:val="auto"/>
          <w:sz w:val="24"/>
          <w:szCs w:val="24"/>
        </w:rPr>
      </w:pPr>
      <w:bookmarkStart w:id="129" w:name="_Hlt41879464"/>
      <w:bookmarkEnd w:id="129"/>
      <w:bookmarkStart w:id="130" w:name="_Toc285722712"/>
      <w:bookmarkStart w:id="131" w:name="_Toc277084870"/>
      <w:bookmarkStart w:id="132" w:name="_Toc20300"/>
      <w:bookmarkStart w:id="133" w:name="_Toc508007737"/>
      <w:bookmarkStart w:id="134" w:name="_Toc78194465"/>
      <w:bookmarkStart w:id="135" w:name="_Toc12789072"/>
      <w:r>
        <w:rPr>
          <w:rFonts w:hint="eastAsia" w:ascii="宋体" w:hAnsi="宋体"/>
          <w:color w:val="auto"/>
          <w:sz w:val="24"/>
          <w:szCs w:val="24"/>
        </w:rPr>
        <w:t>一、合同主要条款</w:t>
      </w:r>
      <w:bookmarkEnd w:id="130"/>
      <w:bookmarkEnd w:id="131"/>
      <w:bookmarkEnd w:id="132"/>
      <w:bookmarkEnd w:id="133"/>
      <w:bookmarkEnd w:id="134"/>
    </w:p>
    <w:p w14:paraId="6B16F05C">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（一）定义</w:t>
      </w:r>
    </w:p>
    <w:p w14:paraId="0364F998">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1.甲方（需方）即采购人，是指通过招标采购，接受服务的各级国家机关、事业单位和团体组织。</w:t>
      </w:r>
    </w:p>
    <w:p w14:paraId="14E95C77">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2.乙方（供方）即成交供应商，是指中标后提供服务的自然人、法人及其他组织。</w:t>
      </w:r>
    </w:p>
    <w:p w14:paraId="78F4250D">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3.合同是指由甲乙双方按照采购文件和投标文件的实质性内容，通过协商一致达成的书面协议。</w:t>
      </w:r>
    </w:p>
    <w:p w14:paraId="5B0BBD46">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4.合同价格指以中标价格为依据，在供方全面履行合同义务后，需方（或财政部门）应支付给供方的金额。</w:t>
      </w:r>
    </w:p>
    <w:p w14:paraId="05F8E786">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（二）服务内容</w:t>
      </w:r>
    </w:p>
    <w:p w14:paraId="06DFC06B">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 xml:space="preserve">合同包括以下服务内容： </w:t>
      </w:r>
    </w:p>
    <w:p w14:paraId="35A59A8D">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（三）合同价格</w:t>
      </w:r>
    </w:p>
    <w:p w14:paraId="61AD9BDE">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1.合同价格即合同总价。</w:t>
      </w:r>
    </w:p>
    <w:p w14:paraId="6C7FD3F3">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2.合同价格</w:t>
      </w:r>
      <w:r>
        <w:rPr>
          <w:rFonts w:hint="eastAsia" w:ascii="宋体" w:hAnsi="宋体"/>
          <w:color w:val="auto"/>
          <w:sz w:val="24"/>
          <w:szCs w:val="24"/>
        </w:rPr>
        <w:t>包括（但不限于）服务费、咨询费、文件编制费、利润、税金及其它与本项目相关的一切费用。因乙方供应商自身原因造成漏报、少报皆由其自行承担责任，甲方不再补偿。</w:t>
      </w:r>
    </w:p>
    <w:p w14:paraId="3E1BB8AB">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3.合同价为不变价。</w:t>
      </w:r>
    </w:p>
    <w:p w14:paraId="623BA4F8">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（四）转包和分包</w:t>
      </w:r>
    </w:p>
    <w:p w14:paraId="038B2536">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1.本合同范围的所有服务工作，应由乙方直接提供，不得转让他人提供。</w:t>
      </w:r>
    </w:p>
    <w:p w14:paraId="1762AF53">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2.非经甲方书面同意，乙方不得将本合同范围的服务工作全部或部分转包给他人提供。</w:t>
      </w:r>
    </w:p>
    <w:p w14:paraId="19E2AA3D">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3.如有转包和未经甲方同意的分包行为，甲方有权解除合同，没收履约保证金并追究乙方的违约责任。</w:t>
      </w:r>
    </w:p>
    <w:p w14:paraId="21424DCC">
      <w:pPr>
        <w:adjustRightInd w:val="0"/>
        <w:snapToGrid w:val="0"/>
        <w:spacing w:line="360" w:lineRule="auto"/>
        <w:ind w:firstLine="480" w:firstLineChars="200"/>
        <w:rPr>
          <w:rFonts w:ascii="宋体" w:hAnsi="宋体"/>
          <w:color w:val="auto"/>
          <w:sz w:val="24"/>
        </w:rPr>
      </w:pPr>
      <w:r>
        <w:rPr>
          <w:rFonts w:hint="eastAsia" w:ascii="宋体" w:hAnsi="宋体"/>
          <w:bCs/>
          <w:color w:val="auto"/>
          <w:sz w:val="24"/>
        </w:rPr>
        <w:t>（五）质量保证及售后服务</w:t>
      </w:r>
    </w:p>
    <w:p w14:paraId="28531F40">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1.乙方应按采购文件规定要求向甲方提供服务。</w:t>
      </w:r>
    </w:p>
    <w:p w14:paraId="0C458BC6">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2.在服务期内，乙方应对服务质量负责。</w:t>
      </w:r>
    </w:p>
    <w:p w14:paraId="22DF4600">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3.如甲方要求乙方提供履约保证金的，履约保证金的收取和退还应按本项目采购文件第三篇“项目商务要求”的要求处理。</w:t>
      </w:r>
    </w:p>
    <w:p w14:paraId="1BAD43FA">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（六）付款</w:t>
      </w:r>
    </w:p>
    <w:p w14:paraId="203E04A9">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1.本合同使用货币币制如未作特别说明均为人民币。</w:t>
      </w:r>
    </w:p>
    <w:p w14:paraId="7D2C27D5">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2.付款方式：银行转账、现金支票。</w:t>
      </w:r>
    </w:p>
    <w:p w14:paraId="289D7844">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3.付款方法：参照本项目采购文件第三篇“项目商务要求”中关于付款方式的约定。</w:t>
      </w:r>
    </w:p>
    <w:p w14:paraId="74FE695B">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（七）检查验收</w:t>
      </w:r>
    </w:p>
    <w:p w14:paraId="36B350D5">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（八）索赔</w:t>
      </w:r>
    </w:p>
    <w:p w14:paraId="3577499B">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供方对服务与合同要求不符负有责任，并且需方已于规定服务内和质量保证期内提出索赔，供方应按需方同意的下述一种或多种方法解决索赔事宜。</w:t>
      </w:r>
    </w:p>
    <w:p w14:paraId="6C202424">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（九）知识产权</w:t>
      </w:r>
    </w:p>
    <w:p w14:paraId="7A8711E7">
      <w:pPr>
        <w:adjustRightInd w:val="0"/>
        <w:snapToGrid w:val="0"/>
        <w:spacing w:line="360" w:lineRule="auto"/>
        <w:ind w:firstLine="480" w:firstLineChars="200"/>
        <w:rPr>
          <w:rFonts w:ascii="宋体" w:hAnsi="宋体"/>
          <w:color w:val="auto"/>
          <w:sz w:val="24"/>
        </w:rPr>
      </w:pPr>
      <w:r>
        <w:rPr>
          <w:rFonts w:hint="eastAsia" w:ascii="宋体" w:hAnsi="宋体" w:cs="宋体"/>
          <w:color w:val="auto"/>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081DB0FC">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（十）合同争议的解决</w:t>
      </w:r>
    </w:p>
    <w:p w14:paraId="37348499">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1.当事人友好协商达成一致；</w:t>
      </w:r>
    </w:p>
    <w:p w14:paraId="0E87AF00">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2.在60天内当事人协商不能达成协议的，可向需方所在人民法院提请诉讼。</w:t>
      </w:r>
    </w:p>
    <w:p w14:paraId="440F8987">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（十一）违约责任</w:t>
      </w:r>
    </w:p>
    <w:p w14:paraId="1F182E30">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按《中华人民共和国民法典》、《中华人民共和国政府采购法》有关条款，或由供需双方约定。</w:t>
      </w:r>
    </w:p>
    <w:p w14:paraId="780EB66B">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（十二）合同生效及其它</w:t>
      </w:r>
    </w:p>
    <w:p w14:paraId="7A21DD97">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1.合同生效及其效力应符合《中华人民共和国民法典》有关规定。</w:t>
      </w:r>
    </w:p>
    <w:p w14:paraId="7EC1E583">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2.合同应经当事人法定代表人或委托代理人签字，加盖双方合同专用章或公章。</w:t>
      </w:r>
    </w:p>
    <w:p w14:paraId="4361D944">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3.合同所包括附件，是合同不可分割的一部分，具有同等法法律效力。</w:t>
      </w:r>
    </w:p>
    <w:p w14:paraId="46CB8A7D">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4.本合同条件未尽事宜依照《中华人民共和国民法典》，由供需双方共同协商确定。</w:t>
      </w:r>
    </w:p>
    <w:p w14:paraId="6F27419E">
      <w:pPr>
        <w:snapToGrid w:val="0"/>
        <w:spacing w:line="360" w:lineRule="auto"/>
        <w:jc w:val="center"/>
        <w:outlineLvl w:val="0"/>
        <w:rPr>
          <w:rFonts w:ascii="宋体" w:hAnsi="宋体"/>
          <w:color w:val="auto"/>
          <w:sz w:val="44"/>
        </w:rPr>
        <w:sectPr>
          <w:pgSz w:w="11907" w:h="16840"/>
          <w:pgMar w:top="1134" w:right="1191" w:bottom="1134" w:left="1191" w:header="964" w:footer="992" w:gutter="0"/>
          <w:pgNumType w:fmt="numberInDash"/>
          <w:cols w:space="720" w:num="1"/>
          <w:docGrid w:linePitch="312" w:charSpace="0"/>
        </w:sectPr>
      </w:pPr>
    </w:p>
    <w:p w14:paraId="0FEE0101">
      <w:pPr>
        <w:pStyle w:val="6"/>
        <w:spacing w:before="0" w:after="0" w:line="360" w:lineRule="auto"/>
        <w:ind w:firstLine="480" w:firstLineChars="200"/>
        <w:rPr>
          <w:rFonts w:ascii="宋体" w:hAnsi="宋体"/>
          <w:color w:val="auto"/>
          <w:sz w:val="24"/>
          <w:szCs w:val="24"/>
        </w:rPr>
      </w:pPr>
      <w:bookmarkStart w:id="136" w:name="_Toc277084871"/>
      <w:bookmarkStart w:id="137" w:name="_Toc13719"/>
      <w:bookmarkStart w:id="138" w:name="_Toc285722713"/>
      <w:bookmarkStart w:id="139" w:name="_Toc508178250"/>
      <w:r>
        <w:rPr>
          <w:rFonts w:hint="eastAsia" w:ascii="宋体" w:hAnsi="宋体"/>
          <w:color w:val="auto"/>
          <w:sz w:val="24"/>
          <w:szCs w:val="24"/>
        </w:rPr>
        <w:t>二、政府采购合同（格式）</w:t>
      </w:r>
      <w:bookmarkEnd w:id="136"/>
      <w:bookmarkEnd w:id="137"/>
      <w:bookmarkEnd w:id="138"/>
      <w:bookmarkEnd w:id="139"/>
    </w:p>
    <w:p w14:paraId="22056D6C">
      <w:pPr>
        <w:spacing w:line="500" w:lineRule="exact"/>
        <w:jc w:val="center"/>
        <w:rPr>
          <w:rFonts w:ascii="宋体" w:hAnsi="宋体"/>
          <w:b/>
          <w:color w:val="auto"/>
          <w:sz w:val="44"/>
        </w:rPr>
      </w:pPr>
    </w:p>
    <w:bookmarkEnd w:id="135"/>
    <w:p w14:paraId="655CB77E">
      <w:pPr>
        <w:spacing w:line="360" w:lineRule="auto"/>
        <w:jc w:val="center"/>
        <w:rPr>
          <w:rFonts w:ascii="宋体" w:hAnsi="宋体"/>
          <w:b/>
          <w:color w:val="auto"/>
          <w:sz w:val="44"/>
        </w:rPr>
      </w:pPr>
      <w:bookmarkStart w:id="140" w:name="_Toc23764521"/>
      <w:r>
        <w:rPr>
          <w:rFonts w:ascii="宋体" w:hAnsi="宋体"/>
          <w:b/>
          <w:color w:val="auto"/>
          <w:sz w:val="44"/>
        </w:rPr>
        <w:t>重庆市政府采购合同</w:t>
      </w:r>
    </w:p>
    <w:p w14:paraId="5ECCD0DC">
      <w:pPr>
        <w:spacing w:line="360" w:lineRule="auto"/>
        <w:jc w:val="center"/>
        <w:rPr>
          <w:rFonts w:ascii="宋体" w:hAnsi="宋体"/>
          <w:color w:val="auto"/>
        </w:rPr>
      </w:pPr>
      <w:r>
        <w:rPr>
          <w:rFonts w:ascii="宋体" w:hAnsi="宋体"/>
          <w:color w:val="auto"/>
        </w:rPr>
        <w:t>（项目编号：     ）</w:t>
      </w:r>
    </w:p>
    <w:p w14:paraId="53DBED32">
      <w:pPr>
        <w:spacing w:line="360" w:lineRule="auto"/>
        <w:rPr>
          <w:rFonts w:ascii="宋体" w:hAnsi="宋体"/>
          <w:color w:val="auto"/>
          <w:sz w:val="24"/>
        </w:rPr>
      </w:pPr>
      <w:r>
        <w:rPr>
          <w:rFonts w:ascii="宋体" w:hAnsi="宋体"/>
          <w:color w:val="auto"/>
          <w:sz w:val="24"/>
        </w:rPr>
        <w:t>甲方（需方）：___________________________      计价单位：____________</w:t>
      </w:r>
    </w:p>
    <w:p w14:paraId="06C5C017">
      <w:pPr>
        <w:spacing w:line="360" w:lineRule="auto"/>
        <w:rPr>
          <w:rFonts w:ascii="宋体" w:hAnsi="宋体"/>
          <w:color w:val="auto"/>
          <w:sz w:val="24"/>
        </w:rPr>
      </w:pPr>
      <w:r>
        <w:rPr>
          <w:rFonts w:ascii="宋体" w:hAnsi="宋体"/>
          <w:color w:val="auto"/>
          <w:sz w:val="24"/>
        </w:rPr>
        <w:t>乙方（供方）：___________________________      计量单位：_____________</w:t>
      </w:r>
    </w:p>
    <w:p w14:paraId="751F9592">
      <w:pPr>
        <w:spacing w:line="360" w:lineRule="auto"/>
        <w:rPr>
          <w:rFonts w:ascii="宋体" w:hAnsi="宋体"/>
          <w:color w:val="auto"/>
          <w:sz w:val="24"/>
        </w:rPr>
      </w:pPr>
    </w:p>
    <w:p w14:paraId="19B57CCA">
      <w:pPr>
        <w:spacing w:line="360" w:lineRule="auto"/>
        <w:rPr>
          <w:rFonts w:ascii="宋体" w:hAnsi="宋体"/>
          <w:color w:val="auto"/>
          <w:sz w:val="24"/>
        </w:rPr>
      </w:pPr>
      <w:r>
        <w:rPr>
          <w:rFonts w:ascii="宋体" w:hAnsi="宋体"/>
          <w:color w:val="auto"/>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71B4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14:paraId="4A136E29">
            <w:pPr>
              <w:spacing w:line="360" w:lineRule="auto"/>
              <w:jc w:val="center"/>
              <w:rPr>
                <w:rFonts w:ascii="宋体" w:hAnsi="宋体"/>
                <w:color w:val="auto"/>
                <w:sz w:val="21"/>
                <w:szCs w:val="21"/>
              </w:rPr>
            </w:pPr>
            <w:r>
              <w:rPr>
                <w:rFonts w:hint="eastAsia" w:ascii="宋体" w:hAnsi="宋体"/>
                <w:color w:val="auto"/>
                <w:sz w:val="21"/>
                <w:szCs w:val="21"/>
              </w:rPr>
              <w:t>项目类别</w:t>
            </w:r>
          </w:p>
        </w:tc>
        <w:tc>
          <w:tcPr>
            <w:tcW w:w="984" w:type="dxa"/>
            <w:vAlign w:val="center"/>
          </w:tcPr>
          <w:p w14:paraId="6BEF42C8">
            <w:pPr>
              <w:spacing w:line="360" w:lineRule="auto"/>
              <w:jc w:val="center"/>
              <w:rPr>
                <w:rFonts w:ascii="宋体" w:hAnsi="宋体"/>
                <w:color w:val="auto"/>
                <w:sz w:val="21"/>
                <w:szCs w:val="21"/>
              </w:rPr>
            </w:pPr>
            <w:r>
              <w:rPr>
                <w:rFonts w:ascii="宋体" w:hAnsi="宋体"/>
                <w:color w:val="auto"/>
                <w:sz w:val="21"/>
                <w:szCs w:val="21"/>
              </w:rPr>
              <w:t>数量</w:t>
            </w:r>
          </w:p>
        </w:tc>
        <w:tc>
          <w:tcPr>
            <w:tcW w:w="1298" w:type="dxa"/>
            <w:gridSpan w:val="2"/>
            <w:vAlign w:val="center"/>
          </w:tcPr>
          <w:p w14:paraId="70DC66E0">
            <w:pPr>
              <w:spacing w:line="360" w:lineRule="auto"/>
              <w:jc w:val="center"/>
              <w:rPr>
                <w:rFonts w:ascii="宋体" w:hAnsi="宋体"/>
                <w:color w:val="auto"/>
                <w:sz w:val="21"/>
                <w:szCs w:val="21"/>
              </w:rPr>
            </w:pPr>
            <w:r>
              <w:rPr>
                <w:rFonts w:ascii="宋体" w:hAnsi="宋体"/>
                <w:color w:val="auto"/>
                <w:sz w:val="21"/>
                <w:szCs w:val="21"/>
              </w:rPr>
              <w:t>综合单价</w:t>
            </w:r>
          </w:p>
        </w:tc>
        <w:tc>
          <w:tcPr>
            <w:tcW w:w="1134" w:type="dxa"/>
            <w:vAlign w:val="center"/>
          </w:tcPr>
          <w:p w14:paraId="2CB885AD">
            <w:pPr>
              <w:spacing w:line="360" w:lineRule="auto"/>
              <w:jc w:val="center"/>
              <w:rPr>
                <w:rFonts w:ascii="宋体" w:hAnsi="宋体"/>
                <w:color w:val="auto"/>
                <w:sz w:val="21"/>
                <w:szCs w:val="21"/>
              </w:rPr>
            </w:pPr>
            <w:r>
              <w:rPr>
                <w:rFonts w:ascii="宋体" w:hAnsi="宋体"/>
                <w:color w:val="auto"/>
                <w:sz w:val="21"/>
                <w:szCs w:val="21"/>
              </w:rPr>
              <w:t>总价</w:t>
            </w:r>
          </w:p>
        </w:tc>
        <w:tc>
          <w:tcPr>
            <w:tcW w:w="1559" w:type="dxa"/>
            <w:vAlign w:val="center"/>
          </w:tcPr>
          <w:p w14:paraId="4A305468">
            <w:pPr>
              <w:spacing w:line="360" w:lineRule="auto"/>
              <w:jc w:val="center"/>
              <w:rPr>
                <w:rFonts w:ascii="宋体" w:hAnsi="宋体"/>
                <w:color w:val="auto"/>
                <w:sz w:val="21"/>
                <w:szCs w:val="21"/>
              </w:rPr>
            </w:pPr>
            <w:r>
              <w:rPr>
                <w:rFonts w:hint="eastAsia" w:ascii="宋体" w:hAnsi="宋体"/>
                <w:color w:val="auto"/>
                <w:sz w:val="21"/>
                <w:szCs w:val="21"/>
              </w:rPr>
              <w:t>服务</w:t>
            </w:r>
            <w:r>
              <w:rPr>
                <w:rFonts w:ascii="宋体" w:hAnsi="宋体"/>
                <w:color w:val="auto"/>
                <w:sz w:val="21"/>
                <w:szCs w:val="21"/>
              </w:rPr>
              <w:t>时间</w:t>
            </w:r>
          </w:p>
        </w:tc>
        <w:tc>
          <w:tcPr>
            <w:tcW w:w="1567" w:type="dxa"/>
            <w:vAlign w:val="center"/>
          </w:tcPr>
          <w:p w14:paraId="2A63BC87">
            <w:pPr>
              <w:spacing w:line="360" w:lineRule="auto"/>
              <w:jc w:val="center"/>
              <w:rPr>
                <w:rFonts w:ascii="宋体" w:hAnsi="宋体"/>
                <w:color w:val="auto"/>
                <w:sz w:val="21"/>
                <w:szCs w:val="21"/>
              </w:rPr>
            </w:pPr>
            <w:r>
              <w:rPr>
                <w:rFonts w:hint="eastAsia" w:ascii="宋体" w:hAnsi="宋体"/>
                <w:color w:val="auto"/>
                <w:sz w:val="21"/>
                <w:szCs w:val="21"/>
              </w:rPr>
              <w:t>服务</w:t>
            </w:r>
            <w:r>
              <w:rPr>
                <w:rFonts w:ascii="宋体" w:hAnsi="宋体"/>
                <w:color w:val="auto"/>
                <w:sz w:val="21"/>
                <w:szCs w:val="21"/>
              </w:rPr>
              <w:t>地点</w:t>
            </w:r>
          </w:p>
        </w:tc>
      </w:tr>
      <w:tr w14:paraId="1DD9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8E550F1">
            <w:pPr>
              <w:spacing w:line="360" w:lineRule="auto"/>
              <w:jc w:val="center"/>
              <w:rPr>
                <w:rFonts w:ascii="宋体" w:hAnsi="宋体"/>
                <w:color w:val="auto"/>
                <w:sz w:val="21"/>
                <w:szCs w:val="21"/>
              </w:rPr>
            </w:pPr>
          </w:p>
        </w:tc>
        <w:tc>
          <w:tcPr>
            <w:tcW w:w="984" w:type="dxa"/>
            <w:vAlign w:val="center"/>
          </w:tcPr>
          <w:p w14:paraId="67A3C803">
            <w:pPr>
              <w:spacing w:line="360" w:lineRule="auto"/>
              <w:jc w:val="center"/>
              <w:rPr>
                <w:rFonts w:ascii="宋体" w:hAnsi="宋体"/>
                <w:color w:val="auto"/>
                <w:sz w:val="21"/>
                <w:szCs w:val="21"/>
              </w:rPr>
            </w:pPr>
          </w:p>
        </w:tc>
        <w:tc>
          <w:tcPr>
            <w:tcW w:w="1298" w:type="dxa"/>
            <w:gridSpan w:val="2"/>
            <w:vAlign w:val="center"/>
          </w:tcPr>
          <w:p w14:paraId="744C53A1">
            <w:pPr>
              <w:spacing w:line="360" w:lineRule="auto"/>
              <w:jc w:val="center"/>
              <w:rPr>
                <w:rFonts w:ascii="宋体" w:hAnsi="宋体"/>
                <w:color w:val="auto"/>
                <w:sz w:val="21"/>
                <w:szCs w:val="21"/>
              </w:rPr>
            </w:pPr>
          </w:p>
        </w:tc>
        <w:tc>
          <w:tcPr>
            <w:tcW w:w="1134" w:type="dxa"/>
            <w:vAlign w:val="center"/>
          </w:tcPr>
          <w:p w14:paraId="450E70F1">
            <w:pPr>
              <w:spacing w:line="360" w:lineRule="auto"/>
              <w:jc w:val="center"/>
              <w:rPr>
                <w:rFonts w:ascii="宋体" w:hAnsi="宋体"/>
                <w:color w:val="auto"/>
                <w:sz w:val="21"/>
                <w:szCs w:val="21"/>
              </w:rPr>
            </w:pPr>
          </w:p>
        </w:tc>
        <w:tc>
          <w:tcPr>
            <w:tcW w:w="1559" w:type="dxa"/>
            <w:vAlign w:val="center"/>
          </w:tcPr>
          <w:p w14:paraId="72CB6696">
            <w:pPr>
              <w:spacing w:line="360" w:lineRule="auto"/>
              <w:jc w:val="center"/>
              <w:rPr>
                <w:rFonts w:ascii="宋体" w:hAnsi="宋体"/>
                <w:color w:val="auto"/>
                <w:sz w:val="21"/>
                <w:szCs w:val="21"/>
              </w:rPr>
            </w:pPr>
          </w:p>
        </w:tc>
        <w:tc>
          <w:tcPr>
            <w:tcW w:w="1567" w:type="dxa"/>
            <w:vAlign w:val="center"/>
          </w:tcPr>
          <w:p w14:paraId="2F22E16D">
            <w:pPr>
              <w:spacing w:line="360" w:lineRule="auto"/>
              <w:jc w:val="center"/>
              <w:rPr>
                <w:rFonts w:ascii="宋体" w:hAnsi="宋体"/>
                <w:color w:val="auto"/>
                <w:sz w:val="21"/>
                <w:szCs w:val="21"/>
              </w:rPr>
            </w:pPr>
          </w:p>
        </w:tc>
      </w:tr>
      <w:tr w14:paraId="7647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2AF20016">
            <w:pPr>
              <w:spacing w:line="360" w:lineRule="auto"/>
              <w:jc w:val="center"/>
              <w:rPr>
                <w:rFonts w:ascii="宋体" w:hAnsi="宋体"/>
                <w:color w:val="auto"/>
                <w:sz w:val="21"/>
                <w:szCs w:val="21"/>
              </w:rPr>
            </w:pPr>
          </w:p>
        </w:tc>
        <w:tc>
          <w:tcPr>
            <w:tcW w:w="984" w:type="dxa"/>
            <w:vAlign w:val="center"/>
          </w:tcPr>
          <w:p w14:paraId="2ADBA7EC">
            <w:pPr>
              <w:spacing w:line="360" w:lineRule="auto"/>
              <w:jc w:val="center"/>
              <w:rPr>
                <w:rFonts w:ascii="宋体" w:hAnsi="宋体"/>
                <w:color w:val="auto"/>
                <w:sz w:val="21"/>
                <w:szCs w:val="21"/>
              </w:rPr>
            </w:pPr>
          </w:p>
        </w:tc>
        <w:tc>
          <w:tcPr>
            <w:tcW w:w="1298" w:type="dxa"/>
            <w:gridSpan w:val="2"/>
            <w:vAlign w:val="center"/>
          </w:tcPr>
          <w:p w14:paraId="120570B1">
            <w:pPr>
              <w:spacing w:line="360" w:lineRule="auto"/>
              <w:jc w:val="center"/>
              <w:rPr>
                <w:rFonts w:ascii="宋体" w:hAnsi="宋体"/>
                <w:color w:val="auto"/>
                <w:sz w:val="21"/>
                <w:szCs w:val="21"/>
              </w:rPr>
            </w:pPr>
          </w:p>
        </w:tc>
        <w:tc>
          <w:tcPr>
            <w:tcW w:w="1134" w:type="dxa"/>
            <w:vAlign w:val="center"/>
          </w:tcPr>
          <w:p w14:paraId="6B2B30C1">
            <w:pPr>
              <w:spacing w:line="360" w:lineRule="auto"/>
              <w:jc w:val="center"/>
              <w:rPr>
                <w:rFonts w:ascii="宋体" w:hAnsi="宋体"/>
                <w:color w:val="auto"/>
                <w:sz w:val="21"/>
                <w:szCs w:val="21"/>
              </w:rPr>
            </w:pPr>
          </w:p>
        </w:tc>
        <w:tc>
          <w:tcPr>
            <w:tcW w:w="1559" w:type="dxa"/>
            <w:vAlign w:val="center"/>
          </w:tcPr>
          <w:p w14:paraId="0F947818">
            <w:pPr>
              <w:spacing w:line="360" w:lineRule="auto"/>
              <w:jc w:val="center"/>
              <w:rPr>
                <w:rFonts w:ascii="宋体" w:hAnsi="宋体"/>
                <w:color w:val="auto"/>
                <w:sz w:val="21"/>
                <w:szCs w:val="21"/>
              </w:rPr>
            </w:pPr>
          </w:p>
        </w:tc>
        <w:tc>
          <w:tcPr>
            <w:tcW w:w="1567" w:type="dxa"/>
            <w:vAlign w:val="center"/>
          </w:tcPr>
          <w:p w14:paraId="43A8F7EB">
            <w:pPr>
              <w:spacing w:line="360" w:lineRule="auto"/>
              <w:jc w:val="center"/>
              <w:rPr>
                <w:rFonts w:ascii="宋体" w:hAnsi="宋体"/>
                <w:color w:val="auto"/>
                <w:sz w:val="21"/>
                <w:szCs w:val="21"/>
              </w:rPr>
            </w:pPr>
          </w:p>
        </w:tc>
      </w:tr>
      <w:tr w14:paraId="550E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66A3A683">
            <w:pPr>
              <w:spacing w:line="360" w:lineRule="auto"/>
              <w:jc w:val="center"/>
              <w:rPr>
                <w:rFonts w:ascii="宋体" w:hAnsi="宋体"/>
                <w:color w:val="auto"/>
                <w:sz w:val="21"/>
                <w:szCs w:val="21"/>
              </w:rPr>
            </w:pPr>
          </w:p>
        </w:tc>
        <w:tc>
          <w:tcPr>
            <w:tcW w:w="984" w:type="dxa"/>
            <w:vAlign w:val="center"/>
          </w:tcPr>
          <w:p w14:paraId="5FDD69B2">
            <w:pPr>
              <w:spacing w:line="360" w:lineRule="auto"/>
              <w:jc w:val="center"/>
              <w:rPr>
                <w:rFonts w:ascii="宋体" w:hAnsi="宋体"/>
                <w:color w:val="auto"/>
                <w:sz w:val="21"/>
                <w:szCs w:val="21"/>
              </w:rPr>
            </w:pPr>
          </w:p>
        </w:tc>
        <w:tc>
          <w:tcPr>
            <w:tcW w:w="1298" w:type="dxa"/>
            <w:gridSpan w:val="2"/>
            <w:vAlign w:val="center"/>
          </w:tcPr>
          <w:p w14:paraId="6EE6F43C">
            <w:pPr>
              <w:spacing w:line="360" w:lineRule="auto"/>
              <w:jc w:val="center"/>
              <w:rPr>
                <w:rFonts w:ascii="宋体" w:hAnsi="宋体"/>
                <w:color w:val="auto"/>
                <w:sz w:val="21"/>
                <w:szCs w:val="21"/>
              </w:rPr>
            </w:pPr>
          </w:p>
        </w:tc>
        <w:tc>
          <w:tcPr>
            <w:tcW w:w="1134" w:type="dxa"/>
            <w:vAlign w:val="center"/>
          </w:tcPr>
          <w:p w14:paraId="4A7DE937">
            <w:pPr>
              <w:spacing w:line="360" w:lineRule="auto"/>
              <w:jc w:val="center"/>
              <w:rPr>
                <w:rFonts w:ascii="宋体" w:hAnsi="宋体"/>
                <w:color w:val="auto"/>
                <w:sz w:val="21"/>
                <w:szCs w:val="21"/>
              </w:rPr>
            </w:pPr>
          </w:p>
        </w:tc>
        <w:tc>
          <w:tcPr>
            <w:tcW w:w="1559" w:type="dxa"/>
            <w:vAlign w:val="center"/>
          </w:tcPr>
          <w:p w14:paraId="5C0015C8">
            <w:pPr>
              <w:spacing w:line="360" w:lineRule="auto"/>
              <w:jc w:val="center"/>
              <w:rPr>
                <w:rFonts w:ascii="宋体" w:hAnsi="宋体"/>
                <w:color w:val="auto"/>
                <w:sz w:val="21"/>
                <w:szCs w:val="21"/>
              </w:rPr>
            </w:pPr>
          </w:p>
        </w:tc>
        <w:tc>
          <w:tcPr>
            <w:tcW w:w="1567" w:type="dxa"/>
            <w:vAlign w:val="center"/>
          </w:tcPr>
          <w:p w14:paraId="743678B9">
            <w:pPr>
              <w:spacing w:line="360" w:lineRule="auto"/>
              <w:jc w:val="center"/>
              <w:rPr>
                <w:rFonts w:ascii="宋体" w:hAnsi="宋体"/>
                <w:color w:val="auto"/>
                <w:sz w:val="21"/>
                <w:szCs w:val="21"/>
              </w:rPr>
            </w:pPr>
          </w:p>
        </w:tc>
      </w:tr>
      <w:tr w14:paraId="6D32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25C25715">
            <w:pPr>
              <w:spacing w:line="360" w:lineRule="auto"/>
              <w:jc w:val="center"/>
              <w:rPr>
                <w:rFonts w:ascii="宋体" w:hAnsi="宋体"/>
                <w:color w:val="auto"/>
                <w:sz w:val="21"/>
                <w:szCs w:val="21"/>
              </w:rPr>
            </w:pPr>
          </w:p>
        </w:tc>
        <w:tc>
          <w:tcPr>
            <w:tcW w:w="984" w:type="dxa"/>
            <w:vAlign w:val="center"/>
          </w:tcPr>
          <w:p w14:paraId="205C8521">
            <w:pPr>
              <w:spacing w:line="360" w:lineRule="auto"/>
              <w:jc w:val="center"/>
              <w:rPr>
                <w:rFonts w:ascii="宋体" w:hAnsi="宋体"/>
                <w:color w:val="auto"/>
                <w:sz w:val="21"/>
                <w:szCs w:val="21"/>
              </w:rPr>
            </w:pPr>
          </w:p>
        </w:tc>
        <w:tc>
          <w:tcPr>
            <w:tcW w:w="1298" w:type="dxa"/>
            <w:gridSpan w:val="2"/>
            <w:vAlign w:val="center"/>
          </w:tcPr>
          <w:p w14:paraId="374E919F">
            <w:pPr>
              <w:spacing w:line="360" w:lineRule="auto"/>
              <w:jc w:val="center"/>
              <w:rPr>
                <w:rFonts w:ascii="宋体" w:hAnsi="宋体"/>
                <w:color w:val="auto"/>
                <w:sz w:val="21"/>
                <w:szCs w:val="21"/>
              </w:rPr>
            </w:pPr>
          </w:p>
        </w:tc>
        <w:tc>
          <w:tcPr>
            <w:tcW w:w="1134" w:type="dxa"/>
            <w:vAlign w:val="center"/>
          </w:tcPr>
          <w:p w14:paraId="0BCCFCC0">
            <w:pPr>
              <w:spacing w:line="360" w:lineRule="auto"/>
              <w:jc w:val="center"/>
              <w:rPr>
                <w:rFonts w:ascii="宋体" w:hAnsi="宋体"/>
                <w:color w:val="auto"/>
                <w:sz w:val="21"/>
                <w:szCs w:val="21"/>
              </w:rPr>
            </w:pPr>
          </w:p>
        </w:tc>
        <w:tc>
          <w:tcPr>
            <w:tcW w:w="1559" w:type="dxa"/>
            <w:vAlign w:val="center"/>
          </w:tcPr>
          <w:p w14:paraId="181A265E">
            <w:pPr>
              <w:spacing w:line="360" w:lineRule="auto"/>
              <w:jc w:val="center"/>
              <w:rPr>
                <w:rFonts w:ascii="宋体" w:hAnsi="宋体"/>
                <w:color w:val="auto"/>
                <w:sz w:val="21"/>
                <w:szCs w:val="21"/>
              </w:rPr>
            </w:pPr>
          </w:p>
        </w:tc>
        <w:tc>
          <w:tcPr>
            <w:tcW w:w="1567" w:type="dxa"/>
            <w:vAlign w:val="center"/>
          </w:tcPr>
          <w:p w14:paraId="59339D05">
            <w:pPr>
              <w:spacing w:line="360" w:lineRule="auto"/>
              <w:jc w:val="center"/>
              <w:rPr>
                <w:rFonts w:ascii="宋体" w:hAnsi="宋体"/>
                <w:color w:val="auto"/>
                <w:sz w:val="21"/>
                <w:szCs w:val="21"/>
              </w:rPr>
            </w:pPr>
          </w:p>
        </w:tc>
      </w:tr>
      <w:tr w14:paraId="263C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641B322D">
            <w:pPr>
              <w:spacing w:line="360" w:lineRule="auto"/>
              <w:jc w:val="center"/>
              <w:rPr>
                <w:rFonts w:ascii="宋体" w:hAnsi="宋体"/>
                <w:color w:val="auto"/>
                <w:sz w:val="21"/>
                <w:szCs w:val="21"/>
              </w:rPr>
            </w:pPr>
          </w:p>
        </w:tc>
        <w:tc>
          <w:tcPr>
            <w:tcW w:w="984" w:type="dxa"/>
            <w:vAlign w:val="center"/>
          </w:tcPr>
          <w:p w14:paraId="79D8C1F5">
            <w:pPr>
              <w:spacing w:line="360" w:lineRule="auto"/>
              <w:jc w:val="center"/>
              <w:rPr>
                <w:rFonts w:ascii="宋体" w:hAnsi="宋体"/>
                <w:color w:val="auto"/>
                <w:sz w:val="21"/>
                <w:szCs w:val="21"/>
              </w:rPr>
            </w:pPr>
          </w:p>
        </w:tc>
        <w:tc>
          <w:tcPr>
            <w:tcW w:w="1298" w:type="dxa"/>
            <w:gridSpan w:val="2"/>
            <w:vAlign w:val="center"/>
          </w:tcPr>
          <w:p w14:paraId="67EA3054">
            <w:pPr>
              <w:spacing w:line="360" w:lineRule="auto"/>
              <w:jc w:val="center"/>
              <w:rPr>
                <w:rFonts w:ascii="宋体" w:hAnsi="宋体"/>
                <w:color w:val="auto"/>
                <w:sz w:val="21"/>
                <w:szCs w:val="21"/>
              </w:rPr>
            </w:pPr>
          </w:p>
        </w:tc>
        <w:tc>
          <w:tcPr>
            <w:tcW w:w="1134" w:type="dxa"/>
            <w:vAlign w:val="center"/>
          </w:tcPr>
          <w:p w14:paraId="7429A72E">
            <w:pPr>
              <w:spacing w:line="360" w:lineRule="auto"/>
              <w:jc w:val="center"/>
              <w:rPr>
                <w:rFonts w:ascii="宋体" w:hAnsi="宋体"/>
                <w:color w:val="auto"/>
                <w:sz w:val="21"/>
                <w:szCs w:val="21"/>
              </w:rPr>
            </w:pPr>
          </w:p>
        </w:tc>
        <w:tc>
          <w:tcPr>
            <w:tcW w:w="1559" w:type="dxa"/>
            <w:vAlign w:val="center"/>
          </w:tcPr>
          <w:p w14:paraId="367E73FA">
            <w:pPr>
              <w:spacing w:line="360" w:lineRule="auto"/>
              <w:jc w:val="center"/>
              <w:rPr>
                <w:rFonts w:ascii="宋体" w:hAnsi="宋体"/>
                <w:color w:val="auto"/>
                <w:sz w:val="21"/>
                <w:szCs w:val="21"/>
              </w:rPr>
            </w:pPr>
          </w:p>
        </w:tc>
        <w:tc>
          <w:tcPr>
            <w:tcW w:w="1567" w:type="dxa"/>
            <w:vAlign w:val="center"/>
          </w:tcPr>
          <w:p w14:paraId="17DC906B">
            <w:pPr>
              <w:spacing w:line="360" w:lineRule="auto"/>
              <w:jc w:val="center"/>
              <w:rPr>
                <w:rFonts w:ascii="宋体" w:hAnsi="宋体"/>
                <w:color w:val="auto"/>
                <w:sz w:val="21"/>
                <w:szCs w:val="21"/>
              </w:rPr>
            </w:pPr>
          </w:p>
        </w:tc>
      </w:tr>
      <w:tr w14:paraId="7D8C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304B54EB">
            <w:pPr>
              <w:spacing w:line="360" w:lineRule="auto"/>
              <w:jc w:val="center"/>
              <w:rPr>
                <w:rFonts w:ascii="宋体" w:hAnsi="宋体"/>
                <w:color w:val="auto"/>
                <w:sz w:val="21"/>
                <w:szCs w:val="21"/>
              </w:rPr>
            </w:pPr>
          </w:p>
        </w:tc>
        <w:tc>
          <w:tcPr>
            <w:tcW w:w="984" w:type="dxa"/>
            <w:vAlign w:val="center"/>
          </w:tcPr>
          <w:p w14:paraId="614E9B0B">
            <w:pPr>
              <w:spacing w:line="360" w:lineRule="auto"/>
              <w:jc w:val="center"/>
              <w:rPr>
                <w:rFonts w:ascii="宋体" w:hAnsi="宋体"/>
                <w:color w:val="auto"/>
                <w:sz w:val="21"/>
                <w:szCs w:val="21"/>
              </w:rPr>
            </w:pPr>
          </w:p>
        </w:tc>
        <w:tc>
          <w:tcPr>
            <w:tcW w:w="1298" w:type="dxa"/>
            <w:gridSpan w:val="2"/>
            <w:vAlign w:val="center"/>
          </w:tcPr>
          <w:p w14:paraId="59F8BE3B">
            <w:pPr>
              <w:spacing w:line="360" w:lineRule="auto"/>
              <w:jc w:val="center"/>
              <w:rPr>
                <w:rFonts w:ascii="宋体" w:hAnsi="宋体"/>
                <w:color w:val="auto"/>
                <w:sz w:val="21"/>
                <w:szCs w:val="21"/>
              </w:rPr>
            </w:pPr>
          </w:p>
        </w:tc>
        <w:tc>
          <w:tcPr>
            <w:tcW w:w="1134" w:type="dxa"/>
            <w:vAlign w:val="center"/>
          </w:tcPr>
          <w:p w14:paraId="150D5476">
            <w:pPr>
              <w:spacing w:line="360" w:lineRule="auto"/>
              <w:jc w:val="center"/>
              <w:rPr>
                <w:rFonts w:ascii="宋体" w:hAnsi="宋体"/>
                <w:color w:val="auto"/>
                <w:sz w:val="21"/>
                <w:szCs w:val="21"/>
              </w:rPr>
            </w:pPr>
          </w:p>
        </w:tc>
        <w:tc>
          <w:tcPr>
            <w:tcW w:w="1559" w:type="dxa"/>
            <w:vAlign w:val="center"/>
          </w:tcPr>
          <w:p w14:paraId="0F4D750B">
            <w:pPr>
              <w:spacing w:line="360" w:lineRule="auto"/>
              <w:jc w:val="center"/>
              <w:rPr>
                <w:rFonts w:ascii="宋体" w:hAnsi="宋体"/>
                <w:color w:val="auto"/>
                <w:sz w:val="21"/>
                <w:szCs w:val="21"/>
              </w:rPr>
            </w:pPr>
          </w:p>
        </w:tc>
        <w:tc>
          <w:tcPr>
            <w:tcW w:w="1567" w:type="dxa"/>
            <w:vAlign w:val="center"/>
          </w:tcPr>
          <w:p w14:paraId="6B90B17A">
            <w:pPr>
              <w:spacing w:line="360" w:lineRule="auto"/>
              <w:jc w:val="center"/>
              <w:rPr>
                <w:rFonts w:ascii="宋体" w:hAnsi="宋体"/>
                <w:color w:val="auto"/>
                <w:sz w:val="21"/>
                <w:szCs w:val="21"/>
              </w:rPr>
            </w:pPr>
          </w:p>
        </w:tc>
      </w:tr>
      <w:tr w14:paraId="1C9E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E8FB3FA">
            <w:pPr>
              <w:spacing w:line="360" w:lineRule="auto"/>
              <w:jc w:val="center"/>
              <w:rPr>
                <w:rFonts w:ascii="宋体" w:hAnsi="宋体"/>
                <w:color w:val="auto"/>
                <w:sz w:val="21"/>
                <w:szCs w:val="21"/>
              </w:rPr>
            </w:pPr>
          </w:p>
        </w:tc>
        <w:tc>
          <w:tcPr>
            <w:tcW w:w="984" w:type="dxa"/>
            <w:vAlign w:val="center"/>
          </w:tcPr>
          <w:p w14:paraId="59266F79">
            <w:pPr>
              <w:spacing w:line="360" w:lineRule="auto"/>
              <w:jc w:val="center"/>
              <w:rPr>
                <w:rFonts w:ascii="宋体" w:hAnsi="宋体"/>
                <w:color w:val="auto"/>
                <w:sz w:val="21"/>
                <w:szCs w:val="21"/>
              </w:rPr>
            </w:pPr>
          </w:p>
        </w:tc>
        <w:tc>
          <w:tcPr>
            <w:tcW w:w="1298" w:type="dxa"/>
            <w:gridSpan w:val="2"/>
            <w:vAlign w:val="center"/>
          </w:tcPr>
          <w:p w14:paraId="78140B19">
            <w:pPr>
              <w:spacing w:line="360" w:lineRule="auto"/>
              <w:jc w:val="center"/>
              <w:rPr>
                <w:rFonts w:ascii="宋体" w:hAnsi="宋体"/>
                <w:color w:val="auto"/>
                <w:sz w:val="21"/>
                <w:szCs w:val="21"/>
              </w:rPr>
            </w:pPr>
          </w:p>
        </w:tc>
        <w:tc>
          <w:tcPr>
            <w:tcW w:w="1134" w:type="dxa"/>
            <w:vAlign w:val="center"/>
          </w:tcPr>
          <w:p w14:paraId="7DAD8F3B">
            <w:pPr>
              <w:spacing w:line="360" w:lineRule="auto"/>
              <w:jc w:val="center"/>
              <w:rPr>
                <w:rFonts w:ascii="宋体" w:hAnsi="宋体"/>
                <w:color w:val="auto"/>
                <w:sz w:val="21"/>
                <w:szCs w:val="21"/>
              </w:rPr>
            </w:pPr>
          </w:p>
        </w:tc>
        <w:tc>
          <w:tcPr>
            <w:tcW w:w="1559" w:type="dxa"/>
            <w:vAlign w:val="center"/>
          </w:tcPr>
          <w:p w14:paraId="5CB57C0F">
            <w:pPr>
              <w:spacing w:line="360" w:lineRule="auto"/>
              <w:jc w:val="center"/>
              <w:rPr>
                <w:rFonts w:ascii="宋体" w:hAnsi="宋体"/>
                <w:color w:val="auto"/>
                <w:sz w:val="21"/>
                <w:szCs w:val="21"/>
              </w:rPr>
            </w:pPr>
          </w:p>
        </w:tc>
        <w:tc>
          <w:tcPr>
            <w:tcW w:w="1567" w:type="dxa"/>
            <w:vAlign w:val="center"/>
          </w:tcPr>
          <w:p w14:paraId="300068EF">
            <w:pPr>
              <w:spacing w:line="360" w:lineRule="auto"/>
              <w:jc w:val="center"/>
              <w:rPr>
                <w:rFonts w:ascii="宋体" w:hAnsi="宋体"/>
                <w:color w:val="auto"/>
                <w:sz w:val="21"/>
                <w:szCs w:val="21"/>
              </w:rPr>
            </w:pPr>
          </w:p>
        </w:tc>
      </w:tr>
      <w:tr w14:paraId="2D33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4FC3094C">
            <w:pPr>
              <w:spacing w:line="360" w:lineRule="auto"/>
              <w:jc w:val="center"/>
              <w:rPr>
                <w:rFonts w:ascii="宋体" w:hAnsi="宋体"/>
                <w:color w:val="auto"/>
                <w:sz w:val="21"/>
                <w:szCs w:val="21"/>
              </w:rPr>
            </w:pPr>
          </w:p>
        </w:tc>
        <w:tc>
          <w:tcPr>
            <w:tcW w:w="984" w:type="dxa"/>
            <w:vAlign w:val="center"/>
          </w:tcPr>
          <w:p w14:paraId="3F658585">
            <w:pPr>
              <w:spacing w:line="360" w:lineRule="auto"/>
              <w:jc w:val="center"/>
              <w:rPr>
                <w:rFonts w:ascii="宋体" w:hAnsi="宋体"/>
                <w:color w:val="auto"/>
                <w:sz w:val="21"/>
                <w:szCs w:val="21"/>
              </w:rPr>
            </w:pPr>
          </w:p>
        </w:tc>
        <w:tc>
          <w:tcPr>
            <w:tcW w:w="1298" w:type="dxa"/>
            <w:gridSpan w:val="2"/>
            <w:vAlign w:val="center"/>
          </w:tcPr>
          <w:p w14:paraId="016EF671">
            <w:pPr>
              <w:spacing w:line="360" w:lineRule="auto"/>
              <w:jc w:val="center"/>
              <w:rPr>
                <w:rFonts w:ascii="宋体" w:hAnsi="宋体"/>
                <w:color w:val="auto"/>
                <w:sz w:val="21"/>
                <w:szCs w:val="21"/>
              </w:rPr>
            </w:pPr>
          </w:p>
        </w:tc>
        <w:tc>
          <w:tcPr>
            <w:tcW w:w="1134" w:type="dxa"/>
            <w:vAlign w:val="center"/>
          </w:tcPr>
          <w:p w14:paraId="1990AB2B">
            <w:pPr>
              <w:spacing w:line="360" w:lineRule="auto"/>
              <w:jc w:val="center"/>
              <w:rPr>
                <w:rFonts w:ascii="宋体" w:hAnsi="宋体"/>
                <w:color w:val="auto"/>
                <w:sz w:val="21"/>
                <w:szCs w:val="21"/>
              </w:rPr>
            </w:pPr>
          </w:p>
        </w:tc>
        <w:tc>
          <w:tcPr>
            <w:tcW w:w="1559" w:type="dxa"/>
            <w:vAlign w:val="center"/>
          </w:tcPr>
          <w:p w14:paraId="0245133B">
            <w:pPr>
              <w:spacing w:line="360" w:lineRule="auto"/>
              <w:jc w:val="center"/>
              <w:rPr>
                <w:rFonts w:ascii="宋体" w:hAnsi="宋体"/>
                <w:color w:val="auto"/>
                <w:sz w:val="21"/>
                <w:szCs w:val="21"/>
              </w:rPr>
            </w:pPr>
          </w:p>
        </w:tc>
        <w:tc>
          <w:tcPr>
            <w:tcW w:w="1567" w:type="dxa"/>
            <w:vAlign w:val="center"/>
          </w:tcPr>
          <w:p w14:paraId="68749446">
            <w:pPr>
              <w:spacing w:line="360" w:lineRule="auto"/>
              <w:jc w:val="center"/>
              <w:rPr>
                <w:rFonts w:ascii="宋体" w:hAnsi="宋体"/>
                <w:color w:val="auto"/>
                <w:sz w:val="21"/>
                <w:szCs w:val="21"/>
              </w:rPr>
            </w:pPr>
          </w:p>
        </w:tc>
      </w:tr>
      <w:tr w14:paraId="4727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2A10F01C">
            <w:pPr>
              <w:spacing w:line="360" w:lineRule="auto"/>
              <w:rPr>
                <w:rFonts w:ascii="宋体" w:hAnsi="宋体"/>
                <w:color w:val="auto"/>
                <w:sz w:val="21"/>
                <w:szCs w:val="21"/>
              </w:rPr>
            </w:pPr>
            <w:r>
              <w:rPr>
                <w:rFonts w:ascii="宋体" w:hAnsi="宋体"/>
                <w:color w:val="auto"/>
                <w:sz w:val="21"/>
                <w:szCs w:val="21"/>
              </w:rPr>
              <w:t>合计人民币（小写）：</w:t>
            </w:r>
          </w:p>
        </w:tc>
      </w:tr>
      <w:tr w14:paraId="34BC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29F31F6A">
            <w:pPr>
              <w:spacing w:line="360" w:lineRule="auto"/>
              <w:rPr>
                <w:rFonts w:ascii="宋体" w:hAnsi="宋体"/>
                <w:color w:val="auto"/>
                <w:sz w:val="21"/>
                <w:szCs w:val="21"/>
              </w:rPr>
            </w:pPr>
            <w:r>
              <w:rPr>
                <w:rFonts w:ascii="宋体" w:hAnsi="宋体"/>
                <w:color w:val="auto"/>
                <w:sz w:val="21"/>
                <w:szCs w:val="21"/>
              </w:rPr>
              <w:t>合计人民币（大写）：</w:t>
            </w:r>
          </w:p>
        </w:tc>
      </w:tr>
      <w:tr w14:paraId="1ED2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14:paraId="5788A601">
            <w:pPr>
              <w:spacing w:line="360" w:lineRule="auto"/>
              <w:rPr>
                <w:rFonts w:ascii="宋体" w:hAnsi="宋体"/>
                <w:color w:val="auto"/>
                <w:sz w:val="21"/>
                <w:szCs w:val="21"/>
              </w:rPr>
            </w:pPr>
            <w:r>
              <w:rPr>
                <w:rFonts w:ascii="宋体" w:hAnsi="宋体"/>
                <w:color w:val="auto"/>
                <w:sz w:val="21"/>
                <w:szCs w:val="21"/>
              </w:rPr>
              <w:t>一、质量要求和技术标准：</w:t>
            </w:r>
          </w:p>
          <w:p w14:paraId="54312B30">
            <w:pPr>
              <w:spacing w:line="360" w:lineRule="auto"/>
              <w:rPr>
                <w:rFonts w:ascii="宋体" w:hAnsi="宋体"/>
                <w:color w:val="auto"/>
                <w:sz w:val="21"/>
                <w:szCs w:val="21"/>
              </w:rPr>
            </w:pPr>
            <w:r>
              <w:rPr>
                <w:rFonts w:ascii="宋体" w:hAnsi="宋体"/>
                <w:color w:val="auto"/>
                <w:sz w:val="21"/>
                <w:szCs w:val="21"/>
              </w:rPr>
              <w:t>1、服务措施：</w:t>
            </w:r>
          </w:p>
          <w:p w14:paraId="4059A42F">
            <w:pPr>
              <w:spacing w:line="360" w:lineRule="auto"/>
              <w:rPr>
                <w:rFonts w:ascii="宋体" w:hAnsi="宋体"/>
                <w:color w:val="auto"/>
                <w:sz w:val="21"/>
                <w:szCs w:val="21"/>
              </w:rPr>
            </w:pPr>
          </w:p>
        </w:tc>
      </w:tr>
      <w:tr w14:paraId="033D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14:paraId="35559C62">
            <w:pPr>
              <w:spacing w:line="360" w:lineRule="auto"/>
              <w:rPr>
                <w:rFonts w:ascii="宋体" w:hAnsi="宋体"/>
                <w:color w:val="auto"/>
                <w:sz w:val="21"/>
                <w:szCs w:val="21"/>
              </w:rPr>
            </w:pPr>
            <w:r>
              <w:rPr>
                <w:rFonts w:hint="eastAsia" w:ascii="宋体" w:hAnsi="宋体"/>
                <w:color w:val="auto"/>
                <w:sz w:val="21"/>
                <w:szCs w:val="21"/>
              </w:rPr>
              <w:t>二</w:t>
            </w:r>
            <w:r>
              <w:rPr>
                <w:rFonts w:ascii="宋体" w:hAnsi="宋体"/>
                <w:color w:val="auto"/>
                <w:sz w:val="21"/>
                <w:szCs w:val="21"/>
              </w:rPr>
              <w:t>、验收标准、方法：</w:t>
            </w:r>
          </w:p>
          <w:p w14:paraId="02C0F690">
            <w:pPr>
              <w:spacing w:line="360" w:lineRule="auto"/>
              <w:rPr>
                <w:rFonts w:ascii="宋体" w:hAnsi="宋体"/>
                <w:color w:val="auto"/>
                <w:sz w:val="21"/>
                <w:szCs w:val="21"/>
              </w:rPr>
            </w:pPr>
          </w:p>
        </w:tc>
      </w:tr>
      <w:tr w14:paraId="55F2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42697043">
            <w:pPr>
              <w:spacing w:line="360" w:lineRule="auto"/>
              <w:rPr>
                <w:rFonts w:ascii="宋体" w:hAnsi="宋体"/>
                <w:color w:val="auto"/>
                <w:sz w:val="21"/>
                <w:szCs w:val="21"/>
              </w:rPr>
            </w:pPr>
            <w:r>
              <w:rPr>
                <w:rFonts w:hint="eastAsia" w:ascii="宋体" w:hAnsi="宋体"/>
                <w:color w:val="auto"/>
                <w:sz w:val="21"/>
                <w:szCs w:val="21"/>
              </w:rPr>
              <w:t>三</w:t>
            </w:r>
            <w:r>
              <w:rPr>
                <w:rFonts w:ascii="宋体" w:hAnsi="宋体"/>
                <w:color w:val="auto"/>
                <w:sz w:val="21"/>
                <w:szCs w:val="21"/>
              </w:rPr>
              <w:t>、付款方式：</w:t>
            </w:r>
          </w:p>
          <w:p w14:paraId="3D16FB56">
            <w:pPr>
              <w:pStyle w:val="33"/>
              <w:spacing w:line="360" w:lineRule="auto"/>
              <w:ind w:left="980"/>
              <w:rPr>
                <w:rFonts w:ascii="宋体" w:hAnsi="宋体"/>
                <w:color w:val="auto"/>
                <w:sz w:val="21"/>
                <w:szCs w:val="21"/>
              </w:rPr>
            </w:pPr>
          </w:p>
        </w:tc>
      </w:tr>
      <w:tr w14:paraId="7F25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5A50BBFC">
            <w:pPr>
              <w:spacing w:line="360" w:lineRule="auto"/>
              <w:rPr>
                <w:rFonts w:ascii="宋体" w:hAnsi="宋体"/>
                <w:color w:val="auto"/>
                <w:sz w:val="21"/>
                <w:szCs w:val="21"/>
              </w:rPr>
            </w:pPr>
            <w:r>
              <w:rPr>
                <w:rFonts w:hint="eastAsia" w:ascii="宋体" w:hAnsi="宋体"/>
                <w:color w:val="auto"/>
                <w:sz w:val="21"/>
                <w:szCs w:val="21"/>
              </w:rPr>
              <w:t>四</w:t>
            </w:r>
            <w:r>
              <w:rPr>
                <w:rFonts w:ascii="宋体" w:hAnsi="宋体"/>
                <w:color w:val="auto"/>
                <w:sz w:val="21"/>
                <w:szCs w:val="21"/>
              </w:rPr>
              <w:t>、违约责任：</w:t>
            </w:r>
          </w:p>
          <w:p w14:paraId="5102E177">
            <w:pPr>
              <w:spacing w:line="360" w:lineRule="auto"/>
              <w:rPr>
                <w:rFonts w:ascii="宋体" w:hAnsi="宋体"/>
                <w:color w:val="auto"/>
                <w:sz w:val="21"/>
                <w:szCs w:val="21"/>
              </w:rPr>
            </w:pPr>
            <w:r>
              <w:rPr>
                <w:rFonts w:ascii="宋体" w:hAnsi="宋体"/>
                <w:color w:val="auto"/>
                <w:sz w:val="21"/>
                <w:szCs w:val="21"/>
              </w:rPr>
              <w:t>按《</w:t>
            </w:r>
            <w:r>
              <w:rPr>
                <w:rFonts w:hint="eastAsia" w:ascii="宋体" w:hAnsi="宋体"/>
                <w:color w:val="auto"/>
                <w:sz w:val="21"/>
                <w:szCs w:val="21"/>
              </w:rPr>
              <w:t>中华人民共和国民法典</w:t>
            </w:r>
            <w:r>
              <w:rPr>
                <w:rFonts w:ascii="宋体" w:hAnsi="宋体"/>
                <w:color w:val="auto"/>
                <w:sz w:val="21"/>
                <w:szCs w:val="21"/>
              </w:rPr>
              <w:t>》、《</w:t>
            </w:r>
            <w:r>
              <w:rPr>
                <w:rFonts w:hint="eastAsia" w:ascii="宋体" w:hAnsi="宋体"/>
                <w:color w:val="auto"/>
                <w:sz w:val="21"/>
                <w:szCs w:val="21"/>
              </w:rPr>
              <w:t>中华人民共和国</w:t>
            </w:r>
            <w:r>
              <w:rPr>
                <w:rFonts w:ascii="宋体" w:hAnsi="宋体"/>
                <w:color w:val="auto"/>
                <w:sz w:val="21"/>
                <w:szCs w:val="21"/>
              </w:rPr>
              <w:t>政府采购法》执行，或按双方约定。</w:t>
            </w:r>
          </w:p>
        </w:tc>
      </w:tr>
      <w:tr w14:paraId="6A3A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14:paraId="76161770">
            <w:pPr>
              <w:spacing w:line="360" w:lineRule="auto"/>
              <w:rPr>
                <w:rFonts w:ascii="宋体" w:hAnsi="宋体"/>
                <w:color w:val="auto"/>
                <w:sz w:val="21"/>
                <w:szCs w:val="21"/>
              </w:rPr>
            </w:pPr>
            <w:r>
              <w:rPr>
                <w:rFonts w:hint="eastAsia" w:ascii="宋体" w:hAnsi="宋体"/>
                <w:color w:val="auto"/>
                <w:sz w:val="21"/>
                <w:szCs w:val="21"/>
              </w:rPr>
              <w:t>五</w:t>
            </w:r>
            <w:r>
              <w:rPr>
                <w:rFonts w:ascii="宋体" w:hAnsi="宋体"/>
                <w:color w:val="auto"/>
                <w:sz w:val="21"/>
                <w:szCs w:val="21"/>
              </w:rPr>
              <w:t>、其他约定事项：</w:t>
            </w:r>
          </w:p>
          <w:p w14:paraId="499E0240">
            <w:pPr>
              <w:spacing w:line="360" w:lineRule="auto"/>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招标</w:t>
            </w:r>
            <w:r>
              <w:rPr>
                <w:rFonts w:ascii="宋体" w:hAnsi="宋体"/>
                <w:color w:val="auto"/>
                <w:sz w:val="21"/>
                <w:szCs w:val="21"/>
              </w:rPr>
              <w:t>文件及其补遗文件、</w:t>
            </w:r>
            <w:r>
              <w:rPr>
                <w:rFonts w:hint="eastAsia" w:ascii="宋体" w:hAnsi="宋体"/>
                <w:color w:val="auto"/>
                <w:sz w:val="21"/>
                <w:szCs w:val="21"/>
              </w:rPr>
              <w:t>投标</w:t>
            </w:r>
            <w:r>
              <w:rPr>
                <w:rFonts w:ascii="宋体" w:hAnsi="宋体"/>
                <w:color w:val="auto"/>
                <w:sz w:val="21"/>
                <w:szCs w:val="21"/>
              </w:rPr>
              <w:t>文件和承诺是本合同不可分割的部分。</w:t>
            </w:r>
          </w:p>
          <w:p w14:paraId="1BC614FA">
            <w:pPr>
              <w:spacing w:line="360" w:lineRule="auto"/>
              <w:ind w:left="360"/>
              <w:rPr>
                <w:rFonts w:ascii="宋体" w:hAnsi="宋体"/>
                <w:color w:val="auto"/>
                <w:sz w:val="21"/>
                <w:szCs w:val="21"/>
              </w:rPr>
            </w:pPr>
            <w:r>
              <w:rPr>
                <w:rFonts w:ascii="宋体" w:hAnsi="宋体"/>
                <w:color w:val="auto"/>
                <w:sz w:val="21"/>
                <w:szCs w:val="21"/>
              </w:rPr>
              <w:t>本合同如发生争议由双方协商解决，协商不成向需方所在人民法院提请诉讼。</w:t>
            </w:r>
          </w:p>
          <w:p w14:paraId="1C4E35BD">
            <w:pPr>
              <w:spacing w:line="360" w:lineRule="auto"/>
              <w:ind w:left="360"/>
              <w:rPr>
                <w:rFonts w:ascii="宋体" w:hAnsi="宋体"/>
                <w:color w:val="auto"/>
                <w:sz w:val="21"/>
                <w:szCs w:val="21"/>
              </w:rPr>
            </w:pPr>
            <w:r>
              <w:rPr>
                <w:rFonts w:ascii="宋体" w:hAnsi="宋体"/>
                <w:color w:val="auto"/>
                <w:sz w:val="21"/>
                <w:szCs w:val="21"/>
              </w:rPr>
              <w:t>本合同一式__份， 需方__份，供方__份，具同等法律效力。</w:t>
            </w:r>
          </w:p>
          <w:p w14:paraId="02D0FBC2">
            <w:pPr>
              <w:spacing w:line="360" w:lineRule="auto"/>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、其他：</w:t>
            </w:r>
          </w:p>
        </w:tc>
      </w:tr>
      <w:tr w14:paraId="16AB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14:paraId="6C9B65C4">
            <w:pPr>
              <w:spacing w:line="360" w:lineRule="auto"/>
              <w:rPr>
                <w:rFonts w:ascii="宋体" w:hAnsi="宋体"/>
                <w:color w:val="auto"/>
                <w:sz w:val="21"/>
                <w:szCs w:val="21"/>
              </w:rPr>
            </w:pPr>
            <w:r>
              <w:rPr>
                <w:rFonts w:ascii="宋体" w:hAnsi="宋体"/>
                <w:color w:val="auto"/>
                <w:sz w:val="21"/>
                <w:szCs w:val="21"/>
              </w:rPr>
              <w:t>需方：</w:t>
            </w:r>
          </w:p>
          <w:p w14:paraId="5B6A5F2E">
            <w:pPr>
              <w:spacing w:line="360" w:lineRule="auto"/>
              <w:rPr>
                <w:rFonts w:ascii="宋体" w:hAnsi="宋体"/>
                <w:color w:val="auto"/>
                <w:sz w:val="21"/>
                <w:szCs w:val="21"/>
              </w:rPr>
            </w:pPr>
            <w:r>
              <w:rPr>
                <w:rFonts w:ascii="宋体" w:hAnsi="宋体"/>
                <w:color w:val="auto"/>
                <w:sz w:val="21"/>
                <w:szCs w:val="21"/>
              </w:rPr>
              <w:t>地址：</w:t>
            </w:r>
          </w:p>
          <w:p w14:paraId="3407A365">
            <w:pPr>
              <w:spacing w:line="360" w:lineRule="auto"/>
              <w:rPr>
                <w:rFonts w:ascii="宋体" w:hAnsi="宋体"/>
                <w:color w:val="auto"/>
                <w:sz w:val="21"/>
                <w:szCs w:val="21"/>
              </w:rPr>
            </w:pPr>
            <w:r>
              <w:rPr>
                <w:rFonts w:ascii="宋体" w:hAnsi="宋体"/>
                <w:color w:val="auto"/>
                <w:sz w:val="21"/>
                <w:szCs w:val="21"/>
              </w:rPr>
              <w:t>联系电话：</w:t>
            </w:r>
          </w:p>
          <w:p w14:paraId="2DAEE1AB">
            <w:pPr>
              <w:spacing w:line="360" w:lineRule="auto"/>
              <w:rPr>
                <w:rFonts w:ascii="宋体" w:hAnsi="宋体"/>
                <w:color w:val="auto"/>
                <w:sz w:val="21"/>
                <w:szCs w:val="21"/>
              </w:rPr>
            </w:pPr>
            <w:r>
              <w:rPr>
                <w:rFonts w:ascii="宋体" w:hAnsi="宋体"/>
                <w:color w:val="auto"/>
                <w:sz w:val="21"/>
                <w:szCs w:val="21"/>
              </w:rPr>
              <w:t>授权代表：</w:t>
            </w:r>
          </w:p>
        </w:tc>
        <w:tc>
          <w:tcPr>
            <w:tcW w:w="5125" w:type="dxa"/>
            <w:gridSpan w:val="5"/>
          </w:tcPr>
          <w:p w14:paraId="1F6F3A8E">
            <w:pPr>
              <w:spacing w:line="360" w:lineRule="auto"/>
              <w:rPr>
                <w:rFonts w:ascii="宋体" w:hAnsi="宋体"/>
                <w:color w:val="auto"/>
                <w:sz w:val="21"/>
                <w:szCs w:val="21"/>
              </w:rPr>
            </w:pPr>
            <w:r>
              <w:rPr>
                <w:rFonts w:ascii="宋体" w:hAnsi="宋体"/>
                <w:color w:val="auto"/>
                <w:sz w:val="21"/>
                <w:szCs w:val="21"/>
              </w:rPr>
              <w:t>供方：</w:t>
            </w:r>
          </w:p>
          <w:p w14:paraId="51E30C14">
            <w:pPr>
              <w:spacing w:line="360" w:lineRule="auto"/>
              <w:rPr>
                <w:rFonts w:ascii="宋体" w:hAnsi="宋体"/>
                <w:color w:val="auto"/>
                <w:sz w:val="21"/>
                <w:szCs w:val="21"/>
              </w:rPr>
            </w:pPr>
            <w:r>
              <w:rPr>
                <w:rFonts w:ascii="宋体" w:hAnsi="宋体"/>
                <w:color w:val="auto"/>
                <w:sz w:val="21"/>
                <w:szCs w:val="21"/>
              </w:rPr>
              <w:t>地址：</w:t>
            </w:r>
          </w:p>
          <w:p w14:paraId="6B7EB5DD">
            <w:pPr>
              <w:spacing w:line="360" w:lineRule="auto"/>
              <w:rPr>
                <w:rFonts w:ascii="宋体" w:hAnsi="宋体"/>
                <w:color w:val="auto"/>
                <w:sz w:val="21"/>
                <w:szCs w:val="21"/>
              </w:rPr>
            </w:pPr>
            <w:r>
              <w:rPr>
                <w:rFonts w:ascii="宋体" w:hAnsi="宋体"/>
                <w:color w:val="auto"/>
                <w:sz w:val="21"/>
                <w:szCs w:val="21"/>
              </w:rPr>
              <w:t>电话：</w:t>
            </w:r>
          </w:p>
          <w:p w14:paraId="7E5C3C26">
            <w:pPr>
              <w:spacing w:line="360" w:lineRule="auto"/>
              <w:rPr>
                <w:rFonts w:ascii="宋体" w:hAnsi="宋体"/>
                <w:color w:val="auto"/>
                <w:sz w:val="21"/>
                <w:szCs w:val="21"/>
              </w:rPr>
            </w:pPr>
            <w:r>
              <w:rPr>
                <w:rFonts w:ascii="宋体" w:hAnsi="宋体"/>
                <w:color w:val="auto"/>
                <w:sz w:val="21"/>
                <w:szCs w:val="21"/>
              </w:rPr>
              <w:t>传真：</w:t>
            </w:r>
          </w:p>
          <w:p w14:paraId="4DCD5979">
            <w:pPr>
              <w:spacing w:line="360" w:lineRule="auto"/>
              <w:rPr>
                <w:rFonts w:ascii="宋体" w:hAnsi="宋体"/>
                <w:color w:val="auto"/>
                <w:sz w:val="21"/>
                <w:szCs w:val="21"/>
              </w:rPr>
            </w:pPr>
            <w:r>
              <w:rPr>
                <w:rFonts w:ascii="宋体" w:hAnsi="宋体"/>
                <w:color w:val="auto"/>
                <w:sz w:val="21"/>
                <w:szCs w:val="21"/>
              </w:rPr>
              <w:t>开户银行：</w:t>
            </w:r>
          </w:p>
          <w:p w14:paraId="1BF0D6E3">
            <w:pPr>
              <w:spacing w:line="360" w:lineRule="auto"/>
              <w:rPr>
                <w:rFonts w:ascii="宋体" w:hAnsi="宋体"/>
                <w:color w:val="auto"/>
                <w:sz w:val="21"/>
                <w:szCs w:val="21"/>
              </w:rPr>
            </w:pPr>
            <w:r>
              <w:rPr>
                <w:rFonts w:ascii="宋体" w:hAnsi="宋体"/>
                <w:color w:val="auto"/>
                <w:sz w:val="21"/>
                <w:szCs w:val="21"/>
              </w:rPr>
              <w:t>账号：</w:t>
            </w:r>
          </w:p>
          <w:p w14:paraId="6E4BBB96">
            <w:pPr>
              <w:spacing w:line="360" w:lineRule="auto"/>
              <w:rPr>
                <w:rFonts w:ascii="宋体" w:hAnsi="宋体"/>
                <w:color w:val="auto"/>
                <w:sz w:val="21"/>
                <w:szCs w:val="21"/>
              </w:rPr>
            </w:pPr>
            <w:r>
              <w:rPr>
                <w:rFonts w:ascii="宋体" w:hAnsi="宋体"/>
                <w:color w:val="auto"/>
                <w:sz w:val="21"/>
                <w:szCs w:val="21"/>
              </w:rPr>
              <w:t>授权代表：</w:t>
            </w:r>
          </w:p>
          <w:p w14:paraId="431CE30E">
            <w:pPr>
              <w:widowControl/>
              <w:spacing w:line="360" w:lineRule="auto"/>
              <w:jc w:val="left"/>
              <w:rPr>
                <w:rFonts w:ascii="宋体" w:hAnsi="宋体"/>
                <w:color w:val="auto"/>
                <w:sz w:val="21"/>
                <w:szCs w:val="21"/>
              </w:rPr>
            </w:pPr>
            <w:r>
              <w:rPr>
                <w:rFonts w:ascii="宋体" w:hAnsi="宋体"/>
                <w:color w:val="auto"/>
                <w:sz w:val="21"/>
                <w:szCs w:val="21"/>
              </w:rPr>
              <w:t>（本栏请用计算机打印以便于准确付款）</w:t>
            </w:r>
          </w:p>
        </w:tc>
      </w:tr>
      <w:tr w14:paraId="0B87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14:paraId="4195F449">
            <w:pPr>
              <w:spacing w:line="360" w:lineRule="auto"/>
              <w:rPr>
                <w:rFonts w:ascii="宋体" w:hAnsi="宋体"/>
                <w:color w:val="auto"/>
                <w:sz w:val="21"/>
                <w:szCs w:val="21"/>
              </w:rPr>
            </w:pPr>
            <w:r>
              <w:rPr>
                <w:rFonts w:ascii="宋体" w:hAnsi="宋体"/>
                <w:color w:val="auto"/>
                <w:sz w:val="21"/>
                <w:szCs w:val="21"/>
              </w:rPr>
              <w:t>备注：</w:t>
            </w:r>
          </w:p>
          <w:p w14:paraId="34ECDCC7">
            <w:pPr>
              <w:spacing w:line="360" w:lineRule="auto"/>
              <w:rPr>
                <w:rFonts w:ascii="宋体" w:hAnsi="宋体"/>
                <w:color w:val="auto"/>
                <w:sz w:val="21"/>
                <w:szCs w:val="21"/>
              </w:rPr>
            </w:pPr>
          </w:p>
          <w:p w14:paraId="63C789B5">
            <w:pPr>
              <w:spacing w:line="360" w:lineRule="auto"/>
              <w:rPr>
                <w:rFonts w:ascii="宋体" w:hAnsi="宋体"/>
                <w:color w:val="auto"/>
                <w:sz w:val="21"/>
                <w:szCs w:val="21"/>
              </w:rPr>
            </w:pPr>
          </w:p>
        </w:tc>
      </w:tr>
    </w:tbl>
    <w:p w14:paraId="7F900637">
      <w:pPr>
        <w:spacing w:line="360" w:lineRule="auto"/>
        <w:ind w:firstLine="480" w:firstLineChars="200"/>
        <w:rPr>
          <w:rFonts w:ascii="宋体" w:hAnsi="宋体"/>
          <w:color w:val="auto"/>
          <w:sz w:val="24"/>
        </w:rPr>
      </w:pPr>
      <w:r>
        <w:rPr>
          <w:rFonts w:ascii="宋体" w:hAnsi="宋体"/>
          <w:color w:val="auto"/>
          <w:sz w:val="24"/>
        </w:rPr>
        <w:t>签约时间：           年   月   日      签约地点：</w:t>
      </w:r>
    </w:p>
    <w:p w14:paraId="436349AD">
      <w:pPr>
        <w:spacing w:line="500" w:lineRule="exact"/>
        <w:ind w:firstLine="480" w:firstLineChars="200"/>
        <w:rPr>
          <w:rFonts w:ascii="宋体" w:hAnsi="宋体"/>
          <w:color w:val="auto"/>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40"/>
    <w:p w14:paraId="7681FE11">
      <w:pPr>
        <w:pStyle w:val="5"/>
        <w:spacing w:line="360" w:lineRule="auto"/>
        <w:jc w:val="center"/>
        <w:rPr>
          <w:rFonts w:ascii="宋体" w:hAnsi="宋体" w:eastAsia="宋体"/>
          <w:color w:val="auto"/>
          <w:sz w:val="36"/>
          <w:szCs w:val="30"/>
        </w:rPr>
      </w:pPr>
      <w:bookmarkStart w:id="141" w:name="_Toc10910"/>
      <w:bookmarkStart w:id="142" w:name="_Toc89693272"/>
      <w:r>
        <w:rPr>
          <w:rFonts w:ascii="宋体" w:hAnsi="宋体" w:eastAsia="宋体"/>
          <w:color w:val="auto"/>
          <w:sz w:val="36"/>
          <w:szCs w:val="30"/>
        </w:rPr>
        <w:t>第七篇  响应文件编制要求</w:t>
      </w:r>
      <w:bookmarkEnd w:id="141"/>
      <w:bookmarkEnd w:id="142"/>
    </w:p>
    <w:p w14:paraId="714EF512">
      <w:pPr>
        <w:pStyle w:val="6"/>
        <w:spacing w:before="0" w:after="0" w:line="360" w:lineRule="auto"/>
        <w:ind w:firstLine="480" w:firstLineChars="200"/>
        <w:rPr>
          <w:rFonts w:ascii="宋体" w:hAnsi="宋体"/>
          <w:color w:val="auto"/>
          <w:sz w:val="24"/>
          <w:szCs w:val="24"/>
        </w:rPr>
      </w:pPr>
      <w:bookmarkStart w:id="143" w:name="_Toc89693273"/>
      <w:bookmarkStart w:id="144" w:name="_Toc8899"/>
      <w:r>
        <w:rPr>
          <w:rFonts w:ascii="宋体" w:hAnsi="宋体"/>
          <w:color w:val="auto"/>
          <w:sz w:val="24"/>
          <w:szCs w:val="24"/>
        </w:rPr>
        <w:t>一、经济部分</w:t>
      </w:r>
      <w:bookmarkEnd w:id="143"/>
      <w:bookmarkEnd w:id="144"/>
    </w:p>
    <w:p w14:paraId="7E384706">
      <w:pPr>
        <w:snapToGrid w:val="0"/>
        <w:spacing w:line="360" w:lineRule="auto"/>
        <w:ind w:firstLine="480" w:firstLineChars="200"/>
        <w:rPr>
          <w:color w:val="auto"/>
          <w:sz w:val="24"/>
          <w:szCs w:val="24"/>
        </w:rPr>
      </w:pPr>
      <w:r>
        <w:rPr>
          <w:color w:val="auto"/>
          <w:sz w:val="24"/>
          <w:szCs w:val="24"/>
        </w:rPr>
        <w:t>（一）竞争性比选报价函</w:t>
      </w:r>
    </w:p>
    <w:p w14:paraId="3DB4AA3D">
      <w:pPr>
        <w:snapToGrid w:val="0"/>
        <w:spacing w:line="360" w:lineRule="auto"/>
        <w:ind w:firstLine="480" w:firstLineChars="200"/>
        <w:rPr>
          <w:color w:val="auto"/>
          <w:sz w:val="24"/>
          <w:szCs w:val="24"/>
        </w:rPr>
      </w:pPr>
      <w:r>
        <w:rPr>
          <w:rFonts w:hint="eastAsia"/>
          <w:color w:val="auto"/>
          <w:sz w:val="24"/>
          <w:szCs w:val="24"/>
        </w:rPr>
        <w:t>（二）分项报价明细表</w:t>
      </w:r>
    </w:p>
    <w:p w14:paraId="0662F971">
      <w:pPr>
        <w:pStyle w:val="6"/>
        <w:spacing w:before="0" w:after="0" w:line="360" w:lineRule="auto"/>
        <w:ind w:firstLine="480" w:firstLineChars="200"/>
        <w:rPr>
          <w:rFonts w:ascii="宋体" w:hAnsi="宋体"/>
          <w:color w:val="auto"/>
          <w:sz w:val="24"/>
          <w:szCs w:val="24"/>
        </w:rPr>
      </w:pPr>
      <w:bookmarkStart w:id="145" w:name="_Toc78194469"/>
      <w:bookmarkStart w:id="146" w:name="_Toc2005"/>
      <w:bookmarkStart w:id="147" w:name="_Toc89693274"/>
      <w:r>
        <w:rPr>
          <w:rFonts w:hint="eastAsia" w:ascii="宋体" w:hAnsi="宋体"/>
          <w:color w:val="auto"/>
          <w:sz w:val="24"/>
          <w:szCs w:val="24"/>
        </w:rPr>
        <w:t>二、技术部分</w:t>
      </w:r>
      <w:bookmarkEnd w:id="145"/>
      <w:bookmarkEnd w:id="146"/>
      <w:bookmarkEnd w:id="147"/>
    </w:p>
    <w:p w14:paraId="0AAF8F3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（一）服务方案</w:t>
      </w:r>
    </w:p>
    <w:p w14:paraId="57C3A7F1">
      <w:pPr>
        <w:snapToGrid w:val="0"/>
        <w:spacing w:line="360" w:lineRule="auto"/>
        <w:ind w:firstLine="480" w:firstLineChars="200"/>
        <w:rPr>
          <w:color w:val="auto"/>
          <w:sz w:val="24"/>
          <w:szCs w:val="24"/>
        </w:rPr>
      </w:pPr>
      <w:r>
        <w:rPr>
          <w:rFonts w:hint="eastAsia" w:ascii="宋体" w:hAnsi="宋体"/>
          <w:color w:val="auto"/>
          <w:sz w:val="24"/>
          <w:szCs w:val="24"/>
        </w:rPr>
        <w:t>（二）技术响应偏离表</w:t>
      </w:r>
    </w:p>
    <w:p w14:paraId="72DBBB0B">
      <w:pPr>
        <w:pStyle w:val="6"/>
        <w:spacing w:before="0" w:after="0" w:line="360" w:lineRule="auto"/>
        <w:ind w:firstLine="480" w:firstLineChars="200"/>
        <w:rPr>
          <w:rFonts w:ascii="宋体" w:hAnsi="宋体"/>
          <w:color w:val="auto"/>
          <w:sz w:val="24"/>
          <w:szCs w:val="24"/>
        </w:rPr>
      </w:pPr>
      <w:bookmarkStart w:id="148" w:name="_Toc13970"/>
      <w:bookmarkStart w:id="149" w:name="_Toc89693275"/>
      <w:r>
        <w:rPr>
          <w:rFonts w:ascii="宋体" w:hAnsi="宋体"/>
          <w:color w:val="auto"/>
          <w:sz w:val="24"/>
          <w:szCs w:val="24"/>
        </w:rPr>
        <w:t>三、商务部分</w:t>
      </w:r>
      <w:bookmarkEnd w:id="148"/>
      <w:bookmarkEnd w:id="149"/>
    </w:p>
    <w:p w14:paraId="5AAB0530">
      <w:pPr>
        <w:snapToGrid w:val="0"/>
        <w:spacing w:line="360" w:lineRule="auto"/>
        <w:ind w:firstLine="480" w:firstLineChars="200"/>
        <w:rPr>
          <w:color w:val="auto"/>
          <w:sz w:val="24"/>
          <w:szCs w:val="24"/>
        </w:rPr>
      </w:pPr>
      <w:r>
        <w:rPr>
          <w:color w:val="auto"/>
          <w:sz w:val="24"/>
          <w:szCs w:val="24"/>
        </w:rPr>
        <w:t>（一）</w:t>
      </w:r>
      <w:r>
        <w:rPr>
          <w:rFonts w:hint="eastAsia"/>
          <w:color w:val="auto"/>
          <w:sz w:val="24"/>
          <w:szCs w:val="24"/>
        </w:rPr>
        <w:t>商务</w:t>
      </w:r>
      <w:r>
        <w:rPr>
          <w:rFonts w:hint="eastAsia" w:ascii="宋体" w:hAnsi="宋体"/>
          <w:color w:val="auto"/>
          <w:sz w:val="24"/>
          <w:szCs w:val="24"/>
        </w:rPr>
        <w:t>响应偏离表</w:t>
      </w:r>
    </w:p>
    <w:p w14:paraId="09A9E9A3">
      <w:pPr>
        <w:snapToGrid w:val="0"/>
        <w:spacing w:line="360" w:lineRule="auto"/>
        <w:ind w:firstLine="480" w:firstLineChars="200"/>
        <w:rPr>
          <w:color w:val="auto"/>
          <w:sz w:val="24"/>
          <w:szCs w:val="24"/>
        </w:rPr>
      </w:pPr>
      <w:r>
        <w:rPr>
          <w:color w:val="auto"/>
          <w:sz w:val="24"/>
          <w:szCs w:val="24"/>
        </w:rPr>
        <w:t>（二）</w:t>
      </w:r>
      <w:r>
        <w:rPr>
          <w:rFonts w:hint="eastAsia"/>
          <w:color w:val="auto"/>
          <w:sz w:val="24"/>
          <w:szCs w:val="24"/>
        </w:rPr>
        <w:t>其它优惠服务承诺</w:t>
      </w:r>
    </w:p>
    <w:p w14:paraId="608080D4">
      <w:pPr>
        <w:pStyle w:val="6"/>
        <w:spacing w:before="0" w:after="0" w:line="360" w:lineRule="auto"/>
        <w:ind w:firstLine="480" w:firstLineChars="200"/>
        <w:rPr>
          <w:rFonts w:ascii="宋体" w:hAnsi="宋体"/>
          <w:color w:val="auto"/>
          <w:sz w:val="24"/>
          <w:szCs w:val="24"/>
        </w:rPr>
      </w:pPr>
      <w:bookmarkStart w:id="150" w:name="_Toc32049"/>
      <w:bookmarkStart w:id="151" w:name="_Toc89693276"/>
      <w:r>
        <w:rPr>
          <w:rFonts w:ascii="宋体" w:hAnsi="宋体"/>
          <w:color w:val="auto"/>
          <w:sz w:val="24"/>
          <w:szCs w:val="24"/>
        </w:rPr>
        <w:t>四、资格条件及其他</w:t>
      </w:r>
      <w:bookmarkEnd w:id="150"/>
      <w:bookmarkEnd w:id="151"/>
    </w:p>
    <w:p w14:paraId="0D7C28F8">
      <w:pPr>
        <w:snapToGrid w:val="0"/>
        <w:spacing w:line="360" w:lineRule="auto"/>
        <w:ind w:firstLine="480" w:firstLineChars="200"/>
        <w:rPr>
          <w:color w:val="auto"/>
          <w:sz w:val="24"/>
          <w:szCs w:val="24"/>
        </w:rPr>
      </w:pPr>
      <w:r>
        <w:rPr>
          <w:rFonts w:hint="eastAsia"/>
          <w:color w:val="auto"/>
          <w:sz w:val="24"/>
          <w:szCs w:val="24"/>
        </w:rPr>
        <w:t>（一）法人营业执照（副本）或社会团体法人登记证书（副本）或民办非企业单位法人登记证书（副本）或事业单位法人证书（副本）或个体工商户营业执照或有效的自然人身份证明</w:t>
      </w:r>
    </w:p>
    <w:p w14:paraId="5D68BB50">
      <w:pPr>
        <w:snapToGrid w:val="0"/>
        <w:spacing w:line="360" w:lineRule="auto"/>
        <w:ind w:firstLine="480" w:firstLineChars="200"/>
        <w:rPr>
          <w:color w:val="auto"/>
          <w:sz w:val="24"/>
          <w:szCs w:val="24"/>
        </w:rPr>
      </w:pPr>
      <w:r>
        <w:rPr>
          <w:rFonts w:hint="eastAsia"/>
          <w:color w:val="auto"/>
          <w:sz w:val="24"/>
          <w:szCs w:val="24"/>
        </w:rPr>
        <w:t>（二）法定代表人身份证明书（格式）</w:t>
      </w:r>
    </w:p>
    <w:p w14:paraId="1E228789">
      <w:pPr>
        <w:snapToGrid w:val="0"/>
        <w:spacing w:line="360" w:lineRule="auto"/>
        <w:ind w:firstLine="480" w:firstLineChars="200"/>
        <w:rPr>
          <w:color w:val="auto"/>
          <w:sz w:val="24"/>
          <w:szCs w:val="24"/>
        </w:rPr>
      </w:pPr>
      <w:r>
        <w:rPr>
          <w:rFonts w:hint="eastAsia"/>
          <w:color w:val="auto"/>
          <w:sz w:val="24"/>
          <w:szCs w:val="24"/>
        </w:rPr>
        <w:t>（三）法定代表人授权委托书（格式）</w:t>
      </w:r>
    </w:p>
    <w:p w14:paraId="43A0A9A7">
      <w:pPr>
        <w:snapToGrid w:val="0"/>
        <w:spacing w:line="360" w:lineRule="auto"/>
        <w:ind w:firstLine="480" w:firstLineChars="200"/>
        <w:rPr>
          <w:color w:val="auto"/>
          <w:sz w:val="24"/>
          <w:szCs w:val="24"/>
        </w:rPr>
      </w:pPr>
      <w:r>
        <w:rPr>
          <w:rFonts w:hint="eastAsia"/>
          <w:color w:val="auto"/>
          <w:sz w:val="24"/>
          <w:szCs w:val="24"/>
        </w:rPr>
        <w:t>（四）基本资格条件承诺函（格式）</w:t>
      </w:r>
    </w:p>
    <w:p w14:paraId="713CAF1D">
      <w:pPr>
        <w:snapToGrid w:val="0"/>
        <w:spacing w:line="360" w:lineRule="auto"/>
        <w:ind w:firstLine="480" w:firstLineChars="200"/>
        <w:rPr>
          <w:color w:val="auto"/>
          <w:sz w:val="24"/>
          <w:szCs w:val="24"/>
        </w:rPr>
      </w:pPr>
      <w:r>
        <w:rPr>
          <w:rFonts w:hint="eastAsia"/>
          <w:color w:val="auto"/>
          <w:sz w:val="24"/>
          <w:szCs w:val="24"/>
        </w:rPr>
        <w:t>（五）特定资格条件证书或证明文件</w:t>
      </w:r>
    </w:p>
    <w:p w14:paraId="1A29D632">
      <w:pPr>
        <w:snapToGrid w:val="0"/>
        <w:spacing w:line="360" w:lineRule="auto"/>
        <w:ind w:firstLine="480" w:firstLineChars="200"/>
        <w:rPr>
          <w:color w:val="auto"/>
          <w:sz w:val="24"/>
          <w:szCs w:val="24"/>
        </w:rPr>
      </w:pPr>
      <w:r>
        <w:rPr>
          <w:rFonts w:hint="eastAsia"/>
          <w:color w:val="auto"/>
          <w:sz w:val="24"/>
          <w:szCs w:val="24"/>
        </w:rPr>
        <w:t>（六）其他应提供的资料</w:t>
      </w:r>
    </w:p>
    <w:p w14:paraId="75485F25">
      <w:pPr>
        <w:snapToGrid w:val="0"/>
        <w:spacing w:line="360" w:lineRule="auto"/>
        <w:ind w:firstLine="480" w:firstLineChars="200"/>
        <w:rPr>
          <w:color w:val="auto"/>
          <w:sz w:val="24"/>
          <w:szCs w:val="24"/>
        </w:rPr>
      </w:pPr>
      <w:r>
        <w:rPr>
          <w:rFonts w:hint="eastAsia"/>
          <w:color w:val="auto"/>
          <w:sz w:val="24"/>
          <w:szCs w:val="24"/>
        </w:rPr>
        <w:t>1.中小企业声明函、监狱企业证明文件、残疾人福利性单位声明函</w:t>
      </w:r>
    </w:p>
    <w:p w14:paraId="65B6964E">
      <w:pPr>
        <w:snapToGrid w:val="0"/>
        <w:spacing w:line="360" w:lineRule="auto"/>
        <w:ind w:firstLine="480" w:firstLineChars="200"/>
        <w:rPr>
          <w:rFonts w:ascii="宋体" w:hAnsi="宋体"/>
          <w:color w:val="auto"/>
          <w:sz w:val="24"/>
          <w:szCs w:val="24"/>
        </w:rPr>
      </w:pPr>
      <w:r>
        <w:rPr>
          <w:rFonts w:hint="eastAsia"/>
          <w:color w:val="auto"/>
          <w:sz w:val="24"/>
          <w:szCs w:val="24"/>
        </w:rPr>
        <w:t>2.其他与项目有关的资料（自附）</w:t>
      </w:r>
    </w:p>
    <w:p w14:paraId="592DB7A8">
      <w:pPr>
        <w:spacing w:line="440" w:lineRule="exact"/>
        <w:ind w:firstLine="480" w:firstLineChars="200"/>
        <w:rPr>
          <w:color w:val="auto"/>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21687E80">
      <w:pPr>
        <w:pageBreakBefore/>
        <w:tabs>
          <w:tab w:val="left" w:pos="6300"/>
        </w:tabs>
        <w:snapToGrid w:val="0"/>
        <w:spacing w:line="360" w:lineRule="auto"/>
        <w:rPr>
          <w:b/>
          <w:color w:val="auto"/>
          <w:sz w:val="24"/>
          <w:szCs w:val="24"/>
        </w:rPr>
      </w:pPr>
      <w:bookmarkStart w:id="152" w:name="_Toc342913419"/>
      <w:bookmarkStart w:id="153" w:name="_Toc23764522"/>
      <w:bookmarkStart w:id="154" w:name="_Toc313888360"/>
      <w:bookmarkStart w:id="155" w:name="_Toc313008356"/>
      <w:bookmarkStart w:id="156" w:name="_Toc12789073"/>
      <w:bookmarkStart w:id="157" w:name="_Toc283382454"/>
      <w:r>
        <w:rPr>
          <w:rFonts w:hint="eastAsia"/>
          <w:b/>
          <w:color w:val="auto"/>
          <w:sz w:val="24"/>
          <w:szCs w:val="24"/>
        </w:rPr>
        <w:t xml:space="preserve">    </w:t>
      </w:r>
      <w:r>
        <w:rPr>
          <w:b/>
          <w:color w:val="auto"/>
          <w:sz w:val="24"/>
          <w:szCs w:val="24"/>
        </w:rPr>
        <w:t>一、经济部分</w:t>
      </w:r>
      <w:bookmarkEnd w:id="152"/>
      <w:bookmarkEnd w:id="153"/>
      <w:bookmarkEnd w:id="154"/>
      <w:bookmarkEnd w:id="155"/>
    </w:p>
    <w:bookmarkEnd w:id="156"/>
    <w:bookmarkEnd w:id="157"/>
    <w:p w14:paraId="535DF39E">
      <w:pPr>
        <w:tabs>
          <w:tab w:val="left" w:pos="6300"/>
        </w:tabs>
        <w:snapToGrid w:val="0"/>
        <w:spacing w:line="520" w:lineRule="exact"/>
        <w:ind w:firstLine="480" w:firstLineChars="200"/>
        <w:rPr>
          <w:color w:val="auto"/>
          <w:sz w:val="24"/>
          <w:szCs w:val="24"/>
        </w:rPr>
      </w:pPr>
      <w:r>
        <w:rPr>
          <w:color w:val="auto"/>
          <w:sz w:val="24"/>
          <w:szCs w:val="24"/>
        </w:rPr>
        <w:t>（一）竞争性比选报价函</w:t>
      </w:r>
    </w:p>
    <w:p w14:paraId="7A201AA7">
      <w:pPr>
        <w:tabs>
          <w:tab w:val="left" w:pos="6300"/>
        </w:tabs>
        <w:snapToGrid w:val="0"/>
        <w:spacing w:line="520" w:lineRule="exact"/>
        <w:jc w:val="center"/>
        <w:outlineLvl w:val="0"/>
        <w:rPr>
          <w:b/>
          <w:color w:val="auto"/>
          <w:szCs w:val="28"/>
        </w:rPr>
      </w:pPr>
      <w:r>
        <w:rPr>
          <w:b/>
          <w:color w:val="auto"/>
          <w:szCs w:val="28"/>
        </w:rPr>
        <w:t>竞争性比选报价函</w:t>
      </w:r>
    </w:p>
    <w:p w14:paraId="258B6534">
      <w:pPr>
        <w:tabs>
          <w:tab w:val="left" w:pos="6300"/>
        </w:tabs>
        <w:snapToGrid w:val="0"/>
        <w:spacing w:line="520" w:lineRule="exact"/>
        <w:rPr>
          <w:color w:val="auto"/>
          <w:sz w:val="24"/>
          <w:szCs w:val="24"/>
        </w:rPr>
      </w:pPr>
      <w:r>
        <w:rPr>
          <w:color w:val="auto"/>
          <w:sz w:val="24"/>
          <w:szCs w:val="24"/>
          <w:u w:val="single"/>
        </w:rPr>
        <w:t>（采购代理机构名称）</w:t>
      </w:r>
      <w:r>
        <w:rPr>
          <w:color w:val="auto"/>
          <w:sz w:val="24"/>
          <w:szCs w:val="24"/>
        </w:rPr>
        <w:t>：</w:t>
      </w:r>
    </w:p>
    <w:p w14:paraId="793C5990">
      <w:pPr>
        <w:tabs>
          <w:tab w:val="left" w:pos="6300"/>
        </w:tabs>
        <w:snapToGrid w:val="0"/>
        <w:spacing w:line="520" w:lineRule="exact"/>
        <w:ind w:firstLine="480" w:firstLineChars="200"/>
        <w:rPr>
          <w:color w:val="auto"/>
          <w:sz w:val="24"/>
          <w:szCs w:val="24"/>
        </w:rPr>
      </w:pPr>
      <w:r>
        <w:rPr>
          <w:color w:val="auto"/>
          <w:sz w:val="24"/>
          <w:szCs w:val="24"/>
        </w:rPr>
        <w:t>我方收到____________________________（项目名称）的竞争性比选文件，经详细研究，决定参加该项目的比选。</w:t>
      </w:r>
    </w:p>
    <w:p w14:paraId="004491AF">
      <w:pPr>
        <w:tabs>
          <w:tab w:val="left" w:pos="6300"/>
        </w:tabs>
        <w:snapToGrid w:val="0"/>
        <w:spacing w:line="520" w:lineRule="exact"/>
        <w:ind w:firstLine="480" w:firstLineChars="200"/>
        <w:rPr>
          <w:color w:val="auto"/>
          <w:sz w:val="24"/>
          <w:szCs w:val="24"/>
        </w:rPr>
      </w:pPr>
      <w:r>
        <w:rPr>
          <w:color w:val="auto"/>
          <w:sz w:val="24"/>
          <w:szCs w:val="24"/>
        </w:rPr>
        <w:t>1.愿意按照竞争性比选文件中的一切要求，提供本项目的服务，</w:t>
      </w:r>
      <w:r>
        <w:rPr>
          <w:rFonts w:hint="eastAsia"/>
          <w:color w:val="auto"/>
          <w:sz w:val="24"/>
          <w:szCs w:val="24"/>
        </w:rPr>
        <w:t>比选</w:t>
      </w:r>
      <w:r>
        <w:rPr>
          <w:color w:val="auto"/>
          <w:sz w:val="24"/>
          <w:szCs w:val="24"/>
        </w:rPr>
        <w:t>报价为人民币大写：</w:t>
      </w:r>
      <w:r>
        <w:rPr>
          <w:color w:val="auto"/>
          <w:sz w:val="24"/>
          <w:szCs w:val="24"/>
          <w:u w:val="single"/>
        </w:rPr>
        <w:t xml:space="preserve">      </w:t>
      </w:r>
      <w:r>
        <w:rPr>
          <w:color w:val="auto"/>
          <w:sz w:val="24"/>
          <w:szCs w:val="24"/>
        </w:rPr>
        <w:t>元整；人民币小写：</w:t>
      </w:r>
      <w:r>
        <w:rPr>
          <w:color w:val="auto"/>
          <w:sz w:val="24"/>
          <w:szCs w:val="24"/>
          <w:u w:val="single"/>
        </w:rPr>
        <w:t xml:space="preserve">    </w:t>
      </w:r>
      <w:r>
        <w:rPr>
          <w:color w:val="auto"/>
          <w:sz w:val="24"/>
          <w:szCs w:val="24"/>
        </w:rPr>
        <w:t>元。</w:t>
      </w:r>
    </w:p>
    <w:p w14:paraId="0ACADBAF">
      <w:pPr>
        <w:tabs>
          <w:tab w:val="left" w:pos="6300"/>
        </w:tabs>
        <w:snapToGrid w:val="0"/>
        <w:spacing w:line="520" w:lineRule="exact"/>
        <w:ind w:firstLine="480" w:firstLineChars="200"/>
        <w:rPr>
          <w:rFonts w:ascii="宋体" w:hAnsi="宋体"/>
          <w:color w:val="auto"/>
          <w:sz w:val="24"/>
          <w:szCs w:val="24"/>
        </w:rPr>
      </w:pPr>
      <w:r>
        <w:rPr>
          <w:rFonts w:ascii="宋体" w:hAnsi="宋体"/>
          <w:color w:val="auto"/>
          <w:sz w:val="24"/>
          <w:szCs w:val="24"/>
        </w:rPr>
        <w:t>2.我方现提交的响应文件为：响应文件正本</w:t>
      </w:r>
      <w:r>
        <w:rPr>
          <w:rFonts w:ascii="宋体" w:hAnsi="宋体"/>
          <w:color w:val="auto"/>
          <w:sz w:val="24"/>
          <w:szCs w:val="24"/>
          <w:u w:val="single"/>
        </w:rPr>
        <w:t xml:space="preserve">   </w:t>
      </w:r>
      <w:r>
        <w:rPr>
          <w:rFonts w:ascii="宋体" w:hAnsi="宋体"/>
          <w:color w:val="auto"/>
          <w:sz w:val="24"/>
          <w:szCs w:val="24"/>
        </w:rPr>
        <w:t>份，副本</w:t>
      </w:r>
      <w:r>
        <w:rPr>
          <w:rFonts w:ascii="宋体" w:hAnsi="宋体"/>
          <w:color w:val="auto"/>
          <w:sz w:val="24"/>
          <w:szCs w:val="24"/>
          <w:u w:val="single"/>
        </w:rPr>
        <w:t xml:space="preserve">   </w:t>
      </w:r>
      <w:r>
        <w:rPr>
          <w:rFonts w:ascii="宋体" w:hAnsi="宋体"/>
          <w:color w:val="auto"/>
          <w:sz w:val="24"/>
          <w:szCs w:val="24"/>
        </w:rPr>
        <w:t>份</w:t>
      </w:r>
      <w:r>
        <w:rPr>
          <w:rFonts w:hint="eastAsia" w:ascii="宋体" w:hAnsi="宋体"/>
          <w:color w:val="auto"/>
          <w:sz w:val="24"/>
          <w:szCs w:val="24"/>
        </w:rPr>
        <w:t>，电子文档</w:t>
      </w:r>
      <w:r>
        <w:rPr>
          <w:rFonts w:ascii="宋体" w:hAnsi="宋体"/>
          <w:color w:val="auto"/>
          <w:sz w:val="24"/>
          <w:szCs w:val="24"/>
          <w:u w:val="single"/>
        </w:rPr>
        <w:t xml:space="preserve">   </w:t>
      </w:r>
      <w:r>
        <w:rPr>
          <w:rFonts w:ascii="宋体" w:hAnsi="宋体"/>
          <w:color w:val="auto"/>
          <w:sz w:val="24"/>
          <w:szCs w:val="24"/>
        </w:rPr>
        <w:t>份 。</w:t>
      </w:r>
    </w:p>
    <w:p w14:paraId="3D932383">
      <w:pPr>
        <w:tabs>
          <w:tab w:val="left" w:pos="6300"/>
        </w:tabs>
        <w:snapToGrid w:val="0"/>
        <w:spacing w:line="520" w:lineRule="exact"/>
        <w:ind w:firstLine="480" w:firstLineChars="200"/>
        <w:rPr>
          <w:rFonts w:ascii="宋体" w:hAnsi="宋体"/>
          <w:color w:val="auto"/>
          <w:sz w:val="24"/>
          <w:szCs w:val="24"/>
        </w:rPr>
      </w:pPr>
      <w:r>
        <w:rPr>
          <w:rFonts w:ascii="宋体" w:hAnsi="宋体"/>
          <w:color w:val="auto"/>
          <w:sz w:val="24"/>
          <w:szCs w:val="24"/>
        </w:rPr>
        <w:t>3.我方承诺：本次比选的有效期为90天。</w:t>
      </w:r>
    </w:p>
    <w:p w14:paraId="7BCF0D1A">
      <w:pPr>
        <w:tabs>
          <w:tab w:val="left" w:pos="6300"/>
        </w:tabs>
        <w:snapToGrid w:val="0"/>
        <w:spacing w:line="520" w:lineRule="exact"/>
        <w:ind w:firstLine="480" w:firstLineChars="200"/>
        <w:rPr>
          <w:rFonts w:ascii="宋体" w:hAnsi="宋体"/>
          <w:color w:val="auto"/>
          <w:sz w:val="24"/>
          <w:szCs w:val="24"/>
        </w:rPr>
      </w:pPr>
      <w:r>
        <w:rPr>
          <w:rFonts w:ascii="宋体" w:hAnsi="宋体"/>
          <w:color w:val="auto"/>
          <w:sz w:val="24"/>
          <w:szCs w:val="24"/>
        </w:rPr>
        <w:t>4.我方完全理解和接受贵方竞争性比选文件的一切规定和要求及评审办法。</w:t>
      </w:r>
    </w:p>
    <w:p w14:paraId="7599EAF3">
      <w:pPr>
        <w:tabs>
          <w:tab w:val="left" w:pos="6300"/>
        </w:tabs>
        <w:snapToGrid w:val="0"/>
        <w:spacing w:line="520" w:lineRule="exact"/>
        <w:ind w:firstLine="480" w:firstLineChars="200"/>
        <w:rPr>
          <w:rFonts w:ascii="宋体" w:hAnsi="宋体"/>
          <w:color w:val="auto"/>
          <w:sz w:val="24"/>
          <w:szCs w:val="24"/>
        </w:rPr>
      </w:pPr>
      <w:r>
        <w:rPr>
          <w:rFonts w:ascii="宋体" w:hAnsi="宋体"/>
          <w:color w:val="auto"/>
          <w:sz w:val="24"/>
          <w:szCs w:val="24"/>
        </w:rPr>
        <w:t>5.在整个竞争性比选过程中，我方若有违规行为，接受按照《中华人民共和国政府采购法》和《竞争性比选文件》之规定给予惩罚。</w:t>
      </w:r>
    </w:p>
    <w:p w14:paraId="71C2CC26">
      <w:pPr>
        <w:tabs>
          <w:tab w:val="left" w:pos="6300"/>
        </w:tabs>
        <w:snapToGrid w:val="0"/>
        <w:spacing w:line="520" w:lineRule="exact"/>
        <w:ind w:firstLine="480" w:firstLineChars="200"/>
        <w:rPr>
          <w:rFonts w:ascii="宋体" w:hAnsi="宋体"/>
          <w:color w:val="auto"/>
          <w:sz w:val="24"/>
          <w:szCs w:val="24"/>
        </w:rPr>
      </w:pPr>
      <w:r>
        <w:rPr>
          <w:rFonts w:ascii="宋体" w:hAnsi="宋体"/>
          <w:color w:val="auto"/>
          <w:sz w:val="24"/>
          <w:szCs w:val="24"/>
        </w:rPr>
        <w:t>6.我方若成为成交供应商，将按照最终比选结果签订合同，并且严格履行合同义务。本承诺函将成为合同不可分割的一部分，与合同具有同等的法律效力。</w:t>
      </w:r>
    </w:p>
    <w:p w14:paraId="2152603E">
      <w:pPr>
        <w:tabs>
          <w:tab w:val="left" w:pos="6300"/>
        </w:tabs>
        <w:snapToGrid w:val="0"/>
        <w:spacing w:line="520" w:lineRule="exact"/>
        <w:ind w:firstLine="480" w:firstLineChars="200"/>
        <w:rPr>
          <w:rFonts w:ascii="宋体" w:hAnsi="宋体"/>
          <w:color w:val="auto"/>
          <w:sz w:val="24"/>
          <w:szCs w:val="24"/>
        </w:rPr>
      </w:pPr>
      <w:r>
        <w:rPr>
          <w:rFonts w:ascii="宋体" w:hAnsi="宋体"/>
          <w:color w:val="auto"/>
          <w:sz w:val="24"/>
          <w:szCs w:val="24"/>
        </w:rPr>
        <w:t>7.我方同意按竞争性比选文件规定，交纳竞争性比选文件要求的比选保证金。如果我方成为成交供应商，保证在接到成交通知书后，</w:t>
      </w:r>
      <w:r>
        <w:rPr>
          <w:rFonts w:hint="eastAsia" w:ascii="宋体" w:hAnsi="宋体"/>
          <w:color w:val="auto"/>
          <w:sz w:val="24"/>
          <w:szCs w:val="24"/>
        </w:rPr>
        <w:t>按</w:t>
      </w:r>
      <w:r>
        <w:rPr>
          <w:rFonts w:ascii="宋体" w:hAnsi="宋体"/>
          <w:color w:val="auto"/>
          <w:sz w:val="24"/>
          <w:szCs w:val="24"/>
        </w:rPr>
        <w:t>竞争性比选文件规定</w:t>
      </w:r>
      <w:r>
        <w:rPr>
          <w:rFonts w:hint="eastAsia" w:ascii="宋体" w:hAnsi="宋体"/>
          <w:color w:val="auto"/>
          <w:sz w:val="24"/>
          <w:szCs w:val="24"/>
        </w:rPr>
        <w:t>缴纳</w:t>
      </w:r>
      <w:r>
        <w:rPr>
          <w:rFonts w:ascii="宋体" w:hAnsi="宋体"/>
          <w:color w:val="auto"/>
          <w:sz w:val="24"/>
          <w:szCs w:val="24"/>
        </w:rPr>
        <w:t>采购代理服务费。</w:t>
      </w:r>
    </w:p>
    <w:p w14:paraId="580E455B">
      <w:pPr>
        <w:tabs>
          <w:tab w:val="left" w:pos="6300"/>
        </w:tabs>
        <w:snapToGrid w:val="0"/>
        <w:spacing w:line="520" w:lineRule="exact"/>
        <w:ind w:firstLine="480" w:firstLineChars="200"/>
        <w:rPr>
          <w:color w:val="auto"/>
          <w:sz w:val="24"/>
          <w:szCs w:val="24"/>
        </w:rPr>
      </w:pPr>
      <w:r>
        <w:rPr>
          <w:rFonts w:ascii="宋体" w:hAnsi="宋体"/>
          <w:color w:val="auto"/>
          <w:sz w:val="24"/>
          <w:szCs w:val="24"/>
        </w:rPr>
        <w:t>8.</w:t>
      </w:r>
      <w:r>
        <w:rPr>
          <w:color w:val="auto"/>
          <w:sz w:val="24"/>
          <w:szCs w:val="28"/>
        </w:rPr>
        <w:t>我方未</w:t>
      </w:r>
      <w:r>
        <w:rPr>
          <w:color w:val="auto"/>
          <w:sz w:val="24"/>
          <w:szCs w:val="24"/>
        </w:rPr>
        <w:t>为采购项目提供整体设计、规范编制或者项目管理、监理、检测等服务。</w:t>
      </w:r>
    </w:p>
    <w:p w14:paraId="55CA4551">
      <w:pPr>
        <w:tabs>
          <w:tab w:val="left" w:pos="6300"/>
        </w:tabs>
        <w:snapToGrid w:val="0"/>
        <w:spacing w:line="520" w:lineRule="exact"/>
        <w:ind w:firstLine="570"/>
        <w:rPr>
          <w:color w:val="auto"/>
          <w:sz w:val="24"/>
          <w:szCs w:val="24"/>
        </w:rPr>
      </w:pPr>
      <w:r>
        <w:rPr>
          <w:color w:val="auto"/>
          <w:sz w:val="24"/>
          <w:szCs w:val="24"/>
        </w:rPr>
        <w:t>供应商（公章）：</w:t>
      </w:r>
    </w:p>
    <w:p w14:paraId="763AEE03">
      <w:pPr>
        <w:tabs>
          <w:tab w:val="left" w:pos="6300"/>
        </w:tabs>
        <w:snapToGrid w:val="0"/>
        <w:spacing w:line="520" w:lineRule="exact"/>
        <w:ind w:firstLine="570"/>
        <w:rPr>
          <w:color w:val="auto"/>
          <w:sz w:val="24"/>
          <w:szCs w:val="24"/>
        </w:rPr>
      </w:pPr>
      <w:r>
        <w:rPr>
          <w:color w:val="auto"/>
          <w:sz w:val="24"/>
          <w:szCs w:val="24"/>
        </w:rPr>
        <w:t xml:space="preserve">地址：  </w:t>
      </w:r>
    </w:p>
    <w:p w14:paraId="76540F7F">
      <w:pPr>
        <w:tabs>
          <w:tab w:val="left" w:pos="6300"/>
        </w:tabs>
        <w:snapToGrid w:val="0"/>
        <w:spacing w:line="520" w:lineRule="exact"/>
        <w:ind w:firstLine="570"/>
        <w:rPr>
          <w:color w:val="auto"/>
          <w:sz w:val="24"/>
          <w:szCs w:val="24"/>
        </w:rPr>
      </w:pPr>
      <w:r>
        <w:rPr>
          <w:color w:val="auto"/>
          <w:sz w:val="24"/>
          <w:szCs w:val="24"/>
        </w:rPr>
        <w:t>电话：                                             传真：</w:t>
      </w:r>
    </w:p>
    <w:p w14:paraId="2E71088F">
      <w:pPr>
        <w:tabs>
          <w:tab w:val="left" w:pos="6300"/>
        </w:tabs>
        <w:snapToGrid w:val="0"/>
        <w:spacing w:line="520" w:lineRule="exact"/>
        <w:ind w:firstLine="570"/>
        <w:rPr>
          <w:color w:val="auto"/>
          <w:sz w:val="24"/>
          <w:szCs w:val="24"/>
        </w:rPr>
      </w:pPr>
      <w:r>
        <w:rPr>
          <w:color w:val="auto"/>
          <w:sz w:val="24"/>
          <w:szCs w:val="24"/>
        </w:rPr>
        <w:t>网址：                                             邮编：</w:t>
      </w:r>
    </w:p>
    <w:p w14:paraId="4886AE30">
      <w:pPr>
        <w:tabs>
          <w:tab w:val="left" w:pos="6300"/>
        </w:tabs>
        <w:snapToGrid w:val="0"/>
        <w:spacing w:line="520" w:lineRule="exact"/>
        <w:ind w:firstLine="570"/>
        <w:rPr>
          <w:color w:val="auto"/>
          <w:sz w:val="24"/>
          <w:szCs w:val="24"/>
        </w:rPr>
      </w:pPr>
      <w:r>
        <w:rPr>
          <w:color w:val="auto"/>
          <w:sz w:val="24"/>
          <w:szCs w:val="24"/>
        </w:rPr>
        <w:t>联系人：</w:t>
      </w:r>
    </w:p>
    <w:p w14:paraId="778549F2">
      <w:pPr>
        <w:tabs>
          <w:tab w:val="left" w:pos="6300"/>
        </w:tabs>
        <w:snapToGrid w:val="0"/>
        <w:spacing w:line="520" w:lineRule="exact"/>
        <w:ind w:firstLine="570"/>
        <w:rPr>
          <w:color w:val="auto"/>
          <w:sz w:val="24"/>
          <w:szCs w:val="24"/>
        </w:rPr>
      </w:pPr>
    </w:p>
    <w:p w14:paraId="4EB1B99B">
      <w:pPr>
        <w:snapToGrid w:val="0"/>
        <w:spacing w:line="520" w:lineRule="exact"/>
        <w:ind w:firstLine="480" w:firstLineChars="200"/>
        <w:rPr>
          <w:color w:val="auto"/>
          <w:sz w:val="24"/>
          <w:szCs w:val="24"/>
        </w:rPr>
      </w:pPr>
      <w:r>
        <w:rPr>
          <w:color w:val="auto"/>
          <w:sz w:val="24"/>
          <w:szCs w:val="24"/>
        </w:rPr>
        <w:t xml:space="preserve">                                                  年   月   日</w:t>
      </w:r>
    </w:p>
    <w:p w14:paraId="4FFE11D0">
      <w:pPr>
        <w:snapToGrid w:val="0"/>
        <w:spacing w:line="520" w:lineRule="exact"/>
        <w:ind w:firstLine="480" w:firstLineChars="200"/>
        <w:rPr>
          <w:color w:val="auto"/>
          <w:sz w:val="24"/>
          <w:szCs w:val="24"/>
        </w:rPr>
      </w:pPr>
    </w:p>
    <w:p w14:paraId="30CC508A">
      <w:pPr>
        <w:snapToGrid w:val="0"/>
        <w:spacing w:line="520" w:lineRule="exact"/>
        <w:ind w:firstLine="480" w:firstLineChars="200"/>
        <w:rPr>
          <w:color w:val="auto"/>
          <w:sz w:val="24"/>
          <w:szCs w:val="24"/>
        </w:rPr>
        <w:sectPr>
          <w:pgSz w:w="11907" w:h="16840"/>
          <w:pgMar w:top="1134" w:right="1191" w:bottom="1134" w:left="1191" w:header="851" w:footer="992" w:gutter="0"/>
          <w:pgNumType w:fmt="numberInDash"/>
          <w:cols w:space="720" w:num="1"/>
          <w:docGrid w:linePitch="380" w:charSpace="-5735"/>
        </w:sectPr>
      </w:pPr>
    </w:p>
    <w:p w14:paraId="5E78CCA5">
      <w:pPr>
        <w:pageBreakBefore/>
        <w:snapToGrid w:val="0"/>
        <w:spacing w:line="360" w:lineRule="auto"/>
        <w:ind w:firstLine="480" w:firstLineChars="200"/>
        <w:jc w:val="left"/>
        <w:rPr>
          <w:rFonts w:ascii="宋体" w:hAnsi="宋体"/>
          <w:color w:val="auto"/>
          <w:sz w:val="24"/>
          <w:szCs w:val="24"/>
        </w:rPr>
      </w:pPr>
      <w:bookmarkStart w:id="158" w:name="_Toc23764523"/>
      <w:bookmarkStart w:id="159" w:name="_Toc342913420"/>
      <w:bookmarkStart w:id="160" w:name="_Toc313008357"/>
      <w:bookmarkStart w:id="161" w:name="_Toc313888361"/>
      <w:r>
        <w:rPr>
          <w:rFonts w:hint="eastAsia" w:ascii="宋体" w:hAnsi="宋体"/>
          <w:color w:val="auto"/>
          <w:sz w:val="24"/>
          <w:szCs w:val="24"/>
        </w:rPr>
        <w:t>（二）分项报价明细表</w:t>
      </w:r>
    </w:p>
    <w:p w14:paraId="2A812101">
      <w:pPr>
        <w:jc w:val="center"/>
        <w:rPr>
          <w:rFonts w:ascii="宋体" w:hAnsi="宋体"/>
          <w:b/>
          <w:color w:val="auto"/>
          <w:szCs w:val="28"/>
        </w:rPr>
      </w:pPr>
      <w:r>
        <w:rPr>
          <w:rFonts w:hint="eastAsia" w:ascii="宋体" w:hAnsi="宋体"/>
          <w:b/>
          <w:color w:val="auto"/>
          <w:szCs w:val="28"/>
        </w:rPr>
        <w:t>分项报价明细表</w:t>
      </w:r>
    </w:p>
    <w:p w14:paraId="3853A03C">
      <w:pPr>
        <w:snapToGrid w:val="0"/>
        <w:rPr>
          <w:rFonts w:ascii="宋体" w:hAnsi="宋体"/>
          <w:color w:val="auto"/>
          <w:sz w:val="24"/>
          <w:szCs w:val="24"/>
        </w:rPr>
      </w:pPr>
      <w:r>
        <w:rPr>
          <w:rFonts w:hint="eastAsia" w:ascii="宋体" w:hAnsi="宋体"/>
          <w:color w:val="auto"/>
          <w:sz w:val="24"/>
          <w:szCs w:val="24"/>
        </w:rPr>
        <w:t>项目号：</w:t>
      </w:r>
    </w:p>
    <w:p w14:paraId="7791BD3D">
      <w:pPr>
        <w:snapToGrid w:val="0"/>
        <w:rPr>
          <w:rFonts w:ascii="宋体" w:hAnsi="宋体"/>
          <w:color w:val="auto"/>
          <w:sz w:val="24"/>
          <w:szCs w:val="24"/>
        </w:rPr>
      </w:pPr>
      <w:r>
        <w:rPr>
          <w:rFonts w:hint="eastAsia" w:ascii="宋体" w:hAnsi="宋体"/>
          <w:color w:val="auto"/>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760"/>
        <w:gridCol w:w="2551"/>
        <w:gridCol w:w="1418"/>
        <w:gridCol w:w="1275"/>
        <w:gridCol w:w="1638"/>
      </w:tblGrid>
      <w:tr w14:paraId="1D7E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14:paraId="770D5683">
            <w:pPr>
              <w:jc w:val="center"/>
              <w:rPr>
                <w:b/>
                <w:color w:val="auto"/>
                <w:sz w:val="21"/>
                <w:szCs w:val="21"/>
              </w:rPr>
            </w:pPr>
            <w:r>
              <w:rPr>
                <w:b/>
                <w:color w:val="auto"/>
                <w:sz w:val="21"/>
                <w:szCs w:val="21"/>
              </w:rPr>
              <w:t>序号</w:t>
            </w:r>
          </w:p>
        </w:tc>
        <w:tc>
          <w:tcPr>
            <w:tcW w:w="1760" w:type="dxa"/>
            <w:vAlign w:val="center"/>
          </w:tcPr>
          <w:p w14:paraId="0F08377A">
            <w:pPr>
              <w:jc w:val="center"/>
              <w:rPr>
                <w:b/>
                <w:color w:val="auto"/>
                <w:sz w:val="21"/>
                <w:szCs w:val="21"/>
              </w:rPr>
            </w:pPr>
            <w:r>
              <w:rPr>
                <w:rFonts w:hint="eastAsia"/>
                <w:b/>
                <w:color w:val="auto"/>
                <w:sz w:val="21"/>
                <w:szCs w:val="21"/>
              </w:rPr>
              <w:t>分项名称</w:t>
            </w:r>
          </w:p>
        </w:tc>
        <w:tc>
          <w:tcPr>
            <w:tcW w:w="2551" w:type="dxa"/>
            <w:vAlign w:val="center"/>
          </w:tcPr>
          <w:p w14:paraId="3250199C">
            <w:pPr>
              <w:jc w:val="center"/>
              <w:rPr>
                <w:b/>
                <w:color w:val="auto"/>
                <w:sz w:val="21"/>
                <w:szCs w:val="21"/>
              </w:rPr>
            </w:pPr>
            <w:r>
              <w:rPr>
                <w:rFonts w:hint="eastAsia"/>
                <w:b/>
                <w:color w:val="auto"/>
                <w:sz w:val="21"/>
                <w:szCs w:val="21"/>
              </w:rPr>
              <w:t>相关信息</w:t>
            </w:r>
          </w:p>
        </w:tc>
        <w:tc>
          <w:tcPr>
            <w:tcW w:w="1418" w:type="dxa"/>
            <w:vAlign w:val="center"/>
          </w:tcPr>
          <w:p w14:paraId="57C865AB">
            <w:pPr>
              <w:jc w:val="center"/>
              <w:rPr>
                <w:b/>
                <w:color w:val="auto"/>
                <w:sz w:val="21"/>
                <w:szCs w:val="21"/>
              </w:rPr>
            </w:pPr>
            <w:r>
              <w:rPr>
                <w:b/>
                <w:color w:val="auto"/>
                <w:sz w:val="21"/>
                <w:szCs w:val="21"/>
              </w:rPr>
              <w:t>数量</w:t>
            </w:r>
          </w:p>
        </w:tc>
        <w:tc>
          <w:tcPr>
            <w:tcW w:w="1275" w:type="dxa"/>
            <w:vAlign w:val="center"/>
          </w:tcPr>
          <w:p w14:paraId="45D3C9B5">
            <w:pPr>
              <w:jc w:val="center"/>
              <w:rPr>
                <w:b/>
                <w:color w:val="auto"/>
                <w:sz w:val="21"/>
                <w:szCs w:val="21"/>
              </w:rPr>
            </w:pPr>
            <w:r>
              <w:rPr>
                <w:b/>
                <w:color w:val="auto"/>
                <w:sz w:val="21"/>
                <w:szCs w:val="21"/>
              </w:rPr>
              <w:t>单价</w:t>
            </w:r>
          </w:p>
        </w:tc>
        <w:tc>
          <w:tcPr>
            <w:tcW w:w="1638" w:type="dxa"/>
            <w:vAlign w:val="center"/>
          </w:tcPr>
          <w:p w14:paraId="207F9E12">
            <w:pPr>
              <w:jc w:val="center"/>
              <w:rPr>
                <w:b/>
                <w:color w:val="auto"/>
                <w:sz w:val="21"/>
                <w:szCs w:val="21"/>
              </w:rPr>
            </w:pPr>
            <w:r>
              <w:rPr>
                <w:b/>
                <w:color w:val="auto"/>
                <w:sz w:val="21"/>
                <w:szCs w:val="21"/>
              </w:rPr>
              <w:t>合计</w:t>
            </w:r>
          </w:p>
        </w:tc>
      </w:tr>
      <w:tr w14:paraId="6049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0843C0EA">
            <w:pPr>
              <w:pStyle w:val="24"/>
              <w:spacing w:line="240" w:lineRule="atLeast"/>
              <w:ind w:left="0"/>
              <w:outlineLvl w:val="0"/>
              <w:rPr>
                <w:color w:val="auto"/>
                <w:sz w:val="21"/>
                <w:szCs w:val="21"/>
              </w:rPr>
            </w:pPr>
            <w:r>
              <w:rPr>
                <w:color w:val="auto"/>
                <w:sz w:val="21"/>
                <w:szCs w:val="21"/>
              </w:rPr>
              <w:t>1</w:t>
            </w:r>
          </w:p>
        </w:tc>
        <w:tc>
          <w:tcPr>
            <w:tcW w:w="1760" w:type="dxa"/>
            <w:vAlign w:val="center"/>
          </w:tcPr>
          <w:p w14:paraId="37FD87CB">
            <w:pPr>
              <w:jc w:val="center"/>
              <w:rPr>
                <w:color w:val="auto"/>
                <w:sz w:val="21"/>
                <w:szCs w:val="21"/>
              </w:rPr>
            </w:pPr>
          </w:p>
        </w:tc>
        <w:tc>
          <w:tcPr>
            <w:tcW w:w="2551" w:type="dxa"/>
            <w:vAlign w:val="center"/>
          </w:tcPr>
          <w:p w14:paraId="7344E12D">
            <w:pPr>
              <w:jc w:val="center"/>
              <w:rPr>
                <w:color w:val="auto"/>
                <w:sz w:val="21"/>
                <w:szCs w:val="21"/>
              </w:rPr>
            </w:pPr>
          </w:p>
        </w:tc>
        <w:tc>
          <w:tcPr>
            <w:tcW w:w="1418" w:type="dxa"/>
            <w:vAlign w:val="center"/>
          </w:tcPr>
          <w:p w14:paraId="3F1728E4">
            <w:pPr>
              <w:jc w:val="center"/>
              <w:rPr>
                <w:color w:val="auto"/>
                <w:sz w:val="21"/>
                <w:szCs w:val="21"/>
              </w:rPr>
            </w:pPr>
          </w:p>
        </w:tc>
        <w:tc>
          <w:tcPr>
            <w:tcW w:w="1275" w:type="dxa"/>
          </w:tcPr>
          <w:p w14:paraId="758A0120">
            <w:pPr>
              <w:jc w:val="center"/>
              <w:rPr>
                <w:color w:val="auto"/>
                <w:sz w:val="21"/>
                <w:szCs w:val="21"/>
              </w:rPr>
            </w:pPr>
          </w:p>
        </w:tc>
        <w:tc>
          <w:tcPr>
            <w:tcW w:w="1638" w:type="dxa"/>
          </w:tcPr>
          <w:p w14:paraId="3DC01EF6">
            <w:pPr>
              <w:jc w:val="center"/>
              <w:rPr>
                <w:color w:val="auto"/>
                <w:sz w:val="21"/>
                <w:szCs w:val="21"/>
              </w:rPr>
            </w:pPr>
          </w:p>
        </w:tc>
      </w:tr>
      <w:tr w14:paraId="203B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420FCFA3">
            <w:pPr>
              <w:pStyle w:val="24"/>
              <w:spacing w:line="240" w:lineRule="atLeast"/>
              <w:ind w:left="0"/>
              <w:outlineLvl w:val="0"/>
              <w:rPr>
                <w:color w:val="auto"/>
                <w:sz w:val="21"/>
                <w:szCs w:val="21"/>
              </w:rPr>
            </w:pPr>
            <w:r>
              <w:rPr>
                <w:color w:val="auto"/>
                <w:sz w:val="21"/>
                <w:szCs w:val="21"/>
              </w:rPr>
              <w:t>2</w:t>
            </w:r>
          </w:p>
        </w:tc>
        <w:tc>
          <w:tcPr>
            <w:tcW w:w="1760" w:type="dxa"/>
            <w:vAlign w:val="center"/>
          </w:tcPr>
          <w:p w14:paraId="667B2211">
            <w:pPr>
              <w:jc w:val="center"/>
              <w:rPr>
                <w:color w:val="auto"/>
                <w:sz w:val="21"/>
                <w:szCs w:val="21"/>
              </w:rPr>
            </w:pPr>
          </w:p>
        </w:tc>
        <w:tc>
          <w:tcPr>
            <w:tcW w:w="2551" w:type="dxa"/>
            <w:vAlign w:val="center"/>
          </w:tcPr>
          <w:p w14:paraId="69882214">
            <w:pPr>
              <w:jc w:val="center"/>
              <w:rPr>
                <w:color w:val="auto"/>
                <w:sz w:val="21"/>
                <w:szCs w:val="21"/>
              </w:rPr>
            </w:pPr>
          </w:p>
        </w:tc>
        <w:tc>
          <w:tcPr>
            <w:tcW w:w="1418" w:type="dxa"/>
            <w:vAlign w:val="center"/>
          </w:tcPr>
          <w:p w14:paraId="3E5CEAF4">
            <w:pPr>
              <w:jc w:val="center"/>
              <w:rPr>
                <w:color w:val="auto"/>
                <w:sz w:val="21"/>
                <w:szCs w:val="21"/>
              </w:rPr>
            </w:pPr>
          </w:p>
        </w:tc>
        <w:tc>
          <w:tcPr>
            <w:tcW w:w="1275" w:type="dxa"/>
          </w:tcPr>
          <w:p w14:paraId="6956750E">
            <w:pPr>
              <w:jc w:val="center"/>
              <w:rPr>
                <w:color w:val="auto"/>
                <w:sz w:val="21"/>
                <w:szCs w:val="21"/>
              </w:rPr>
            </w:pPr>
          </w:p>
        </w:tc>
        <w:tc>
          <w:tcPr>
            <w:tcW w:w="1638" w:type="dxa"/>
          </w:tcPr>
          <w:p w14:paraId="1ABBB488">
            <w:pPr>
              <w:jc w:val="center"/>
              <w:rPr>
                <w:color w:val="auto"/>
                <w:sz w:val="21"/>
                <w:szCs w:val="21"/>
              </w:rPr>
            </w:pPr>
          </w:p>
        </w:tc>
      </w:tr>
      <w:tr w14:paraId="4D6B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17AAD515">
            <w:pPr>
              <w:pStyle w:val="24"/>
              <w:spacing w:line="240" w:lineRule="atLeast"/>
              <w:ind w:left="0"/>
              <w:outlineLvl w:val="0"/>
              <w:rPr>
                <w:color w:val="auto"/>
                <w:sz w:val="21"/>
                <w:szCs w:val="21"/>
              </w:rPr>
            </w:pPr>
            <w:r>
              <w:rPr>
                <w:color w:val="auto"/>
                <w:sz w:val="21"/>
                <w:szCs w:val="21"/>
              </w:rPr>
              <w:t>3</w:t>
            </w:r>
          </w:p>
        </w:tc>
        <w:tc>
          <w:tcPr>
            <w:tcW w:w="1760" w:type="dxa"/>
            <w:vAlign w:val="center"/>
          </w:tcPr>
          <w:p w14:paraId="44088228">
            <w:pPr>
              <w:jc w:val="center"/>
              <w:rPr>
                <w:bCs/>
                <w:color w:val="auto"/>
                <w:kern w:val="0"/>
                <w:sz w:val="22"/>
              </w:rPr>
            </w:pPr>
          </w:p>
        </w:tc>
        <w:tc>
          <w:tcPr>
            <w:tcW w:w="2551" w:type="dxa"/>
            <w:vAlign w:val="center"/>
          </w:tcPr>
          <w:p w14:paraId="17E5F62E">
            <w:pPr>
              <w:jc w:val="center"/>
              <w:rPr>
                <w:bCs/>
                <w:color w:val="auto"/>
                <w:kern w:val="0"/>
                <w:sz w:val="22"/>
              </w:rPr>
            </w:pPr>
          </w:p>
        </w:tc>
        <w:tc>
          <w:tcPr>
            <w:tcW w:w="1418" w:type="dxa"/>
            <w:vAlign w:val="center"/>
          </w:tcPr>
          <w:p w14:paraId="260C18ED">
            <w:pPr>
              <w:jc w:val="center"/>
              <w:rPr>
                <w:color w:val="auto"/>
                <w:sz w:val="21"/>
                <w:szCs w:val="21"/>
              </w:rPr>
            </w:pPr>
          </w:p>
        </w:tc>
        <w:tc>
          <w:tcPr>
            <w:tcW w:w="1275" w:type="dxa"/>
          </w:tcPr>
          <w:p w14:paraId="327C7FD5">
            <w:pPr>
              <w:jc w:val="center"/>
              <w:rPr>
                <w:color w:val="auto"/>
                <w:sz w:val="21"/>
                <w:szCs w:val="21"/>
              </w:rPr>
            </w:pPr>
          </w:p>
        </w:tc>
        <w:tc>
          <w:tcPr>
            <w:tcW w:w="1638" w:type="dxa"/>
          </w:tcPr>
          <w:p w14:paraId="088C0E57">
            <w:pPr>
              <w:jc w:val="center"/>
              <w:rPr>
                <w:color w:val="auto"/>
                <w:sz w:val="21"/>
                <w:szCs w:val="21"/>
              </w:rPr>
            </w:pPr>
          </w:p>
        </w:tc>
      </w:tr>
      <w:tr w14:paraId="53A9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1AAF27BA">
            <w:pPr>
              <w:pStyle w:val="24"/>
              <w:spacing w:line="240" w:lineRule="atLeast"/>
              <w:ind w:left="0"/>
              <w:outlineLvl w:val="0"/>
              <w:rPr>
                <w:color w:val="auto"/>
                <w:sz w:val="21"/>
                <w:szCs w:val="21"/>
              </w:rPr>
            </w:pPr>
            <w:r>
              <w:rPr>
                <w:color w:val="auto"/>
                <w:sz w:val="21"/>
                <w:szCs w:val="21"/>
              </w:rPr>
              <w:t>4</w:t>
            </w:r>
          </w:p>
        </w:tc>
        <w:tc>
          <w:tcPr>
            <w:tcW w:w="1760" w:type="dxa"/>
            <w:vAlign w:val="center"/>
          </w:tcPr>
          <w:p w14:paraId="25051765">
            <w:pPr>
              <w:jc w:val="center"/>
              <w:rPr>
                <w:bCs/>
                <w:color w:val="auto"/>
                <w:kern w:val="0"/>
                <w:sz w:val="22"/>
              </w:rPr>
            </w:pPr>
          </w:p>
        </w:tc>
        <w:tc>
          <w:tcPr>
            <w:tcW w:w="2551" w:type="dxa"/>
            <w:vAlign w:val="center"/>
          </w:tcPr>
          <w:p w14:paraId="43FE4208">
            <w:pPr>
              <w:jc w:val="center"/>
              <w:rPr>
                <w:bCs/>
                <w:color w:val="auto"/>
                <w:kern w:val="0"/>
                <w:sz w:val="22"/>
              </w:rPr>
            </w:pPr>
          </w:p>
        </w:tc>
        <w:tc>
          <w:tcPr>
            <w:tcW w:w="1418" w:type="dxa"/>
            <w:vAlign w:val="center"/>
          </w:tcPr>
          <w:p w14:paraId="0ED29F43">
            <w:pPr>
              <w:jc w:val="center"/>
              <w:rPr>
                <w:color w:val="auto"/>
                <w:sz w:val="21"/>
                <w:szCs w:val="21"/>
              </w:rPr>
            </w:pPr>
          </w:p>
        </w:tc>
        <w:tc>
          <w:tcPr>
            <w:tcW w:w="1275" w:type="dxa"/>
          </w:tcPr>
          <w:p w14:paraId="571BA933">
            <w:pPr>
              <w:jc w:val="center"/>
              <w:rPr>
                <w:color w:val="auto"/>
                <w:sz w:val="21"/>
                <w:szCs w:val="21"/>
              </w:rPr>
            </w:pPr>
          </w:p>
        </w:tc>
        <w:tc>
          <w:tcPr>
            <w:tcW w:w="1638" w:type="dxa"/>
          </w:tcPr>
          <w:p w14:paraId="50340344">
            <w:pPr>
              <w:jc w:val="center"/>
              <w:rPr>
                <w:color w:val="auto"/>
                <w:sz w:val="21"/>
                <w:szCs w:val="21"/>
              </w:rPr>
            </w:pPr>
          </w:p>
        </w:tc>
      </w:tr>
      <w:tr w14:paraId="2595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021A3C39">
            <w:pPr>
              <w:pStyle w:val="24"/>
              <w:spacing w:line="240" w:lineRule="atLeast"/>
              <w:ind w:left="0"/>
              <w:outlineLvl w:val="0"/>
              <w:rPr>
                <w:color w:val="auto"/>
                <w:sz w:val="21"/>
                <w:szCs w:val="21"/>
              </w:rPr>
            </w:pPr>
            <w:r>
              <w:rPr>
                <w:color w:val="auto"/>
                <w:sz w:val="21"/>
                <w:szCs w:val="21"/>
              </w:rPr>
              <w:t>5</w:t>
            </w:r>
          </w:p>
        </w:tc>
        <w:tc>
          <w:tcPr>
            <w:tcW w:w="1760" w:type="dxa"/>
            <w:vAlign w:val="center"/>
          </w:tcPr>
          <w:p w14:paraId="656C2008">
            <w:pPr>
              <w:jc w:val="center"/>
              <w:rPr>
                <w:color w:val="auto"/>
                <w:sz w:val="21"/>
                <w:szCs w:val="21"/>
              </w:rPr>
            </w:pPr>
          </w:p>
        </w:tc>
        <w:tc>
          <w:tcPr>
            <w:tcW w:w="2551" w:type="dxa"/>
            <w:vAlign w:val="center"/>
          </w:tcPr>
          <w:p w14:paraId="32F7E868">
            <w:pPr>
              <w:jc w:val="center"/>
              <w:rPr>
                <w:color w:val="auto"/>
                <w:sz w:val="21"/>
                <w:szCs w:val="21"/>
              </w:rPr>
            </w:pPr>
          </w:p>
        </w:tc>
        <w:tc>
          <w:tcPr>
            <w:tcW w:w="1418" w:type="dxa"/>
            <w:vAlign w:val="center"/>
          </w:tcPr>
          <w:p w14:paraId="44567B14">
            <w:pPr>
              <w:jc w:val="center"/>
              <w:rPr>
                <w:color w:val="auto"/>
                <w:sz w:val="21"/>
                <w:szCs w:val="21"/>
              </w:rPr>
            </w:pPr>
          </w:p>
        </w:tc>
        <w:tc>
          <w:tcPr>
            <w:tcW w:w="1275" w:type="dxa"/>
          </w:tcPr>
          <w:p w14:paraId="35B3CC31">
            <w:pPr>
              <w:jc w:val="center"/>
              <w:rPr>
                <w:color w:val="auto"/>
                <w:sz w:val="21"/>
                <w:szCs w:val="21"/>
              </w:rPr>
            </w:pPr>
          </w:p>
        </w:tc>
        <w:tc>
          <w:tcPr>
            <w:tcW w:w="1638" w:type="dxa"/>
          </w:tcPr>
          <w:p w14:paraId="66FCFB83">
            <w:pPr>
              <w:jc w:val="center"/>
              <w:rPr>
                <w:color w:val="auto"/>
                <w:sz w:val="21"/>
                <w:szCs w:val="21"/>
              </w:rPr>
            </w:pPr>
          </w:p>
        </w:tc>
      </w:tr>
      <w:tr w14:paraId="5D47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2A53BB68">
            <w:pPr>
              <w:pStyle w:val="24"/>
              <w:spacing w:line="240" w:lineRule="atLeast"/>
              <w:ind w:left="0"/>
              <w:outlineLvl w:val="0"/>
              <w:rPr>
                <w:color w:val="auto"/>
                <w:sz w:val="21"/>
                <w:szCs w:val="21"/>
              </w:rPr>
            </w:pPr>
            <w:r>
              <w:rPr>
                <w:color w:val="auto"/>
                <w:sz w:val="21"/>
                <w:szCs w:val="21"/>
              </w:rPr>
              <w:t>6</w:t>
            </w:r>
          </w:p>
        </w:tc>
        <w:tc>
          <w:tcPr>
            <w:tcW w:w="1760" w:type="dxa"/>
            <w:vAlign w:val="center"/>
          </w:tcPr>
          <w:p w14:paraId="7F7AB62C">
            <w:pPr>
              <w:jc w:val="center"/>
              <w:rPr>
                <w:color w:val="auto"/>
                <w:sz w:val="21"/>
                <w:szCs w:val="21"/>
              </w:rPr>
            </w:pPr>
          </w:p>
        </w:tc>
        <w:tc>
          <w:tcPr>
            <w:tcW w:w="2551" w:type="dxa"/>
            <w:vAlign w:val="center"/>
          </w:tcPr>
          <w:p w14:paraId="2F84D451">
            <w:pPr>
              <w:jc w:val="center"/>
              <w:rPr>
                <w:color w:val="auto"/>
                <w:sz w:val="21"/>
                <w:szCs w:val="21"/>
              </w:rPr>
            </w:pPr>
          </w:p>
        </w:tc>
        <w:tc>
          <w:tcPr>
            <w:tcW w:w="1418" w:type="dxa"/>
            <w:vAlign w:val="center"/>
          </w:tcPr>
          <w:p w14:paraId="0E6CE220">
            <w:pPr>
              <w:jc w:val="center"/>
              <w:rPr>
                <w:color w:val="auto"/>
                <w:sz w:val="21"/>
                <w:szCs w:val="21"/>
              </w:rPr>
            </w:pPr>
          </w:p>
        </w:tc>
        <w:tc>
          <w:tcPr>
            <w:tcW w:w="1275" w:type="dxa"/>
          </w:tcPr>
          <w:p w14:paraId="0F93276C">
            <w:pPr>
              <w:jc w:val="center"/>
              <w:rPr>
                <w:color w:val="auto"/>
                <w:sz w:val="21"/>
                <w:szCs w:val="21"/>
              </w:rPr>
            </w:pPr>
          </w:p>
        </w:tc>
        <w:tc>
          <w:tcPr>
            <w:tcW w:w="1638" w:type="dxa"/>
          </w:tcPr>
          <w:p w14:paraId="59FCE042">
            <w:pPr>
              <w:jc w:val="center"/>
              <w:rPr>
                <w:color w:val="auto"/>
                <w:sz w:val="21"/>
                <w:szCs w:val="21"/>
              </w:rPr>
            </w:pPr>
          </w:p>
        </w:tc>
      </w:tr>
      <w:tr w14:paraId="2D9A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5E156AD7">
            <w:pPr>
              <w:pStyle w:val="24"/>
              <w:spacing w:line="240" w:lineRule="atLeast"/>
              <w:ind w:left="0"/>
              <w:outlineLvl w:val="0"/>
              <w:rPr>
                <w:color w:val="auto"/>
                <w:sz w:val="21"/>
                <w:szCs w:val="21"/>
              </w:rPr>
            </w:pPr>
            <w:r>
              <w:rPr>
                <w:color w:val="auto"/>
                <w:sz w:val="21"/>
                <w:szCs w:val="21"/>
              </w:rPr>
              <w:t>7</w:t>
            </w:r>
          </w:p>
        </w:tc>
        <w:tc>
          <w:tcPr>
            <w:tcW w:w="1760" w:type="dxa"/>
            <w:vAlign w:val="center"/>
          </w:tcPr>
          <w:p w14:paraId="2AF5DDA4">
            <w:pPr>
              <w:jc w:val="center"/>
              <w:rPr>
                <w:b/>
                <w:color w:val="auto"/>
                <w:sz w:val="21"/>
                <w:szCs w:val="21"/>
              </w:rPr>
            </w:pPr>
          </w:p>
        </w:tc>
        <w:tc>
          <w:tcPr>
            <w:tcW w:w="2551" w:type="dxa"/>
            <w:vAlign w:val="center"/>
          </w:tcPr>
          <w:p w14:paraId="1C58202F">
            <w:pPr>
              <w:jc w:val="center"/>
              <w:rPr>
                <w:b/>
                <w:color w:val="auto"/>
                <w:sz w:val="21"/>
                <w:szCs w:val="21"/>
              </w:rPr>
            </w:pPr>
            <w:r>
              <w:rPr>
                <w:b/>
                <w:color w:val="auto"/>
                <w:sz w:val="21"/>
                <w:szCs w:val="21"/>
              </w:rPr>
              <w:t>……</w:t>
            </w:r>
          </w:p>
        </w:tc>
        <w:tc>
          <w:tcPr>
            <w:tcW w:w="1418" w:type="dxa"/>
            <w:vAlign w:val="center"/>
          </w:tcPr>
          <w:p w14:paraId="52717DFA">
            <w:pPr>
              <w:jc w:val="center"/>
              <w:rPr>
                <w:color w:val="auto"/>
                <w:sz w:val="21"/>
                <w:szCs w:val="21"/>
              </w:rPr>
            </w:pPr>
          </w:p>
        </w:tc>
        <w:tc>
          <w:tcPr>
            <w:tcW w:w="1275" w:type="dxa"/>
          </w:tcPr>
          <w:p w14:paraId="73893A15">
            <w:pPr>
              <w:jc w:val="center"/>
              <w:rPr>
                <w:color w:val="auto"/>
                <w:sz w:val="21"/>
                <w:szCs w:val="21"/>
              </w:rPr>
            </w:pPr>
          </w:p>
        </w:tc>
        <w:tc>
          <w:tcPr>
            <w:tcW w:w="1638" w:type="dxa"/>
          </w:tcPr>
          <w:p w14:paraId="45DEA382">
            <w:pPr>
              <w:jc w:val="center"/>
              <w:rPr>
                <w:color w:val="auto"/>
                <w:sz w:val="21"/>
                <w:szCs w:val="21"/>
              </w:rPr>
            </w:pPr>
          </w:p>
        </w:tc>
      </w:tr>
      <w:tr w14:paraId="456D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2FB31DD8">
            <w:pPr>
              <w:pStyle w:val="24"/>
              <w:spacing w:line="240" w:lineRule="atLeast"/>
              <w:ind w:left="0"/>
              <w:outlineLvl w:val="0"/>
              <w:rPr>
                <w:color w:val="auto"/>
                <w:sz w:val="21"/>
                <w:szCs w:val="21"/>
              </w:rPr>
            </w:pPr>
          </w:p>
        </w:tc>
        <w:tc>
          <w:tcPr>
            <w:tcW w:w="5729" w:type="dxa"/>
            <w:gridSpan w:val="3"/>
            <w:vAlign w:val="center"/>
          </w:tcPr>
          <w:p w14:paraId="5EF13F74">
            <w:pPr>
              <w:jc w:val="center"/>
              <w:rPr>
                <w:b/>
                <w:color w:val="auto"/>
                <w:sz w:val="21"/>
                <w:szCs w:val="21"/>
              </w:rPr>
            </w:pPr>
            <w:r>
              <w:rPr>
                <w:b/>
                <w:color w:val="auto"/>
                <w:sz w:val="21"/>
                <w:szCs w:val="21"/>
              </w:rPr>
              <w:t>总计</w:t>
            </w:r>
          </w:p>
        </w:tc>
        <w:tc>
          <w:tcPr>
            <w:tcW w:w="2913" w:type="dxa"/>
            <w:gridSpan w:val="2"/>
          </w:tcPr>
          <w:p w14:paraId="09720E6F">
            <w:pPr>
              <w:rPr>
                <w:color w:val="auto"/>
                <w:sz w:val="21"/>
                <w:szCs w:val="21"/>
              </w:rPr>
            </w:pPr>
          </w:p>
        </w:tc>
      </w:tr>
    </w:tbl>
    <w:p w14:paraId="6F0E8F74">
      <w:pPr>
        <w:spacing w:line="360" w:lineRule="auto"/>
        <w:ind w:firstLine="600" w:firstLineChars="250"/>
        <w:rPr>
          <w:rFonts w:ascii="宋体" w:hAnsi="宋体"/>
          <w:color w:val="auto"/>
          <w:sz w:val="24"/>
          <w:szCs w:val="28"/>
        </w:rPr>
      </w:pPr>
    </w:p>
    <w:p w14:paraId="1B3D2CD7">
      <w:pPr>
        <w:spacing w:line="360" w:lineRule="auto"/>
        <w:ind w:firstLine="600" w:firstLineChars="250"/>
        <w:rPr>
          <w:rFonts w:ascii="宋体" w:hAnsi="宋体"/>
          <w:color w:val="auto"/>
          <w:sz w:val="24"/>
          <w:szCs w:val="28"/>
        </w:rPr>
      </w:pPr>
    </w:p>
    <w:p w14:paraId="21A13541">
      <w:pPr>
        <w:spacing w:line="360" w:lineRule="auto"/>
        <w:rPr>
          <w:rFonts w:ascii="宋体" w:hAnsi="宋体"/>
          <w:color w:val="auto"/>
          <w:sz w:val="24"/>
          <w:szCs w:val="28"/>
        </w:rPr>
      </w:pPr>
      <w:r>
        <w:rPr>
          <w:rFonts w:hint="eastAsia" w:ascii="宋体" w:hAnsi="宋体"/>
          <w:color w:val="auto"/>
          <w:sz w:val="24"/>
          <w:szCs w:val="28"/>
        </w:rPr>
        <w:t>供应商：                     法定代表人（或法定代表人授权代表）或自然人：</w:t>
      </w:r>
    </w:p>
    <w:p w14:paraId="019A0CBA">
      <w:pPr>
        <w:spacing w:line="360" w:lineRule="auto"/>
        <w:rPr>
          <w:rFonts w:ascii="宋体" w:hAnsi="宋体"/>
          <w:color w:val="auto"/>
          <w:sz w:val="24"/>
          <w:szCs w:val="28"/>
        </w:rPr>
      </w:pPr>
      <w:r>
        <w:rPr>
          <w:rFonts w:hint="eastAsia" w:ascii="宋体" w:hAnsi="宋体"/>
          <w:color w:val="auto"/>
          <w:sz w:val="24"/>
          <w:szCs w:val="28"/>
        </w:rPr>
        <w:t xml:space="preserve">   </w:t>
      </w:r>
    </w:p>
    <w:p w14:paraId="44631B1B">
      <w:pPr>
        <w:spacing w:line="360" w:lineRule="auto"/>
        <w:ind w:firstLine="720" w:firstLineChars="300"/>
        <w:rPr>
          <w:rFonts w:ascii="宋体" w:hAnsi="宋体"/>
          <w:color w:val="auto"/>
          <w:sz w:val="24"/>
          <w:szCs w:val="28"/>
        </w:rPr>
      </w:pPr>
      <w:r>
        <w:rPr>
          <w:rFonts w:hint="eastAsia" w:ascii="宋体" w:hAnsi="宋体"/>
          <w:color w:val="auto"/>
          <w:sz w:val="24"/>
          <w:szCs w:val="28"/>
        </w:rPr>
        <w:t>（供应商公章）                               （签字或盖章）</w:t>
      </w:r>
    </w:p>
    <w:p w14:paraId="08FD90E0">
      <w:pPr>
        <w:tabs>
          <w:tab w:val="left" w:pos="6300"/>
        </w:tabs>
        <w:snapToGrid w:val="0"/>
        <w:spacing w:line="360" w:lineRule="auto"/>
        <w:ind w:firstLine="570"/>
        <w:rPr>
          <w:rFonts w:ascii="宋体" w:hAnsi="宋体"/>
          <w:color w:val="auto"/>
          <w:sz w:val="24"/>
        </w:rPr>
      </w:pPr>
      <w:r>
        <w:rPr>
          <w:rFonts w:hint="eastAsia" w:ascii="宋体" w:hAnsi="宋体"/>
          <w:color w:val="auto"/>
          <w:sz w:val="24"/>
          <w:szCs w:val="28"/>
        </w:rPr>
        <w:t xml:space="preserve">                                              年     月     日</w:t>
      </w:r>
    </w:p>
    <w:p w14:paraId="22F41CC4">
      <w:pPr>
        <w:snapToGrid w:val="0"/>
        <w:spacing w:line="500" w:lineRule="exact"/>
        <w:ind w:firstLine="480" w:firstLineChars="200"/>
        <w:rPr>
          <w:rFonts w:ascii="宋体" w:hAnsi="宋体"/>
          <w:color w:val="auto"/>
          <w:sz w:val="24"/>
          <w:szCs w:val="28"/>
        </w:rPr>
      </w:pPr>
    </w:p>
    <w:p w14:paraId="2CA52419">
      <w:pPr>
        <w:snapToGrid w:val="0"/>
        <w:spacing w:line="360" w:lineRule="auto"/>
        <w:ind w:firstLine="480" w:firstLineChars="200"/>
        <w:rPr>
          <w:rFonts w:ascii="宋体" w:hAnsi="宋体"/>
          <w:color w:val="auto"/>
          <w:sz w:val="24"/>
          <w:szCs w:val="28"/>
        </w:rPr>
      </w:pPr>
      <w:r>
        <w:rPr>
          <w:rFonts w:hint="eastAsia" w:ascii="宋体" w:hAnsi="宋体"/>
          <w:color w:val="auto"/>
          <w:sz w:val="24"/>
          <w:szCs w:val="28"/>
        </w:rPr>
        <w:t>注：</w:t>
      </w:r>
    </w:p>
    <w:p w14:paraId="75CD08F1">
      <w:pPr>
        <w:snapToGrid w:val="0"/>
        <w:spacing w:line="360" w:lineRule="auto"/>
        <w:ind w:firstLine="480" w:firstLineChars="200"/>
        <w:rPr>
          <w:rFonts w:ascii="宋体" w:hAnsi="宋体"/>
          <w:color w:val="auto"/>
          <w:sz w:val="24"/>
          <w:szCs w:val="28"/>
        </w:rPr>
      </w:pPr>
      <w:r>
        <w:rPr>
          <w:rFonts w:hint="eastAsia" w:ascii="宋体" w:hAnsi="宋体"/>
          <w:color w:val="auto"/>
          <w:sz w:val="24"/>
          <w:szCs w:val="28"/>
        </w:rPr>
        <w:t>1.供应商可自行设计表格格式，分项内容应当完整；</w:t>
      </w:r>
    </w:p>
    <w:p w14:paraId="550C52DB">
      <w:pPr>
        <w:snapToGrid w:val="0"/>
        <w:spacing w:line="360" w:lineRule="auto"/>
        <w:ind w:firstLine="480" w:firstLineChars="200"/>
        <w:rPr>
          <w:rFonts w:ascii="宋体" w:hAnsi="宋体"/>
          <w:color w:val="auto"/>
          <w:sz w:val="24"/>
          <w:szCs w:val="28"/>
        </w:rPr>
      </w:pPr>
      <w:r>
        <w:rPr>
          <w:rFonts w:hint="eastAsia" w:ascii="宋体" w:hAnsi="宋体"/>
          <w:color w:val="auto"/>
          <w:sz w:val="24"/>
          <w:szCs w:val="28"/>
        </w:rPr>
        <w:t>2.该表可扩展；</w:t>
      </w:r>
    </w:p>
    <w:p w14:paraId="6D81B73A">
      <w:pPr>
        <w:snapToGrid w:val="0"/>
        <w:spacing w:line="360" w:lineRule="auto"/>
        <w:ind w:firstLine="480" w:firstLineChars="200"/>
        <w:rPr>
          <w:rFonts w:ascii="宋体" w:hAnsi="宋体"/>
          <w:color w:val="auto"/>
          <w:sz w:val="24"/>
          <w:szCs w:val="28"/>
        </w:rPr>
      </w:pPr>
    </w:p>
    <w:p w14:paraId="4D6DE966">
      <w:pPr>
        <w:snapToGrid w:val="0"/>
        <w:spacing w:line="360" w:lineRule="auto"/>
        <w:ind w:firstLine="480" w:firstLineChars="200"/>
        <w:rPr>
          <w:rFonts w:ascii="宋体" w:hAnsi="宋体"/>
          <w:color w:val="auto"/>
          <w:sz w:val="24"/>
          <w:szCs w:val="28"/>
        </w:rPr>
      </w:pPr>
    </w:p>
    <w:p w14:paraId="481D3336">
      <w:pPr>
        <w:snapToGrid w:val="0"/>
        <w:spacing w:line="360" w:lineRule="auto"/>
        <w:ind w:firstLine="480" w:firstLineChars="200"/>
        <w:rPr>
          <w:rFonts w:ascii="宋体" w:hAnsi="宋体"/>
          <w:color w:val="auto"/>
          <w:sz w:val="24"/>
          <w:szCs w:val="28"/>
        </w:rPr>
      </w:pPr>
    </w:p>
    <w:p w14:paraId="33407129">
      <w:pPr>
        <w:snapToGrid w:val="0"/>
        <w:spacing w:line="360" w:lineRule="auto"/>
        <w:ind w:firstLine="480" w:firstLineChars="200"/>
        <w:rPr>
          <w:rFonts w:ascii="宋体" w:hAnsi="宋体"/>
          <w:color w:val="auto"/>
          <w:sz w:val="24"/>
          <w:szCs w:val="28"/>
        </w:rPr>
      </w:pPr>
    </w:p>
    <w:p w14:paraId="0D41B40D">
      <w:pPr>
        <w:snapToGrid w:val="0"/>
        <w:spacing w:line="360" w:lineRule="auto"/>
        <w:ind w:firstLine="480" w:firstLineChars="200"/>
        <w:rPr>
          <w:rFonts w:ascii="宋体" w:hAnsi="宋体"/>
          <w:color w:val="auto"/>
          <w:sz w:val="24"/>
          <w:szCs w:val="28"/>
        </w:rPr>
      </w:pPr>
    </w:p>
    <w:p w14:paraId="42D82AFC">
      <w:pPr>
        <w:pageBreakBefore/>
        <w:tabs>
          <w:tab w:val="left" w:pos="6300"/>
        </w:tabs>
        <w:snapToGrid w:val="0"/>
        <w:spacing w:line="360" w:lineRule="auto"/>
        <w:rPr>
          <w:b/>
          <w:color w:val="auto"/>
          <w:sz w:val="24"/>
          <w:szCs w:val="24"/>
        </w:rPr>
      </w:pPr>
      <w:r>
        <w:rPr>
          <w:rFonts w:hint="eastAsia"/>
          <w:b/>
          <w:color w:val="auto"/>
          <w:sz w:val="24"/>
          <w:szCs w:val="24"/>
        </w:rPr>
        <w:t xml:space="preserve">    </w:t>
      </w:r>
      <w:r>
        <w:rPr>
          <w:b/>
          <w:color w:val="auto"/>
          <w:sz w:val="24"/>
          <w:szCs w:val="24"/>
        </w:rPr>
        <w:t>二、</w:t>
      </w:r>
      <w:r>
        <w:rPr>
          <w:rFonts w:hint="eastAsia"/>
          <w:b/>
          <w:color w:val="auto"/>
          <w:sz w:val="24"/>
          <w:szCs w:val="24"/>
        </w:rPr>
        <w:t>技术</w:t>
      </w:r>
      <w:r>
        <w:rPr>
          <w:b/>
          <w:color w:val="auto"/>
          <w:sz w:val="24"/>
          <w:szCs w:val="24"/>
        </w:rPr>
        <w:t>部分</w:t>
      </w:r>
      <w:bookmarkEnd w:id="158"/>
      <w:bookmarkEnd w:id="159"/>
      <w:bookmarkEnd w:id="160"/>
      <w:bookmarkEnd w:id="161"/>
    </w:p>
    <w:p w14:paraId="697B11E7">
      <w:pPr>
        <w:snapToGrid w:val="0"/>
        <w:spacing w:line="360" w:lineRule="auto"/>
        <w:rPr>
          <w:rFonts w:ascii="宋体" w:hAnsi="宋体"/>
          <w:color w:val="auto"/>
          <w:sz w:val="24"/>
          <w:szCs w:val="24"/>
        </w:rPr>
      </w:pPr>
      <w:r>
        <w:rPr>
          <w:rFonts w:hint="eastAsia"/>
          <w:color w:val="auto"/>
          <w:sz w:val="24"/>
          <w:szCs w:val="24"/>
        </w:rPr>
        <w:t xml:space="preserve">    </w:t>
      </w:r>
      <w:r>
        <w:rPr>
          <w:rFonts w:hint="eastAsia" w:ascii="宋体" w:hAnsi="宋体"/>
          <w:color w:val="auto"/>
          <w:sz w:val="24"/>
          <w:szCs w:val="24"/>
        </w:rPr>
        <w:t>（一）服务方案</w:t>
      </w:r>
    </w:p>
    <w:p w14:paraId="4EA9CC9D">
      <w:pPr>
        <w:snapToGrid w:val="0"/>
        <w:spacing w:line="360" w:lineRule="auto"/>
        <w:rPr>
          <w:rFonts w:ascii="宋体" w:hAnsi="宋体"/>
          <w:color w:val="auto"/>
          <w:sz w:val="24"/>
          <w:szCs w:val="24"/>
        </w:rPr>
      </w:pPr>
      <w:r>
        <w:rPr>
          <w:rFonts w:hint="eastAsia" w:ascii="宋体" w:hAnsi="宋体"/>
          <w:color w:val="auto"/>
          <w:sz w:val="24"/>
          <w:szCs w:val="24"/>
        </w:rPr>
        <w:t xml:space="preserve">    （二）技术响应偏离表</w:t>
      </w:r>
    </w:p>
    <w:p w14:paraId="0AAA9A4E">
      <w:pPr>
        <w:tabs>
          <w:tab w:val="left" w:pos="6300"/>
        </w:tabs>
        <w:snapToGrid w:val="0"/>
        <w:spacing w:line="360" w:lineRule="auto"/>
        <w:jc w:val="center"/>
        <w:rPr>
          <w:rFonts w:ascii="宋体" w:hAnsi="宋体"/>
          <w:color w:val="auto"/>
          <w:szCs w:val="24"/>
        </w:rPr>
      </w:pPr>
      <w:r>
        <w:rPr>
          <w:rFonts w:hint="eastAsia" w:ascii="宋体" w:hAnsi="宋体"/>
          <w:color w:val="auto"/>
          <w:szCs w:val="24"/>
        </w:rPr>
        <w:t>技术响应偏离表</w:t>
      </w:r>
    </w:p>
    <w:p w14:paraId="19081D30">
      <w:pPr>
        <w:pStyle w:val="33"/>
        <w:tabs>
          <w:tab w:val="left" w:pos="6300"/>
        </w:tabs>
        <w:snapToGrid w:val="0"/>
        <w:spacing w:line="360" w:lineRule="auto"/>
        <w:ind w:firstLine="480" w:firstLineChars="200"/>
        <w:outlineLvl w:val="0"/>
        <w:rPr>
          <w:rFonts w:ascii="宋体" w:hAnsi="宋体"/>
          <w:color w:val="auto"/>
          <w:sz w:val="24"/>
        </w:rPr>
      </w:pPr>
      <w:r>
        <w:rPr>
          <w:rFonts w:hint="eastAsia" w:ascii="宋体" w:hAnsi="宋体"/>
          <w:color w:val="auto"/>
          <w:sz w:val="24"/>
        </w:rPr>
        <w:t>项目号：</w:t>
      </w:r>
    </w:p>
    <w:p w14:paraId="0063B106">
      <w:pPr>
        <w:pStyle w:val="33"/>
        <w:tabs>
          <w:tab w:val="left" w:pos="6300"/>
        </w:tabs>
        <w:snapToGrid w:val="0"/>
        <w:spacing w:line="360" w:lineRule="auto"/>
        <w:ind w:firstLine="480" w:firstLineChars="200"/>
        <w:outlineLvl w:val="0"/>
        <w:rPr>
          <w:rFonts w:ascii="宋体" w:hAnsi="宋体"/>
          <w:color w:val="auto"/>
          <w:sz w:val="24"/>
        </w:rPr>
      </w:pPr>
      <w:r>
        <w:rPr>
          <w:rFonts w:hint="eastAsia" w:ascii="宋体" w:hAnsi="宋体"/>
          <w:color w:val="auto"/>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4705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14:paraId="61EDFB4B">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序号</w:t>
            </w:r>
          </w:p>
        </w:tc>
        <w:tc>
          <w:tcPr>
            <w:tcW w:w="2658" w:type="dxa"/>
            <w:vAlign w:val="center"/>
          </w:tcPr>
          <w:p w14:paraId="35F1C96F">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采购需求</w:t>
            </w:r>
          </w:p>
        </w:tc>
        <w:tc>
          <w:tcPr>
            <w:tcW w:w="2759" w:type="dxa"/>
            <w:vAlign w:val="center"/>
          </w:tcPr>
          <w:p w14:paraId="7D446C8D">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响应情况</w:t>
            </w:r>
          </w:p>
        </w:tc>
        <w:tc>
          <w:tcPr>
            <w:tcW w:w="2633" w:type="dxa"/>
            <w:vAlign w:val="center"/>
          </w:tcPr>
          <w:p w14:paraId="3CA38FE4">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差异说明</w:t>
            </w:r>
          </w:p>
        </w:tc>
      </w:tr>
      <w:tr w14:paraId="3286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612A59DE">
            <w:pPr>
              <w:tabs>
                <w:tab w:val="left" w:pos="6300"/>
              </w:tabs>
              <w:snapToGrid w:val="0"/>
              <w:jc w:val="center"/>
              <w:outlineLvl w:val="0"/>
              <w:rPr>
                <w:rFonts w:ascii="宋体" w:hAnsi="宋体"/>
                <w:color w:val="auto"/>
                <w:sz w:val="21"/>
                <w:szCs w:val="21"/>
              </w:rPr>
            </w:pPr>
          </w:p>
        </w:tc>
        <w:tc>
          <w:tcPr>
            <w:tcW w:w="2658" w:type="dxa"/>
            <w:vAlign w:val="center"/>
          </w:tcPr>
          <w:p w14:paraId="15C75442">
            <w:pPr>
              <w:tabs>
                <w:tab w:val="left" w:pos="6300"/>
              </w:tabs>
              <w:snapToGrid w:val="0"/>
              <w:jc w:val="center"/>
              <w:outlineLvl w:val="0"/>
              <w:rPr>
                <w:rFonts w:ascii="宋体" w:hAnsi="宋体"/>
                <w:color w:val="auto"/>
                <w:sz w:val="21"/>
                <w:szCs w:val="21"/>
              </w:rPr>
            </w:pPr>
          </w:p>
        </w:tc>
        <w:tc>
          <w:tcPr>
            <w:tcW w:w="2759" w:type="dxa"/>
            <w:vAlign w:val="center"/>
          </w:tcPr>
          <w:p w14:paraId="08D4C5C6">
            <w:pPr>
              <w:tabs>
                <w:tab w:val="left" w:pos="6300"/>
              </w:tabs>
              <w:snapToGrid w:val="0"/>
              <w:jc w:val="center"/>
              <w:outlineLvl w:val="0"/>
              <w:rPr>
                <w:rFonts w:ascii="宋体" w:hAnsi="宋体"/>
                <w:color w:val="auto"/>
                <w:sz w:val="21"/>
                <w:szCs w:val="21"/>
              </w:rPr>
            </w:pPr>
          </w:p>
        </w:tc>
        <w:tc>
          <w:tcPr>
            <w:tcW w:w="2633" w:type="dxa"/>
            <w:vAlign w:val="center"/>
          </w:tcPr>
          <w:p w14:paraId="08AA5A57">
            <w:pPr>
              <w:tabs>
                <w:tab w:val="left" w:pos="6300"/>
              </w:tabs>
              <w:snapToGrid w:val="0"/>
              <w:jc w:val="center"/>
              <w:outlineLvl w:val="0"/>
              <w:rPr>
                <w:rFonts w:ascii="宋体" w:hAnsi="宋体"/>
                <w:color w:val="auto"/>
                <w:sz w:val="21"/>
                <w:szCs w:val="21"/>
              </w:rPr>
            </w:pPr>
          </w:p>
        </w:tc>
      </w:tr>
      <w:tr w14:paraId="7BDB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00EC3256">
            <w:pPr>
              <w:tabs>
                <w:tab w:val="left" w:pos="6300"/>
              </w:tabs>
              <w:snapToGrid w:val="0"/>
              <w:jc w:val="center"/>
              <w:outlineLvl w:val="0"/>
              <w:rPr>
                <w:rFonts w:ascii="宋体" w:hAnsi="宋体"/>
                <w:color w:val="auto"/>
                <w:sz w:val="21"/>
                <w:szCs w:val="21"/>
              </w:rPr>
            </w:pPr>
          </w:p>
        </w:tc>
        <w:tc>
          <w:tcPr>
            <w:tcW w:w="2658" w:type="dxa"/>
            <w:vAlign w:val="center"/>
          </w:tcPr>
          <w:p w14:paraId="1127E663">
            <w:pPr>
              <w:tabs>
                <w:tab w:val="left" w:pos="6300"/>
              </w:tabs>
              <w:snapToGrid w:val="0"/>
              <w:jc w:val="center"/>
              <w:outlineLvl w:val="0"/>
              <w:rPr>
                <w:rFonts w:ascii="宋体" w:hAnsi="宋体"/>
                <w:color w:val="auto"/>
                <w:sz w:val="21"/>
                <w:szCs w:val="21"/>
              </w:rPr>
            </w:pPr>
          </w:p>
        </w:tc>
        <w:tc>
          <w:tcPr>
            <w:tcW w:w="2759" w:type="dxa"/>
            <w:vAlign w:val="center"/>
          </w:tcPr>
          <w:p w14:paraId="25674D48">
            <w:pPr>
              <w:tabs>
                <w:tab w:val="left" w:pos="6300"/>
              </w:tabs>
              <w:snapToGrid w:val="0"/>
              <w:jc w:val="center"/>
              <w:outlineLvl w:val="0"/>
              <w:rPr>
                <w:rFonts w:ascii="宋体" w:hAnsi="宋体"/>
                <w:color w:val="auto"/>
                <w:sz w:val="21"/>
                <w:szCs w:val="21"/>
              </w:rPr>
            </w:pPr>
          </w:p>
        </w:tc>
        <w:tc>
          <w:tcPr>
            <w:tcW w:w="2633" w:type="dxa"/>
            <w:vAlign w:val="center"/>
          </w:tcPr>
          <w:p w14:paraId="79086AF3">
            <w:pPr>
              <w:tabs>
                <w:tab w:val="left" w:pos="6300"/>
              </w:tabs>
              <w:snapToGrid w:val="0"/>
              <w:jc w:val="center"/>
              <w:outlineLvl w:val="0"/>
              <w:rPr>
                <w:rFonts w:ascii="宋体" w:hAnsi="宋体"/>
                <w:color w:val="auto"/>
                <w:sz w:val="21"/>
                <w:szCs w:val="21"/>
              </w:rPr>
            </w:pPr>
          </w:p>
        </w:tc>
      </w:tr>
      <w:tr w14:paraId="5030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287FBC4A">
            <w:pPr>
              <w:tabs>
                <w:tab w:val="left" w:pos="6300"/>
              </w:tabs>
              <w:snapToGrid w:val="0"/>
              <w:jc w:val="center"/>
              <w:outlineLvl w:val="0"/>
              <w:rPr>
                <w:rFonts w:ascii="宋体" w:hAnsi="宋体"/>
                <w:color w:val="auto"/>
                <w:sz w:val="21"/>
                <w:szCs w:val="21"/>
              </w:rPr>
            </w:pPr>
          </w:p>
        </w:tc>
        <w:tc>
          <w:tcPr>
            <w:tcW w:w="2658" w:type="dxa"/>
            <w:vAlign w:val="center"/>
          </w:tcPr>
          <w:p w14:paraId="59B7797F">
            <w:pPr>
              <w:tabs>
                <w:tab w:val="left" w:pos="6300"/>
              </w:tabs>
              <w:snapToGrid w:val="0"/>
              <w:jc w:val="center"/>
              <w:outlineLvl w:val="0"/>
              <w:rPr>
                <w:rFonts w:ascii="宋体" w:hAnsi="宋体"/>
                <w:color w:val="auto"/>
                <w:sz w:val="21"/>
                <w:szCs w:val="21"/>
              </w:rPr>
            </w:pPr>
          </w:p>
        </w:tc>
        <w:tc>
          <w:tcPr>
            <w:tcW w:w="2759" w:type="dxa"/>
            <w:vAlign w:val="center"/>
          </w:tcPr>
          <w:p w14:paraId="6B7B9459">
            <w:pPr>
              <w:tabs>
                <w:tab w:val="left" w:pos="6300"/>
              </w:tabs>
              <w:snapToGrid w:val="0"/>
              <w:jc w:val="center"/>
              <w:outlineLvl w:val="0"/>
              <w:rPr>
                <w:rFonts w:ascii="宋体" w:hAnsi="宋体"/>
                <w:color w:val="auto"/>
                <w:sz w:val="21"/>
                <w:szCs w:val="21"/>
              </w:rPr>
            </w:pPr>
          </w:p>
        </w:tc>
        <w:tc>
          <w:tcPr>
            <w:tcW w:w="2633" w:type="dxa"/>
            <w:vAlign w:val="center"/>
          </w:tcPr>
          <w:p w14:paraId="61AAED25">
            <w:pPr>
              <w:tabs>
                <w:tab w:val="left" w:pos="6300"/>
              </w:tabs>
              <w:snapToGrid w:val="0"/>
              <w:jc w:val="center"/>
              <w:outlineLvl w:val="0"/>
              <w:rPr>
                <w:rFonts w:ascii="宋体" w:hAnsi="宋体"/>
                <w:color w:val="auto"/>
                <w:sz w:val="21"/>
                <w:szCs w:val="21"/>
              </w:rPr>
            </w:pPr>
          </w:p>
        </w:tc>
      </w:tr>
      <w:tr w14:paraId="5CB9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1A8AE86C">
            <w:pPr>
              <w:tabs>
                <w:tab w:val="left" w:pos="6300"/>
              </w:tabs>
              <w:snapToGrid w:val="0"/>
              <w:jc w:val="center"/>
              <w:outlineLvl w:val="0"/>
              <w:rPr>
                <w:rFonts w:ascii="宋体" w:hAnsi="宋体"/>
                <w:color w:val="auto"/>
                <w:sz w:val="21"/>
                <w:szCs w:val="21"/>
              </w:rPr>
            </w:pPr>
          </w:p>
        </w:tc>
        <w:tc>
          <w:tcPr>
            <w:tcW w:w="2658" w:type="dxa"/>
            <w:vAlign w:val="center"/>
          </w:tcPr>
          <w:p w14:paraId="21CC6DD6">
            <w:pPr>
              <w:tabs>
                <w:tab w:val="left" w:pos="6300"/>
              </w:tabs>
              <w:snapToGrid w:val="0"/>
              <w:jc w:val="center"/>
              <w:outlineLvl w:val="0"/>
              <w:rPr>
                <w:rFonts w:ascii="宋体" w:hAnsi="宋体"/>
                <w:color w:val="auto"/>
                <w:sz w:val="21"/>
                <w:szCs w:val="21"/>
              </w:rPr>
            </w:pPr>
          </w:p>
        </w:tc>
        <w:tc>
          <w:tcPr>
            <w:tcW w:w="2759" w:type="dxa"/>
            <w:vAlign w:val="center"/>
          </w:tcPr>
          <w:p w14:paraId="46800768">
            <w:pPr>
              <w:tabs>
                <w:tab w:val="left" w:pos="6300"/>
              </w:tabs>
              <w:snapToGrid w:val="0"/>
              <w:jc w:val="center"/>
              <w:outlineLvl w:val="0"/>
              <w:rPr>
                <w:rFonts w:ascii="宋体" w:hAnsi="宋体"/>
                <w:color w:val="auto"/>
                <w:sz w:val="21"/>
                <w:szCs w:val="21"/>
              </w:rPr>
            </w:pPr>
          </w:p>
        </w:tc>
        <w:tc>
          <w:tcPr>
            <w:tcW w:w="2633" w:type="dxa"/>
            <w:vAlign w:val="center"/>
          </w:tcPr>
          <w:p w14:paraId="31615FFD">
            <w:pPr>
              <w:tabs>
                <w:tab w:val="left" w:pos="6300"/>
              </w:tabs>
              <w:snapToGrid w:val="0"/>
              <w:jc w:val="center"/>
              <w:outlineLvl w:val="0"/>
              <w:rPr>
                <w:rFonts w:ascii="宋体" w:hAnsi="宋体"/>
                <w:color w:val="auto"/>
                <w:sz w:val="21"/>
                <w:szCs w:val="21"/>
              </w:rPr>
            </w:pPr>
          </w:p>
        </w:tc>
      </w:tr>
      <w:tr w14:paraId="33C9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592463E9">
            <w:pPr>
              <w:tabs>
                <w:tab w:val="left" w:pos="6300"/>
              </w:tabs>
              <w:snapToGrid w:val="0"/>
              <w:jc w:val="center"/>
              <w:outlineLvl w:val="0"/>
              <w:rPr>
                <w:rFonts w:ascii="宋体" w:hAnsi="宋体"/>
                <w:color w:val="auto"/>
                <w:sz w:val="21"/>
                <w:szCs w:val="21"/>
              </w:rPr>
            </w:pPr>
          </w:p>
        </w:tc>
        <w:tc>
          <w:tcPr>
            <w:tcW w:w="2658" w:type="dxa"/>
            <w:vAlign w:val="center"/>
          </w:tcPr>
          <w:p w14:paraId="6083F4D2">
            <w:pPr>
              <w:tabs>
                <w:tab w:val="left" w:pos="6300"/>
              </w:tabs>
              <w:snapToGrid w:val="0"/>
              <w:jc w:val="center"/>
              <w:outlineLvl w:val="0"/>
              <w:rPr>
                <w:rFonts w:ascii="宋体" w:hAnsi="宋体"/>
                <w:color w:val="auto"/>
                <w:sz w:val="21"/>
                <w:szCs w:val="21"/>
              </w:rPr>
            </w:pPr>
          </w:p>
        </w:tc>
        <w:tc>
          <w:tcPr>
            <w:tcW w:w="2759" w:type="dxa"/>
            <w:vAlign w:val="center"/>
          </w:tcPr>
          <w:p w14:paraId="13734E94">
            <w:pPr>
              <w:tabs>
                <w:tab w:val="left" w:pos="6300"/>
              </w:tabs>
              <w:snapToGrid w:val="0"/>
              <w:jc w:val="center"/>
              <w:outlineLvl w:val="0"/>
              <w:rPr>
                <w:rFonts w:ascii="宋体" w:hAnsi="宋体"/>
                <w:color w:val="auto"/>
                <w:sz w:val="21"/>
                <w:szCs w:val="21"/>
              </w:rPr>
            </w:pPr>
          </w:p>
        </w:tc>
        <w:tc>
          <w:tcPr>
            <w:tcW w:w="2633" w:type="dxa"/>
            <w:vAlign w:val="center"/>
          </w:tcPr>
          <w:p w14:paraId="1DF4E386">
            <w:pPr>
              <w:tabs>
                <w:tab w:val="left" w:pos="6300"/>
              </w:tabs>
              <w:snapToGrid w:val="0"/>
              <w:jc w:val="center"/>
              <w:outlineLvl w:val="0"/>
              <w:rPr>
                <w:rFonts w:ascii="宋体" w:hAnsi="宋体"/>
                <w:color w:val="auto"/>
                <w:sz w:val="21"/>
                <w:szCs w:val="21"/>
              </w:rPr>
            </w:pPr>
          </w:p>
        </w:tc>
      </w:tr>
      <w:tr w14:paraId="65A4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297BCE04">
            <w:pPr>
              <w:tabs>
                <w:tab w:val="left" w:pos="6300"/>
              </w:tabs>
              <w:snapToGrid w:val="0"/>
              <w:jc w:val="center"/>
              <w:outlineLvl w:val="0"/>
              <w:rPr>
                <w:rFonts w:ascii="宋体" w:hAnsi="宋体"/>
                <w:color w:val="auto"/>
                <w:sz w:val="21"/>
                <w:szCs w:val="21"/>
              </w:rPr>
            </w:pPr>
          </w:p>
        </w:tc>
        <w:tc>
          <w:tcPr>
            <w:tcW w:w="2658" w:type="dxa"/>
            <w:vAlign w:val="center"/>
          </w:tcPr>
          <w:p w14:paraId="28FF474E">
            <w:pPr>
              <w:tabs>
                <w:tab w:val="left" w:pos="6300"/>
              </w:tabs>
              <w:snapToGrid w:val="0"/>
              <w:jc w:val="center"/>
              <w:outlineLvl w:val="0"/>
              <w:rPr>
                <w:rFonts w:ascii="宋体" w:hAnsi="宋体"/>
                <w:color w:val="auto"/>
                <w:sz w:val="21"/>
                <w:szCs w:val="21"/>
              </w:rPr>
            </w:pPr>
          </w:p>
        </w:tc>
        <w:tc>
          <w:tcPr>
            <w:tcW w:w="2759" w:type="dxa"/>
            <w:vAlign w:val="center"/>
          </w:tcPr>
          <w:p w14:paraId="42FD0C3F">
            <w:pPr>
              <w:tabs>
                <w:tab w:val="left" w:pos="6300"/>
              </w:tabs>
              <w:snapToGrid w:val="0"/>
              <w:jc w:val="center"/>
              <w:outlineLvl w:val="0"/>
              <w:rPr>
                <w:rFonts w:ascii="宋体" w:hAnsi="宋体"/>
                <w:color w:val="auto"/>
                <w:sz w:val="21"/>
                <w:szCs w:val="21"/>
              </w:rPr>
            </w:pPr>
          </w:p>
        </w:tc>
        <w:tc>
          <w:tcPr>
            <w:tcW w:w="2633" w:type="dxa"/>
            <w:vAlign w:val="center"/>
          </w:tcPr>
          <w:p w14:paraId="3055179B">
            <w:pPr>
              <w:tabs>
                <w:tab w:val="left" w:pos="6300"/>
              </w:tabs>
              <w:snapToGrid w:val="0"/>
              <w:jc w:val="center"/>
              <w:outlineLvl w:val="0"/>
              <w:rPr>
                <w:rFonts w:ascii="宋体" w:hAnsi="宋体"/>
                <w:color w:val="auto"/>
                <w:sz w:val="21"/>
                <w:szCs w:val="21"/>
              </w:rPr>
            </w:pPr>
          </w:p>
        </w:tc>
      </w:tr>
      <w:tr w14:paraId="5C05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496F4245">
            <w:pPr>
              <w:tabs>
                <w:tab w:val="left" w:pos="6300"/>
              </w:tabs>
              <w:snapToGrid w:val="0"/>
              <w:jc w:val="center"/>
              <w:outlineLvl w:val="0"/>
              <w:rPr>
                <w:rFonts w:ascii="宋体" w:hAnsi="宋体"/>
                <w:color w:val="auto"/>
                <w:sz w:val="21"/>
                <w:szCs w:val="21"/>
              </w:rPr>
            </w:pPr>
          </w:p>
        </w:tc>
        <w:tc>
          <w:tcPr>
            <w:tcW w:w="2658" w:type="dxa"/>
            <w:vAlign w:val="center"/>
          </w:tcPr>
          <w:p w14:paraId="2411CE25">
            <w:pPr>
              <w:tabs>
                <w:tab w:val="left" w:pos="6300"/>
              </w:tabs>
              <w:snapToGrid w:val="0"/>
              <w:jc w:val="center"/>
              <w:outlineLvl w:val="0"/>
              <w:rPr>
                <w:rFonts w:ascii="宋体" w:hAnsi="宋体"/>
                <w:color w:val="auto"/>
                <w:sz w:val="21"/>
                <w:szCs w:val="21"/>
              </w:rPr>
            </w:pPr>
          </w:p>
        </w:tc>
        <w:tc>
          <w:tcPr>
            <w:tcW w:w="2759" w:type="dxa"/>
            <w:vAlign w:val="center"/>
          </w:tcPr>
          <w:p w14:paraId="756FB5AA">
            <w:pPr>
              <w:tabs>
                <w:tab w:val="left" w:pos="6300"/>
              </w:tabs>
              <w:snapToGrid w:val="0"/>
              <w:jc w:val="center"/>
              <w:outlineLvl w:val="0"/>
              <w:rPr>
                <w:rFonts w:ascii="宋体" w:hAnsi="宋体"/>
                <w:color w:val="auto"/>
                <w:sz w:val="21"/>
                <w:szCs w:val="21"/>
              </w:rPr>
            </w:pPr>
          </w:p>
        </w:tc>
        <w:tc>
          <w:tcPr>
            <w:tcW w:w="2633" w:type="dxa"/>
            <w:vAlign w:val="center"/>
          </w:tcPr>
          <w:p w14:paraId="6353FCB9">
            <w:pPr>
              <w:tabs>
                <w:tab w:val="left" w:pos="6300"/>
              </w:tabs>
              <w:snapToGrid w:val="0"/>
              <w:jc w:val="center"/>
              <w:outlineLvl w:val="0"/>
              <w:rPr>
                <w:rFonts w:ascii="宋体" w:hAnsi="宋体"/>
                <w:color w:val="auto"/>
                <w:sz w:val="21"/>
                <w:szCs w:val="21"/>
              </w:rPr>
            </w:pPr>
          </w:p>
        </w:tc>
      </w:tr>
    </w:tbl>
    <w:p w14:paraId="4AEF10BB">
      <w:pPr>
        <w:spacing w:line="360" w:lineRule="auto"/>
        <w:ind w:firstLine="480" w:firstLineChars="200"/>
        <w:rPr>
          <w:rFonts w:ascii="宋体" w:hAnsi="宋体"/>
          <w:color w:val="auto"/>
          <w:sz w:val="24"/>
          <w:szCs w:val="28"/>
        </w:rPr>
      </w:pPr>
    </w:p>
    <w:p w14:paraId="5B6DE1D9">
      <w:pPr>
        <w:spacing w:line="360" w:lineRule="auto"/>
        <w:ind w:firstLine="480" w:firstLineChars="200"/>
        <w:rPr>
          <w:rFonts w:ascii="宋体" w:hAnsi="宋体"/>
          <w:color w:val="auto"/>
          <w:sz w:val="24"/>
          <w:szCs w:val="28"/>
        </w:rPr>
      </w:pPr>
      <w:r>
        <w:rPr>
          <w:rFonts w:hint="eastAsia" w:ascii="宋体" w:hAnsi="宋体"/>
          <w:color w:val="auto"/>
          <w:sz w:val="24"/>
          <w:szCs w:val="28"/>
        </w:rPr>
        <w:t>供应商：             法定代表人（或法定代表人授权代表）或自然人：</w:t>
      </w:r>
    </w:p>
    <w:p w14:paraId="2DFFBB4D">
      <w:pPr>
        <w:spacing w:line="360" w:lineRule="auto"/>
        <w:ind w:firstLine="600" w:firstLineChars="250"/>
        <w:rPr>
          <w:rFonts w:ascii="宋体" w:hAnsi="宋体"/>
          <w:color w:val="auto"/>
          <w:sz w:val="24"/>
          <w:szCs w:val="28"/>
        </w:rPr>
      </w:pPr>
    </w:p>
    <w:p w14:paraId="34084A01">
      <w:pPr>
        <w:spacing w:line="360" w:lineRule="auto"/>
        <w:rPr>
          <w:rFonts w:ascii="宋体" w:hAnsi="宋体"/>
          <w:color w:val="auto"/>
          <w:sz w:val="24"/>
          <w:szCs w:val="28"/>
        </w:rPr>
      </w:pPr>
      <w:r>
        <w:rPr>
          <w:rFonts w:hint="eastAsia" w:ascii="宋体" w:hAnsi="宋体"/>
          <w:color w:val="auto"/>
          <w:sz w:val="24"/>
          <w:szCs w:val="28"/>
        </w:rPr>
        <w:t xml:space="preserve">   （供应商公章）                               （签字或盖章）</w:t>
      </w:r>
    </w:p>
    <w:p w14:paraId="0512981F">
      <w:pPr>
        <w:tabs>
          <w:tab w:val="left" w:pos="6300"/>
        </w:tabs>
        <w:snapToGrid w:val="0"/>
        <w:spacing w:line="360" w:lineRule="auto"/>
        <w:ind w:firstLine="570"/>
        <w:rPr>
          <w:rFonts w:ascii="宋体" w:hAnsi="宋体"/>
          <w:color w:val="auto"/>
          <w:sz w:val="24"/>
        </w:rPr>
      </w:pPr>
      <w:r>
        <w:rPr>
          <w:rFonts w:hint="eastAsia" w:ascii="宋体" w:hAnsi="宋体"/>
          <w:color w:val="auto"/>
          <w:sz w:val="24"/>
          <w:szCs w:val="28"/>
        </w:rPr>
        <w:t xml:space="preserve">                                              年     月     日</w:t>
      </w:r>
    </w:p>
    <w:p w14:paraId="7D903289">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注：</w:t>
      </w:r>
    </w:p>
    <w:p w14:paraId="10A81A58">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szCs w:val="24"/>
        </w:rPr>
        <w:t>1</w:t>
      </w:r>
      <w:r>
        <w:rPr>
          <w:rFonts w:hint="eastAsia" w:ascii="宋体" w:hAnsi="宋体"/>
          <w:color w:val="auto"/>
          <w:sz w:val="24"/>
        </w:rPr>
        <w:t>.本表即为对本项目“第二篇 采购技术和服务需求”中所列技术要求进行比较和响应；</w:t>
      </w:r>
    </w:p>
    <w:p w14:paraId="797F9C2A">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2.该表必须按照招标要求逐条如实填写，根据响应情况在“差异说明”项填写正偏离或负偏离及原因，完全符合的填写“无差异”；</w:t>
      </w:r>
    </w:p>
    <w:p w14:paraId="4CED1774">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3.该表可扩展；</w:t>
      </w:r>
    </w:p>
    <w:p w14:paraId="05C2F329">
      <w:pPr>
        <w:pageBreakBefore/>
        <w:tabs>
          <w:tab w:val="left" w:pos="6300"/>
        </w:tabs>
        <w:snapToGrid w:val="0"/>
        <w:spacing w:line="360" w:lineRule="auto"/>
        <w:rPr>
          <w:b/>
          <w:color w:val="auto"/>
          <w:sz w:val="24"/>
          <w:szCs w:val="24"/>
        </w:rPr>
      </w:pPr>
      <w:bookmarkStart w:id="162" w:name="_Toc342913421"/>
      <w:bookmarkStart w:id="163" w:name="_Toc23764524"/>
      <w:bookmarkStart w:id="164" w:name="_Toc313008358"/>
      <w:bookmarkStart w:id="165" w:name="_Toc313888362"/>
      <w:r>
        <w:rPr>
          <w:rFonts w:hint="eastAsia"/>
          <w:color w:val="auto"/>
          <w:sz w:val="24"/>
          <w:szCs w:val="24"/>
        </w:rPr>
        <w:t xml:space="preserve">   </w:t>
      </w:r>
      <w:r>
        <w:rPr>
          <w:rFonts w:hint="eastAsia"/>
          <w:b/>
          <w:color w:val="auto"/>
          <w:sz w:val="24"/>
          <w:szCs w:val="24"/>
        </w:rPr>
        <w:t xml:space="preserve"> </w:t>
      </w:r>
      <w:r>
        <w:rPr>
          <w:b/>
          <w:color w:val="auto"/>
          <w:sz w:val="24"/>
          <w:szCs w:val="24"/>
        </w:rPr>
        <w:t>三、商务部分</w:t>
      </w:r>
      <w:bookmarkEnd w:id="162"/>
      <w:bookmarkEnd w:id="163"/>
      <w:bookmarkEnd w:id="164"/>
      <w:bookmarkEnd w:id="165"/>
    </w:p>
    <w:p w14:paraId="4C6FF007">
      <w:pPr>
        <w:tabs>
          <w:tab w:val="left" w:pos="6300"/>
        </w:tabs>
        <w:snapToGrid w:val="0"/>
        <w:spacing w:line="360" w:lineRule="auto"/>
        <w:rPr>
          <w:color w:val="auto"/>
          <w:sz w:val="24"/>
          <w:szCs w:val="24"/>
        </w:rPr>
      </w:pPr>
      <w:r>
        <w:rPr>
          <w:rFonts w:hint="eastAsia"/>
          <w:color w:val="auto"/>
          <w:sz w:val="24"/>
          <w:szCs w:val="24"/>
        </w:rPr>
        <w:t xml:space="preserve">    （一）商务要求响应情况（格式自定）：</w:t>
      </w:r>
    </w:p>
    <w:p w14:paraId="27914018">
      <w:pPr>
        <w:tabs>
          <w:tab w:val="left" w:pos="6300"/>
        </w:tabs>
        <w:snapToGrid w:val="0"/>
        <w:spacing w:line="360" w:lineRule="auto"/>
        <w:rPr>
          <w:rFonts w:ascii="宋体" w:hAnsi="宋体"/>
          <w:color w:val="auto"/>
          <w:sz w:val="24"/>
          <w:szCs w:val="24"/>
        </w:rPr>
      </w:pPr>
      <w:r>
        <w:rPr>
          <w:rFonts w:hint="eastAsia"/>
          <w:color w:val="auto"/>
          <w:sz w:val="24"/>
          <w:szCs w:val="24"/>
        </w:rPr>
        <w:t xml:space="preserve">    （二）商务响应偏离表</w:t>
      </w:r>
    </w:p>
    <w:p w14:paraId="2FBE0889">
      <w:pPr>
        <w:tabs>
          <w:tab w:val="left" w:pos="6300"/>
        </w:tabs>
        <w:snapToGrid w:val="0"/>
        <w:spacing w:line="360" w:lineRule="auto"/>
        <w:jc w:val="center"/>
        <w:rPr>
          <w:rFonts w:ascii="宋体" w:hAnsi="宋体"/>
          <w:color w:val="auto"/>
          <w:szCs w:val="28"/>
        </w:rPr>
      </w:pPr>
      <w:r>
        <w:rPr>
          <w:rFonts w:hint="eastAsia" w:ascii="宋体" w:hAnsi="宋体"/>
          <w:color w:val="auto"/>
          <w:szCs w:val="28"/>
        </w:rPr>
        <w:t>商务响应偏离表</w:t>
      </w:r>
    </w:p>
    <w:p w14:paraId="6E2ED166">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项目号：</w:t>
      </w:r>
    </w:p>
    <w:p w14:paraId="45F8D46D">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6DFF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14:paraId="38A59E97">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序号</w:t>
            </w:r>
          </w:p>
        </w:tc>
        <w:tc>
          <w:tcPr>
            <w:tcW w:w="2428" w:type="dxa"/>
            <w:vAlign w:val="center"/>
          </w:tcPr>
          <w:p w14:paraId="444F5563">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采购需求</w:t>
            </w:r>
          </w:p>
        </w:tc>
        <w:tc>
          <w:tcPr>
            <w:tcW w:w="2520" w:type="dxa"/>
            <w:vAlign w:val="center"/>
          </w:tcPr>
          <w:p w14:paraId="75604739">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响应情况</w:t>
            </w:r>
          </w:p>
        </w:tc>
        <w:tc>
          <w:tcPr>
            <w:tcW w:w="2416" w:type="dxa"/>
            <w:vAlign w:val="center"/>
          </w:tcPr>
          <w:p w14:paraId="05CCB8E9">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差异说明</w:t>
            </w:r>
          </w:p>
        </w:tc>
      </w:tr>
      <w:tr w14:paraId="67B9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903F604">
            <w:pPr>
              <w:tabs>
                <w:tab w:val="left" w:pos="6300"/>
              </w:tabs>
              <w:snapToGrid w:val="0"/>
              <w:ind w:firstLine="420" w:firstLineChars="200"/>
              <w:rPr>
                <w:rFonts w:ascii="宋体" w:hAnsi="宋体"/>
                <w:color w:val="auto"/>
                <w:sz w:val="21"/>
                <w:szCs w:val="21"/>
              </w:rPr>
            </w:pPr>
          </w:p>
        </w:tc>
        <w:tc>
          <w:tcPr>
            <w:tcW w:w="2428" w:type="dxa"/>
            <w:vAlign w:val="center"/>
          </w:tcPr>
          <w:p w14:paraId="3623A919">
            <w:pPr>
              <w:tabs>
                <w:tab w:val="left" w:pos="6300"/>
              </w:tabs>
              <w:snapToGrid w:val="0"/>
              <w:ind w:firstLine="420" w:firstLineChars="200"/>
              <w:rPr>
                <w:rFonts w:ascii="宋体" w:hAnsi="宋体"/>
                <w:color w:val="auto"/>
                <w:sz w:val="21"/>
                <w:szCs w:val="21"/>
              </w:rPr>
            </w:pPr>
          </w:p>
        </w:tc>
        <w:tc>
          <w:tcPr>
            <w:tcW w:w="2520" w:type="dxa"/>
            <w:vAlign w:val="center"/>
          </w:tcPr>
          <w:p w14:paraId="11900098">
            <w:pPr>
              <w:tabs>
                <w:tab w:val="left" w:pos="6300"/>
              </w:tabs>
              <w:snapToGrid w:val="0"/>
              <w:ind w:firstLine="420" w:firstLineChars="200"/>
              <w:rPr>
                <w:rFonts w:ascii="宋体" w:hAnsi="宋体"/>
                <w:color w:val="auto"/>
                <w:sz w:val="21"/>
                <w:szCs w:val="21"/>
              </w:rPr>
            </w:pPr>
          </w:p>
        </w:tc>
        <w:tc>
          <w:tcPr>
            <w:tcW w:w="2416" w:type="dxa"/>
            <w:vAlign w:val="center"/>
          </w:tcPr>
          <w:p w14:paraId="05461A49">
            <w:pPr>
              <w:tabs>
                <w:tab w:val="left" w:pos="6300"/>
              </w:tabs>
              <w:snapToGrid w:val="0"/>
              <w:ind w:firstLine="420" w:firstLineChars="200"/>
              <w:rPr>
                <w:rFonts w:ascii="宋体" w:hAnsi="宋体"/>
                <w:color w:val="auto"/>
                <w:sz w:val="21"/>
                <w:szCs w:val="21"/>
              </w:rPr>
            </w:pPr>
          </w:p>
        </w:tc>
      </w:tr>
      <w:tr w14:paraId="12F5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7CF8970">
            <w:pPr>
              <w:tabs>
                <w:tab w:val="left" w:pos="6300"/>
              </w:tabs>
              <w:snapToGrid w:val="0"/>
              <w:ind w:firstLine="420" w:firstLineChars="200"/>
              <w:rPr>
                <w:rFonts w:ascii="宋体" w:hAnsi="宋体"/>
                <w:color w:val="auto"/>
                <w:sz w:val="21"/>
                <w:szCs w:val="21"/>
              </w:rPr>
            </w:pPr>
          </w:p>
        </w:tc>
        <w:tc>
          <w:tcPr>
            <w:tcW w:w="2428" w:type="dxa"/>
            <w:vAlign w:val="center"/>
          </w:tcPr>
          <w:p w14:paraId="2ADED56E">
            <w:pPr>
              <w:tabs>
                <w:tab w:val="left" w:pos="6300"/>
              </w:tabs>
              <w:snapToGrid w:val="0"/>
              <w:ind w:firstLine="420" w:firstLineChars="200"/>
              <w:rPr>
                <w:rFonts w:ascii="宋体" w:hAnsi="宋体"/>
                <w:color w:val="auto"/>
                <w:sz w:val="21"/>
                <w:szCs w:val="21"/>
              </w:rPr>
            </w:pPr>
          </w:p>
        </w:tc>
        <w:tc>
          <w:tcPr>
            <w:tcW w:w="2520" w:type="dxa"/>
            <w:vAlign w:val="center"/>
          </w:tcPr>
          <w:p w14:paraId="523339F6">
            <w:pPr>
              <w:tabs>
                <w:tab w:val="left" w:pos="6300"/>
              </w:tabs>
              <w:snapToGrid w:val="0"/>
              <w:ind w:firstLine="420" w:firstLineChars="200"/>
              <w:rPr>
                <w:rFonts w:ascii="宋体" w:hAnsi="宋体"/>
                <w:color w:val="auto"/>
                <w:sz w:val="21"/>
                <w:szCs w:val="21"/>
              </w:rPr>
            </w:pPr>
          </w:p>
        </w:tc>
        <w:tc>
          <w:tcPr>
            <w:tcW w:w="2416" w:type="dxa"/>
            <w:vAlign w:val="center"/>
          </w:tcPr>
          <w:p w14:paraId="32A2BC17">
            <w:pPr>
              <w:tabs>
                <w:tab w:val="left" w:pos="6300"/>
              </w:tabs>
              <w:snapToGrid w:val="0"/>
              <w:ind w:firstLine="420" w:firstLineChars="200"/>
              <w:rPr>
                <w:rFonts w:ascii="宋体" w:hAnsi="宋体"/>
                <w:color w:val="auto"/>
                <w:sz w:val="21"/>
                <w:szCs w:val="21"/>
              </w:rPr>
            </w:pPr>
          </w:p>
        </w:tc>
      </w:tr>
      <w:tr w14:paraId="796C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E5E04AC">
            <w:pPr>
              <w:tabs>
                <w:tab w:val="left" w:pos="6300"/>
              </w:tabs>
              <w:snapToGrid w:val="0"/>
              <w:ind w:firstLine="420" w:firstLineChars="200"/>
              <w:rPr>
                <w:rFonts w:ascii="宋体" w:hAnsi="宋体"/>
                <w:color w:val="auto"/>
                <w:sz w:val="21"/>
                <w:szCs w:val="21"/>
              </w:rPr>
            </w:pPr>
          </w:p>
        </w:tc>
        <w:tc>
          <w:tcPr>
            <w:tcW w:w="2428" w:type="dxa"/>
            <w:vAlign w:val="center"/>
          </w:tcPr>
          <w:p w14:paraId="2CDFEE82">
            <w:pPr>
              <w:tabs>
                <w:tab w:val="left" w:pos="6300"/>
              </w:tabs>
              <w:snapToGrid w:val="0"/>
              <w:ind w:firstLine="420" w:firstLineChars="200"/>
              <w:rPr>
                <w:rFonts w:ascii="宋体" w:hAnsi="宋体"/>
                <w:color w:val="auto"/>
                <w:sz w:val="21"/>
                <w:szCs w:val="21"/>
              </w:rPr>
            </w:pPr>
          </w:p>
        </w:tc>
        <w:tc>
          <w:tcPr>
            <w:tcW w:w="2520" w:type="dxa"/>
            <w:vAlign w:val="center"/>
          </w:tcPr>
          <w:p w14:paraId="7BB70148">
            <w:pPr>
              <w:tabs>
                <w:tab w:val="left" w:pos="6300"/>
              </w:tabs>
              <w:snapToGrid w:val="0"/>
              <w:ind w:firstLine="420" w:firstLineChars="200"/>
              <w:rPr>
                <w:rFonts w:ascii="宋体" w:hAnsi="宋体"/>
                <w:color w:val="auto"/>
                <w:sz w:val="21"/>
                <w:szCs w:val="21"/>
              </w:rPr>
            </w:pPr>
          </w:p>
        </w:tc>
        <w:tc>
          <w:tcPr>
            <w:tcW w:w="2416" w:type="dxa"/>
            <w:vAlign w:val="center"/>
          </w:tcPr>
          <w:p w14:paraId="22A41C56">
            <w:pPr>
              <w:tabs>
                <w:tab w:val="left" w:pos="6300"/>
              </w:tabs>
              <w:snapToGrid w:val="0"/>
              <w:ind w:firstLine="420" w:firstLineChars="200"/>
              <w:rPr>
                <w:rFonts w:ascii="宋体" w:hAnsi="宋体"/>
                <w:color w:val="auto"/>
                <w:sz w:val="21"/>
                <w:szCs w:val="21"/>
              </w:rPr>
            </w:pPr>
          </w:p>
        </w:tc>
      </w:tr>
      <w:tr w14:paraId="6EAB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0198E33">
            <w:pPr>
              <w:tabs>
                <w:tab w:val="left" w:pos="6300"/>
              </w:tabs>
              <w:snapToGrid w:val="0"/>
              <w:ind w:firstLine="420" w:firstLineChars="200"/>
              <w:rPr>
                <w:rFonts w:ascii="宋体" w:hAnsi="宋体"/>
                <w:color w:val="auto"/>
                <w:sz w:val="21"/>
                <w:szCs w:val="21"/>
              </w:rPr>
            </w:pPr>
          </w:p>
        </w:tc>
        <w:tc>
          <w:tcPr>
            <w:tcW w:w="2428" w:type="dxa"/>
            <w:vAlign w:val="center"/>
          </w:tcPr>
          <w:p w14:paraId="5A9DF3F7">
            <w:pPr>
              <w:tabs>
                <w:tab w:val="left" w:pos="6300"/>
              </w:tabs>
              <w:snapToGrid w:val="0"/>
              <w:ind w:firstLine="420" w:firstLineChars="200"/>
              <w:rPr>
                <w:rFonts w:ascii="宋体" w:hAnsi="宋体"/>
                <w:color w:val="auto"/>
                <w:sz w:val="21"/>
                <w:szCs w:val="21"/>
              </w:rPr>
            </w:pPr>
          </w:p>
        </w:tc>
        <w:tc>
          <w:tcPr>
            <w:tcW w:w="2520" w:type="dxa"/>
            <w:vAlign w:val="center"/>
          </w:tcPr>
          <w:p w14:paraId="55C08E51">
            <w:pPr>
              <w:tabs>
                <w:tab w:val="left" w:pos="6300"/>
              </w:tabs>
              <w:snapToGrid w:val="0"/>
              <w:ind w:firstLine="420" w:firstLineChars="200"/>
              <w:rPr>
                <w:rFonts w:ascii="宋体" w:hAnsi="宋体"/>
                <w:color w:val="auto"/>
                <w:sz w:val="21"/>
                <w:szCs w:val="21"/>
              </w:rPr>
            </w:pPr>
          </w:p>
        </w:tc>
        <w:tc>
          <w:tcPr>
            <w:tcW w:w="2416" w:type="dxa"/>
            <w:vAlign w:val="center"/>
          </w:tcPr>
          <w:p w14:paraId="5247902A">
            <w:pPr>
              <w:tabs>
                <w:tab w:val="left" w:pos="6300"/>
              </w:tabs>
              <w:snapToGrid w:val="0"/>
              <w:ind w:firstLine="420" w:firstLineChars="200"/>
              <w:rPr>
                <w:rFonts w:ascii="宋体" w:hAnsi="宋体"/>
                <w:color w:val="auto"/>
                <w:sz w:val="21"/>
                <w:szCs w:val="21"/>
              </w:rPr>
            </w:pPr>
          </w:p>
        </w:tc>
      </w:tr>
      <w:tr w14:paraId="7D86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7BA177DC">
            <w:pPr>
              <w:tabs>
                <w:tab w:val="left" w:pos="6300"/>
              </w:tabs>
              <w:snapToGrid w:val="0"/>
              <w:ind w:firstLine="420" w:firstLineChars="200"/>
              <w:rPr>
                <w:rFonts w:ascii="宋体" w:hAnsi="宋体"/>
                <w:color w:val="auto"/>
                <w:sz w:val="21"/>
                <w:szCs w:val="21"/>
              </w:rPr>
            </w:pPr>
          </w:p>
        </w:tc>
        <w:tc>
          <w:tcPr>
            <w:tcW w:w="2428" w:type="dxa"/>
            <w:vAlign w:val="center"/>
          </w:tcPr>
          <w:p w14:paraId="77CEC9BC">
            <w:pPr>
              <w:tabs>
                <w:tab w:val="left" w:pos="6300"/>
              </w:tabs>
              <w:snapToGrid w:val="0"/>
              <w:ind w:firstLine="420" w:firstLineChars="200"/>
              <w:rPr>
                <w:rFonts w:ascii="宋体" w:hAnsi="宋体"/>
                <w:color w:val="auto"/>
                <w:sz w:val="21"/>
                <w:szCs w:val="21"/>
              </w:rPr>
            </w:pPr>
          </w:p>
        </w:tc>
        <w:tc>
          <w:tcPr>
            <w:tcW w:w="2520" w:type="dxa"/>
            <w:vAlign w:val="center"/>
          </w:tcPr>
          <w:p w14:paraId="43EA1FE0">
            <w:pPr>
              <w:tabs>
                <w:tab w:val="left" w:pos="6300"/>
              </w:tabs>
              <w:snapToGrid w:val="0"/>
              <w:ind w:firstLine="420" w:firstLineChars="200"/>
              <w:rPr>
                <w:rFonts w:ascii="宋体" w:hAnsi="宋体"/>
                <w:color w:val="auto"/>
                <w:sz w:val="21"/>
                <w:szCs w:val="21"/>
              </w:rPr>
            </w:pPr>
          </w:p>
        </w:tc>
        <w:tc>
          <w:tcPr>
            <w:tcW w:w="2416" w:type="dxa"/>
            <w:vAlign w:val="center"/>
          </w:tcPr>
          <w:p w14:paraId="1DB5EF7E">
            <w:pPr>
              <w:tabs>
                <w:tab w:val="left" w:pos="6300"/>
              </w:tabs>
              <w:snapToGrid w:val="0"/>
              <w:ind w:firstLine="420" w:firstLineChars="200"/>
              <w:rPr>
                <w:rFonts w:ascii="宋体" w:hAnsi="宋体"/>
                <w:color w:val="auto"/>
                <w:sz w:val="21"/>
                <w:szCs w:val="21"/>
              </w:rPr>
            </w:pPr>
          </w:p>
        </w:tc>
      </w:tr>
      <w:tr w14:paraId="1640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DEDB30C">
            <w:pPr>
              <w:tabs>
                <w:tab w:val="left" w:pos="6300"/>
              </w:tabs>
              <w:snapToGrid w:val="0"/>
              <w:ind w:firstLine="420" w:firstLineChars="200"/>
              <w:rPr>
                <w:rFonts w:ascii="宋体" w:hAnsi="宋体"/>
                <w:color w:val="auto"/>
                <w:sz w:val="21"/>
                <w:szCs w:val="21"/>
              </w:rPr>
            </w:pPr>
          </w:p>
        </w:tc>
        <w:tc>
          <w:tcPr>
            <w:tcW w:w="2428" w:type="dxa"/>
            <w:vAlign w:val="center"/>
          </w:tcPr>
          <w:p w14:paraId="01351E16">
            <w:pPr>
              <w:tabs>
                <w:tab w:val="left" w:pos="6300"/>
              </w:tabs>
              <w:snapToGrid w:val="0"/>
              <w:ind w:firstLine="420" w:firstLineChars="200"/>
              <w:rPr>
                <w:rFonts w:ascii="宋体" w:hAnsi="宋体"/>
                <w:color w:val="auto"/>
                <w:sz w:val="21"/>
                <w:szCs w:val="21"/>
              </w:rPr>
            </w:pPr>
          </w:p>
        </w:tc>
        <w:tc>
          <w:tcPr>
            <w:tcW w:w="2520" w:type="dxa"/>
            <w:vAlign w:val="center"/>
          </w:tcPr>
          <w:p w14:paraId="45FE94CC">
            <w:pPr>
              <w:tabs>
                <w:tab w:val="left" w:pos="6300"/>
              </w:tabs>
              <w:snapToGrid w:val="0"/>
              <w:ind w:firstLine="420" w:firstLineChars="200"/>
              <w:rPr>
                <w:rFonts w:ascii="宋体" w:hAnsi="宋体"/>
                <w:color w:val="auto"/>
                <w:sz w:val="21"/>
                <w:szCs w:val="21"/>
              </w:rPr>
            </w:pPr>
          </w:p>
        </w:tc>
        <w:tc>
          <w:tcPr>
            <w:tcW w:w="2416" w:type="dxa"/>
            <w:vAlign w:val="center"/>
          </w:tcPr>
          <w:p w14:paraId="2F6FC1A1">
            <w:pPr>
              <w:tabs>
                <w:tab w:val="left" w:pos="6300"/>
              </w:tabs>
              <w:snapToGrid w:val="0"/>
              <w:ind w:firstLine="420" w:firstLineChars="200"/>
              <w:rPr>
                <w:rFonts w:ascii="宋体" w:hAnsi="宋体"/>
                <w:color w:val="auto"/>
                <w:sz w:val="21"/>
                <w:szCs w:val="21"/>
              </w:rPr>
            </w:pPr>
          </w:p>
        </w:tc>
      </w:tr>
      <w:tr w14:paraId="267D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0D3921A">
            <w:pPr>
              <w:tabs>
                <w:tab w:val="left" w:pos="6300"/>
              </w:tabs>
              <w:snapToGrid w:val="0"/>
              <w:ind w:firstLine="420" w:firstLineChars="200"/>
              <w:rPr>
                <w:rFonts w:ascii="宋体" w:hAnsi="宋体"/>
                <w:color w:val="auto"/>
                <w:sz w:val="21"/>
                <w:szCs w:val="21"/>
              </w:rPr>
            </w:pPr>
          </w:p>
        </w:tc>
        <w:tc>
          <w:tcPr>
            <w:tcW w:w="2428" w:type="dxa"/>
            <w:vAlign w:val="center"/>
          </w:tcPr>
          <w:p w14:paraId="6E31EC8E">
            <w:pPr>
              <w:tabs>
                <w:tab w:val="left" w:pos="6300"/>
              </w:tabs>
              <w:snapToGrid w:val="0"/>
              <w:ind w:firstLine="420" w:firstLineChars="200"/>
              <w:rPr>
                <w:rFonts w:ascii="宋体" w:hAnsi="宋体"/>
                <w:color w:val="auto"/>
                <w:sz w:val="21"/>
                <w:szCs w:val="21"/>
              </w:rPr>
            </w:pPr>
          </w:p>
        </w:tc>
        <w:tc>
          <w:tcPr>
            <w:tcW w:w="2520" w:type="dxa"/>
            <w:vAlign w:val="center"/>
          </w:tcPr>
          <w:p w14:paraId="66E9DF38">
            <w:pPr>
              <w:tabs>
                <w:tab w:val="left" w:pos="6300"/>
              </w:tabs>
              <w:snapToGrid w:val="0"/>
              <w:ind w:firstLine="420" w:firstLineChars="200"/>
              <w:rPr>
                <w:rFonts w:ascii="宋体" w:hAnsi="宋体"/>
                <w:color w:val="auto"/>
                <w:sz w:val="21"/>
                <w:szCs w:val="21"/>
              </w:rPr>
            </w:pPr>
          </w:p>
        </w:tc>
        <w:tc>
          <w:tcPr>
            <w:tcW w:w="2416" w:type="dxa"/>
            <w:vAlign w:val="center"/>
          </w:tcPr>
          <w:p w14:paraId="07C9B365">
            <w:pPr>
              <w:tabs>
                <w:tab w:val="left" w:pos="6300"/>
              </w:tabs>
              <w:snapToGrid w:val="0"/>
              <w:ind w:firstLine="420" w:firstLineChars="200"/>
              <w:rPr>
                <w:rFonts w:ascii="宋体" w:hAnsi="宋体"/>
                <w:color w:val="auto"/>
                <w:sz w:val="21"/>
                <w:szCs w:val="21"/>
              </w:rPr>
            </w:pPr>
          </w:p>
        </w:tc>
      </w:tr>
      <w:tr w14:paraId="2DE2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335FC2FE">
            <w:pPr>
              <w:tabs>
                <w:tab w:val="left" w:pos="6300"/>
              </w:tabs>
              <w:snapToGrid w:val="0"/>
              <w:ind w:firstLine="420" w:firstLineChars="200"/>
              <w:rPr>
                <w:rFonts w:ascii="宋体" w:hAnsi="宋体"/>
                <w:color w:val="auto"/>
                <w:sz w:val="21"/>
                <w:szCs w:val="21"/>
              </w:rPr>
            </w:pPr>
          </w:p>
        </w:tc>
        <w:tc>
          <w:tcPr>
            <w:tcW w:w="2428" w:type="dxa"/>
            <w:vAlign w:val="center"/>
          </w:tcPr>
          <w:p w14:paraId="699A153C">
            <w:pPr>
              <w:tabs>
                <w:tab w:val="left" w:pos="6300"/>
              </w:tabs>
              <w:snapToGrid w:val="0"/>
              <w:ind w:firstLine="420" w:firstLineChars="200"/>
              <w:rPr>
                <w:rFonts w:ascii="宋体" w:hAnsi="宋体"/>
                <w:color w:val="auto"/>
                <w:sz w:val="21"/>
                <w:szCs w:val="21"/>
              </w:rPr>
            </w:pPr>
          </w:p>
        </w:tc>
        <w:tc>
          <w:tcPr>
            <w:tcW w:w="2520" w:type="dxa"/>
            <w:vAlign w:val="center"/>
          </w:tcPr>
          <w:p w14:paraId="7DCD9CE5">
            <w:pPr>
              <w:tabs>
                <w:tab w:val="left" w:pos="6300"/>
              </w:tabs>
              <w:snapToGrid w:val="0"/>
              <w:ind w:firstLine="420" w:firstLineChars="200"/>
              <w:rPr>
                <w:rFonts w:ascii="宋体" w:hAnsi="宋体"/>
                <w:color w:val="auto"/>
                <w:sz w:val="21"/>
                <w:szCs w:val="21"/>
              </w:rPr>
            </w:pPr>
          </w:p>
        </w:tc>
        <w:tc>
          <w:tcPr>
            <w:tcW w:w="2416" w:type="dxa"/>
            <w:vAlign w:val="center"/>
          </w:tcPr>
          <w:p w14:paraId="12CE6DBC">
            <w:pPr>
              <w:tabs>
                <w:tab w:val="left" w:pos="6300"/>
              </w:tabs>
              <w:snapToGrid w:val="0"/>
              <w:ind w:firstLine="420" w:firstLineChars="200"/>
              <w:rPr>
                <w:rFonts w:ascii="宋体" w:hAnsi="宋体"/>
                <w:color w:val="auto"/>
                <w:sz w:val="21"/>
                <w:szCs w:val="21"/>
              </w:rPr>
            </w:pPr>
          </w:p>
        </w:tc>
      </w:tr>
      <w:tr w14:paraId="3EC0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6C40E7B5">
            <w:pPr>
              <w:tabs>
                <w:tab w:val="left" w:pos="6300"/>
              </w:tabs>
              <w:snapToGrid w:val="0"/>
              <w:ind w:firstLine="420" w:firstLineChars="200"/>
              <w:rPr>
                <w:rFonts w:ascii="宋体" w:hAnsi="宋体"/>
                <w:color w:val="auto"/>
                <w:sz w:val="21"/>
                <w:szCs w:val="21"/>
              </w:rPr>
            </w:pPr>
          </w:p>
        </w:tc>
        <w:tc>
          <w:tcPr>
            <w:tcW w:w="2428" w:type="dxa"/>
            <w:vAlign w:val="center"/>
          </w:tcPr>
          <w:p w14:paraId="15DA4D64">
            <w:pPr>
              <w:tabs>
                <w:tab w:val="left" w:pos="6300"/>
              </w:tabs>
              <w:snapToGrid w:val="0"/>
              <w:ind w:firstLine="420" w:firstLineChars="200"/>
              <w:rPr>
                <w:rFonts w:ascii="宋体" w:hAnsi="宋体"/>
                <w:color w:val="auto"/>
                <w:sz w:val="21"/>
                <w:szCs w:val="21"/>
              </w:rPr>
            </w:pPr>
          </w:p>
        </w:tc>
        <w:tc>
          <w:tcPr>
            <w:tcW w:w="2520" w:type="dxa"/>
            <w:vAlign w:val="center"/>
          </w:tcPr>
          <w:p w14:paraId="53F00DC0">
            <w:pPr>
              <w:tabs>
                <w:tab w:val="left" w:pos="6300"/>
              </w:tabs>
              <w:snapToGrid w:val="0"/>
              <w:ind w:firstLine="420" w:firstLineChars="200"/>
              <w:rPr>
                <w:rFonts w:ascii="宋体" w:hAnsi="宋体"/>
                <w:color w:val="auto"/>
                <w:sz w:val="21"/>
                <w:szCs w:val="21"/>
              </w:rPr>
            </w:pPr>
          </w:p>
        </w:tc>
        <w:tc>
          <w:tcPr>
            <w:tcW w:w="2416" w:type="dxa"/>
            <w:vAlign w:val="center"/>
          </w:tcPr>
          <w:p w14:paraId="1654EA8D">
            <w:pPr>
              <w:tabs>
                <w:tab w:val="left" w:pos="6300"/>
              </w:tabs>
              <w:snapToGrid w:val="0"/>
              <w:ind w:firstLine="420" w:firstLineChars="200"/>
              <w:rPr>
                <w:rFonts w:ascii="宋体" w:hAnsi="宋体"/>
                <w:color w:val="auto"/>
                <w:sz w:val="21"/>
                <w:szCs w:val="21"/>
              </w:rPr>
            </w:pPr>
          </w:p>
        </w:tc>
      </w:tr>
    </w:tbl>
    <w:p w14:paraId="3AB01D0A">
      <w:pPr>
        <w:spacing w:line="360" w:lineRule="auto"/>
        <w:ind w:firstLine="480" w:firstLineChars="200"/>
        <w:rPr>
          <w:rFonts w:ascii="宋体" w:hAnsi="宋体"/>
          <w:color w:val="auto"/>
          <w:sz w:val="24"/>
          <w:szCs w:val="28"/>
        </w:rPr>
      </w:pPr>
      <w:r>
        <w:rPr>
          <w:rFonts w:hint="eastAsia" w:ascii="宋体" w:hAnsi="宋体"/>
          <w:color w:val="auto"/>
          <w:sz w:val="24"/>
          <w:szCs w:val="28"/>
        </w:rPr>
        <w:t xml:space="preserve">供应商：                         </w:t>
      </w:r>
      <w:r>
        <w:rPr>
          <w:rFonts w:ascii="宋体" w:hAnsi="宋体"/>
          <w:color w:val="auto"/>
          <w:sz w:val="24"/>
          <w:szCs w:val="28"/>
        </w:rPr>
        <w:t xml:space="preserve"> </w:t>
      </w:r>
      <w:r>
        <w:rPr>
          <w:rFonts w:hint="eastAsia" w:ascii="宋体" w:hAnsi="宋体"/>
          <w:color w:val="auto"/>
          <w:sz w:val="24"/>
          <w:szCs w:val="28"/>
        </w:rPr>
        <w:t>法定代表人（或法定代表人授权代表）或自然人：</w:t>
      </w:r>
    </w:p>
    <w:p w14:paraId="3C98ACEA">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（供应商公章）                          （签字或盖章）</w:t>
      </w:r>
    </w:p>
    <w:p w14:paraId="1A347104">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年     月     日</w:t>
      </w:r>
    </w:p>
    <w:p w14:paraId="215A6166">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注：1.本表即为对本项目“第三篇 项目商务要求”中所列商务条款进行比较和响应；</w:t>
      </w:r>
    </w:p>
    <w:p w14:paraId="3B114E3D">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2.该表必须按照采购文件要求逐条如实填写，根据投标情况在“差异说明”项填写正偏离或负偏离及原因，完全符合的填写“无差异”。</w:t>
      </w:r>
    </w:p>
    <w:p w14:paraId="785ADAEB">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3.该表可扩展。</w:t>
      </w:r>
    </w:p>
    <w:p w14:paraId="497954CD">
      <w:pPr>
        <w:tabs>
          <w:tab w:val="left" w:pos="6300"/>
        </w:tabs>
        <w:snapToGrid w:val="0"/>
        <w:spacing w:line="360" w:lineRule="auto"/>
        <w:ind w:firstLine="480" w:firstLineChars="200"/>
        <w:rPr>
          <w:rFonts w:ascii="宋体" w:hAnsi="宋体"/>
          <w:color w:val="auto"/>
          <w:sz w:val="24"/>
          <w:szCs w:val="24"/>
        </w:rPr>
      </w:pPr>
    </w:p>
    <w:p w14:paraId="58B10298">
      <w:pPr>
        <w:pStyle w:val="2"/>
        <w:rPr>
          <w:color w:val="auto"/>
        </w:rPr>
      </w:pPr>
    </w:p>
    <w:p w14:paraId="72E4377F">
      <w:pPr>
        <w:tabs>
          <w:tab w:val="left" w:pos="6300"/>
        </w:tabs>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（三）其它优惠承诺（格式自定）</w:t>
      </w:r>
    </w:p>
    <w:p w14:paraId="5D7F85ED">
      <w:pPr>
        <w:pStyle w:val="2"/>
        <w:rPr>
          <w:color w:val="auto"/>
        </w:rPr>
      </w:pPr>
    </w:p>
    <w:p w14:paraId="05CC60DA">
      <w:pPr>
        <w:pageBreakBefore/>
        <w:tabs>
          <w:tab w:val="left" w:pos="6300"/>
        </w:tabs>
        <w:snapToGrid w:val="0"/>
        <w:spacing w:line="360" w:lineRule="auto"/>
        <w:rPr>
          <w:b/>
          <w:color w:val="auto"/>
          <w:sz w:val="24"/>
          <w:szCs w:val="24"/>
        </w:rPr>
      </w:pPr>
      <w:bookmarkStart w:id="166" w:name="_Toc313008359"/>
      <w:bookmarkStart w:id="167" w:name="_Toc342913422"/>
      <w:bookmarkStart w:id="168" w:name="_Toc23764525"/>
      <w:bookmarkStart w:id="169" w:name="_Toc313888363"/>
      <w:r>
        <w:rPr>
          <w:rFonts w:hint="eastAsia"/>
          <w:b/>
          <w:color w:val="auto"/>
          <w:sz w:val="24"/>
          <w:szCs w:val="24"/>
        </w:rPr>
        <w:t xml:space="preserve">    </w:t>
      </w:r>
      <w:r>
        <w:rPr>
          <w:b/>
          <w:color w:val="auto"/>
          <w:sz w:val="24"/>
          <w:szCs w:val="24"/>
        </w:rPr>
        <w:t>四、资格条件及其他</w:t>
      </w:r>
      <w:bookmarkEnd w:id="166"/>
      <w:bookmarkEnd w:id="167"/>
      <w:bookmarkEnd w:id="168"/>
      <w:bookmarkEnd w:id="169"/>
    </w:p>
    <w:p w14:paraId="7849743B">
      <w:pPr>
        <w:tabs>
          <w:tab w:val="left" w:pos="6300"/>
        </w:tabs>
        <w:snapToGrid w:val="0"/>
        <w:spacing w:line="360" w:lineRule="auto"/>
        <w:ind w:firstLine="570"/>
        <w:rPr>
          <w:rFonts w:ascii="宋体" w:hAnsi="宋体"/>
          <w:color w:val="auto"/>
          <w:sz w:val="24"/>
          <w:szCs w:val="24"/>
        </w:rPr>
      </w:pPr>
      <w:r>
        <w:rPr>
          <w:rFonts w:hint="eastAsia" w:ascii="宋体" w:hAnsi="宋体"/>
          <w:color w:val="auto"/>
          <w:sz w:val="24"/>
          <w:szCs w:val="24"/>
        </w:rPr>
        <w:t>（一）法人营业执照（副本）或事业单位法人证书（副本）或个体工商户营业执照或有效的自然人身份证明或社会团体法人登记证书复印件</w:t>
      </w:r>
    </w:p>
    <w:p w14:paraId="4C28488C">
      <w:pPr>
        <w:tabs>
          <w:tab w:val="left" w:pos="6300"/>
        </w:tabs>
        <w:snapToGrid w:val="0"/>
        <w:spacing w:line="360" w:lineRule="auto"/>
        <w:rPr>
          <w:rFonts w:ascii="宋体" w:hAnsi="宋体"/>
          <w:color w:val="auto"/>
          <w:sz w:val="24"/>
          <w:szCs w:val="24"/>
        </w:rPr>
      </w:pPr>
    </w:p>
    <w:p w14:paraId="310E144C">
      <w:pPr>
        <w:widowControl/>
        <w:snapToGrid w:val="0"/>
        <w:spacing w:line="360" w:lineRule="auto"/>
        <w:ind w:firstLine="600" w:firstLineChars="250"/>
        <w:jc w:val="left"/>
        <w:rPr>
          <w:rFonts w:ascii="宋体" w:hAnsi="宋体"/>
          <w:color w:val="auto"/>
          <w:sz w:val="24"/>
          <w:szCs w:val="24"/>
        </w:rPr>
      </w:pPr>
      <w:r>
        <w:rPr>
          <w:rFonts w:hint="eastAsia" w:ascii="宋体" w:hAnsi="宋体"/>
          <w:color w:val="auto"/>
          <w:sz w:val="24"/>
          <w:szCs w:val="24"/>
        </w:rPr>
        <w:t>（二）</w:t>
      </w:r>
      <w:r>
        <w:rPr>
          <w:rFonts w:ascii="宋体" w:hAnsi="宋体"/>
          <w:color w:val="auto"/>
          <w:sz w:val="24"/>
          <w:szCs w:val="24"/>
        </w:rPr>
        <w:t>法定代表人身份证明书（格式）</w:t>
      </w:r>
    </w:p>
    <w:p w14:paraId="717C6CB3">
      <w:pPr>
        <w:tabs>
          <w:tab w:val="left" w:pos="6300"/>
        </w:tabs>
        <w:snapToGrid w:val="0"/>
        <w:spacing w:line="500" w:lineRule="exact"/>
        <w:jc w:val="center"/>
        <w:rPr>
          <w:rFonts w:ascii="宋体" w:hAnsi="宋体"/>
          <w:color w:val="auto"/>
        </w:rPr>
      </w:pPr>
      <w:r>
        <w:rPr>
          <w:rFonts w:ascii="宋体" w:hAnsi="宋体"/>
          <w:color w:val="auto"/>
        </w:rPr>
        <w:t>法定代表人身份证明书</w:t>
      </w:r>
    </w:p>
    <w:p w14:paraId="0C7535D1">
      <w:pPr>
        <w:tabs>
          <w:tab w:val="left" w:pos="6300"/>
        </w:tabs>
        <w:snapToGrid w:val="0"/>
        <w:spacing w:line="500" w:lineRule="exact"/>
        <w:jc w:val="center"/>
        <w:rPr>
          <w:rFonts w:ascii="宋体" w:hAnsi="宋体"/>
          <w:color w:val="auto"/>
          <w:sz w:val="24"/>
          <w:szCs w:val="24"/>
        </w:rPr>
      </w:pPr>
    </w:p>
    <w:p w14:paraId="00A52157">
      <w:pPr>
        <w:tabs>
          <w:tab w:val="left" w:pos="6300"/>
        </w:tabs>
        <w:snapToGrid w:val="0"/>
        <w:spacing w:line="500" w:lineRule="exact"/>
        <w:ind w:firstLine="570"/>
        <w:rPr>
          <w:rFonts w:ascii="宋体" w:hAnsi="宋体"/>
          <w:color w:val="auto"/>
          <w:sz w:val="24"/>
          <w:szCs w:val="24"/>
        </w:rPr>
      </w:pPr>
      <w:r>
        <w:rPr>
          <w:rFonts w:ascii="宋体" w:hAnsi="宋体"/>
          <w:color w:val="auto"/>
          <w:sz w:val="24"/>
          <w:szCs w:val="24"/>
        </w:rPr>
        <w:t>项目名称：</w:t>
      </w:r>
      <w:r>
        <w:rPr>
          <w:rFonts w:ascii="宋体" w:hAnsi="宋体"/>
          <w:color w:val="auto"/>
          <w:sz w:val="24"/>
          <w:szCs w:val="24"/>
          <w:u w:val="single"/>
        </w:rPr>
        <w:t xml:space="preserve">                                                </w:t>
      </w:r>
    </w:p>
    <w:p w14:paraId="3F53CC47">
      <w:pPr>
        <w:tabs>
          <w:tab w:val="left" w:pos="6300"/>
        </w:tabs>
        <w:snapToGrid w:val="0"/>
        <w:spacing w:line="500" w:lineRule="exact"/>
        <w:ind w:firstLine="570"/>
        <w:rPr>
          <w:rFonts w:ascii="宋体" w:hAnsi="宋体"/>
          <w:color w:val="auto"/>
          <w:sz w:val="24"/>
          <w:szCs w:val="24"/>
        </w:rPr>
      </w:pPr>
    </w:p>
    <w:p w14:paraId="26BE12D1">
      <w:pPr>
        <w:tabs>
          <w:tab w:val="left" w:pos="6300"/>
        </w:tabs>
        <w:snapToGrid w:val="0"/>
        <w:spacing w:line="500" w:lineRule="exact"/>
        <w:ind w:firstLine="570"/>
        <w:rPr>
          <w:rFonts w:ascii="宋体" w:hAnsi="宋体"/>
          <w:color w:val="auto"/>
          <w:sz w:val="24"/>
          <w:szCs w:val="24"/>
        </w:rPr>
      </w:pPr>
      <w:r>
        <w:rPr>
          <w:rFonts w:ascii="宋体" w:hAnsi="宋体"/>
          <w:color w:val="auto"/>
          <w:sz w:val="24"/>
          <w:szCs w:val="24"/>
        </w:rPr>
        <w:t>致：</w:t>
      </w:r>
      <w:r>
        <w:rPr>
          <w:rFonts w:ascii="宋体" w:hAnsi="宋体"/>
          <w:color w:val="auto"/>
          <w:sz w:val="24"/>
          <w:szCs w:val="24"/>
          <w:u w:val="single"/>
        </w:rPr>
        <w:t xml:space="preserve">                     </w:t>
      </w:r>
      <w:r>
        <w:rPr>
          <w:rFonts w:ascii="宋体" w:hAnsi="宋体"/>
          <w:color w:val="auto"/>
          <w:sz w:val="24"/>
          <w:szCs w:val="24"/>
        </w:rPr>
        <w:t>（采购代理机构名称）：</w:t>
      </w:r>
    </w:p>
    <w:p w14:paraId="5D6E61FE">
      <w:pPr>
        <w:tabs>
          <w:tab w:val="left" w:pos="6300"/>
        </w:tabs>
        <w:snapToGrid w:val="0"/>
        <w:spacing w:line="500" w:lineRule="exact"/>
        <w:ind w:firstLine="570"/>
        <w:rPr>
          <w:rFonts w:ascii="宋体" w:hAnsi="宋体"/>
          <w:color w:val="auto"/>
          <w:sz w:val="24"/>
          <w:szCs w:val="24"/>
        </w:rPr>
      </w:pPr>
      <w:r>
        <w:rPr>
          <w:rFonts w:ascii="宋体" w:hAnsi="宋体"/>
          <w:color w:val="auto"/>
          <w:sz w:val="24"/>
          <w:szCs w:val="24"/>
          <w:u w:val="single"/>
        </w:rPr>
        <w:t xml:space="preserve">        </w:t>
      </w:r>
      <w:r>
        <w:rPr>
          <w:rFonts w:ascii="宋体" w:hAnsi="宋体"/>
          <w:color w:val="auto"/>
          <w:sz w:val="24"/>
          <w:szCs w:val="24"/>
        </w:rPr>
        <w:t>（法定代表人姓名）在</w:t>
      </w:r>
      <w:r>
        <w:rPr>
          <w:rFonts w:ascii="宋体" w:hAnsi="宋体"/>
          <w:color w:val="auto"/>
          <w:sz w:val="24"/>
          <w:szCs w:val="24"/>
          <w:u w:val="single"/>
        </w:rPr>
        <w:t xml:space="preserve">                       </w:t>
      </w:r>
      <w:r>
        <w:rPr>
          <w:rFonts w:ascii="宋体" w:hAnsi="宋体"/>
          <w:color w:val="auto"/>
          <w:sz w:val="24"/>
          <w:szCs w:val="24"/>
        </w:rPr>
        <w:t>（供应商名称）任</w:t>
      </w:r>
      <w:r>
        <w:rPr>
          <w:rFonts w:ascii="宋体" w:hAnsi="宋体"/>
          <w:color w:val="auto"/>
          <w:sz w:val="24"/>
          <w:szCs w:val="24"/>
          <w:u w:val="single"/>
        </w:rPr>
        <w:t xml:space="preserve">    </w:t>
      </w:r>
      <w:r>
        <w:rPr>
          <w:rFonts w:ascii="宋体" w:hAnsi="宋体"/>
          <w:color w:val="auto"/>
          <w:sz w:val="24"/>
          <w:szCs w:val="24"/>
        </w:rPr>
        <w:t>（职务名称）职务，是（供应商名称）</w:t>
      </w:r>
      <w:r>
        <w:rPr>
          <w:rFonts w:ascii="宋体" w:hAnsi="宋体"/>
          <w:color w:val="auto"/>
          <w:sz w:val="24"/>
          <w:szCs w:val="24"/>
          <w:u w:val="single"/>
        </w:rPr>
        <w:t xml:space="preserve">              </w:t>
      </w:r>
      <w:r>
        <w:rPr>
          <w:rFonts w:ascii="宋体" w:hAnsi="宋体"/>
          <w:color w:val="auto"/>
          <w:sz w:val="24"/>
          <w:szCs w:val="24"/>
        </w:rPr>
        <w:t>的法定代表人。</w:t>
      </w:r>
    </w:p>
    <w:p w14:paraId="1F12F0AE">
      <w:pPr>
        <w:tabs>
          <w:tab w:val="left" w:pos="6300"/>
        </w:tabs>
        <w:snapToGrid w:val="0"/>
        <w:spacing w:line="500" w:lineRule="exact"/>
        <w:ind w:firstLine="570"/>
        <w:rPr>
          <w:rFonts w:ascii="宋体" w:hAnsi="宋体"/>
          <w:color w:val="auto"/>
          <w:sz w:val="24"/>
          <w:szCs w:val="24"/>
        </w:rPr>
      </w:pPr>
    </w:p>
    <w:p w14:paraId="52FE72D1">
      <w:pPr>
        <w:tabs>
          <w:tab w:val="left" w:pos="6300"/>
        </w:tabs>
        <w:snapToGrid w:val="0"/>
        <w:spacing w:line="500" w:lineRule="exact"/>
        <w:ind w:firstLine="570"/>
        <w:rPr>
          <w:color w:val="auto"/>
          <w:sz w:val="24"/>
          <w:szCs w:val="24"/>
        </w:rPr>
      </w:pPr>
      <w:r>
        <w:rPr>
          <w:rFonts w:ascii="宋体" w:hAnsi="宋体"/>
          <w:color w:val="auto"/>
          <w:sz w:val="24"/>
          <w:szCs w:val="24"/>
        </w:rPr>
        <w:t>特此证</w:t>
      </w:r>
      <w:r>
        <w:rPr>
          <w:color w:val="auto"/>
          <w:sz w:val="24"/>
          <w:szCs w:val="24"/>
        </w:rPr>
        <w:t>明。</w:t>
      </w:r>
    </w:p>
    <w:p w14:paraId="0E50962E">
      <w:pPr>
        <w:tabs>
          <w:tab w:val="left" w:pos="6300"/>
        </w:tabs>
        <w:snapToGrid w:val="0"/>
        <w:spacing w:line="500" w:lineRule="exact"/>
        <w:ind w:firstLine="570"/>
        <w:rPr>
          <w:color w:val="auto"/>
          <w:sz w:val="24"/>
          <w:szCs w:val="24"/>
        </w:rPr>
      </w:pPr>
    </w:p>
    <w:p w14:paraId="10081CFB">
      <w:pPr>
        <w:tabs>
          <w:tab w:val="left" w:pos="6300"/>
        </w:tabs>
        <w:snapToGrid w:val="0"/>
        <w:spacing w:line="500" w:lineRule="exact"/>
        <w:ind w:firstLine="570"/>
        <w:rPr>
          <w:color w:val="auto"/>
          <w:sz w:val="24"/>
          <w:szCs w:val="24"/>
        </w:rPr>
      </w:pPr>
    </w:p>
    <w:p w14:paraId="3C19E45B">
      <w:pPr>
        <w:tabs>
          <w:tab w:val="left" w:pos="6300"/>
        </w:tabs>
        <w:snapToGrid w:val="0"/>
        <w:spacing w:line="500" w:lineRule="exact"/>
        <w:ind w:firstLine="570"/>
        <w:rPr>
          <w:color w:val="auto"/>
          <w:sz w:val="24"/>
          <w:szCs w:val="24"/>
        </w:rPr>
      </w:pPr>
    </w:p>
    <w:p w14:paraId="07520142">
      <w:pPr>
        <w:tabs>
          <w:tab w:val="left" w:pos="6300"/>
        </w:tabs>
        <w:snapToGrid w:val="0"/>
        <w:spacing w:line="500" w:lineRule="exact"/>
        <w:ind w:firstLine="570"/>
        <w:rPr>
          <w:color w:val="auto"/>
          <w:sz w:val="24"/>
          <w:szCs w:val="24"/>
        </w:rPr>
      </w:pPr>
      <w:r>
        <w:rPr>
          <w:color w:val="auto"/>
          <w:sz w:val="24"/>
          <w:szCs w:val="24"/>
        </w:rPr>
        <w:t xml:space="preserve">                                             （供应商公章）</w:t>
      </w:r>
    </w:p>
    <w:p w14:paraId="57AC8C7F">
      <w:pPr>
        <w:tabs>
          <w:tab w:val="left" w:pos="6300"/>
        </w:tabs>
        <w:snapToGrid w:val="0"/>
        <w:spacing w:line="500" w:lineRule="exact"/>
        <w:ind w:firstLine="570"/>
        <w:rPr>
          <w:color w:val="auto"/>
          <w:sz w:val="24"/>
          <w:szCs w:val="24"/>
        </w:rPr>
      </w:pPr>
    </w:p>
    <w:p w14:paraId="12F3C36F">
      <w:pPr>
        <w:tabs>
          <w:tab w:val="left" w:pos="6300"/>
        </w:tabs>
        <w:snapToGrid w:val="0"/>
        <w:spacing w:line="500" w:lineRule="exact"/>
        <w:ind w:firstLine="570"/>
        <w:rPr>
          <w:color w:val="auto"/>
          <w:sz w:val="24"/>
          <w:szCs w:val="24"/>
        </w:rPr>
      </w:pPr>
      <w:r>
        <w:rPr>
          <w:color w:val="auto"/>
          <w:sz w:val="24"/>
          <w:szCs w:val="24"/>
        </w:rPr>
        <w:t xml:space="preserve">                                             年   月   日</w:t>
      </w:r>
    </w:p>
    <w:p w14:paraId="1C0F1C22">
      <w:pPr>
        <w:tabs>
          <w:tab w:val="left" w:pos="6300"/>
        </w:tabs>
        <w:snapToGrid w:val="0"/>
        <w:spacing w:line="500" w:lineRule="exact"/>
        <w:ind w:firstLine="570"/>
        <w:rPr>
          <w:color w:val="auto"/>
          <w:sz w:val="24"/>
          <w:szCs w:val="24"/>
        </w:rPr>
      </w:pPr>
    </w:p>
    <w:p w14:paraId="24BF4982">
      <w:pPr>
        <w:tabs>
          <w:tab w:val="left" w:pos="6300"/>
        </w:tabs>
        <w:snapToGrid w:val="0"/>
        <w:spacing w:line="500" w:lineRule="exact"/>
        <w:ind w:firstLine="570"/>
        <w:rPr>
          <w:color w:val="auto"/>
          <w:sz w:val="24"/>
          <w:szCs w:val="24"/>
        </w:rPr>
      </w:pPr>
      <w:r>
        <w:rPr>
          <w:color w:val="auto"/>
          <w:sz w:val="24"/>
          <w:szCs w:val="24"/>
        </w:rPr>
        <w:t>（附：法定代表人身份证正反面复印件）</w:t>
      </w:r>
    </w:p>
    <w:p w14:paraId="3E50C4F9">
      <w:pPr>
        <w:tabs>
          <w:tab w:val="left" w:pos="6300"/>
        </w:tabs>
        <w:snapToGrid w:val="0"/>
        <w:spacing w:line="500" w:lineRule="exact"/>
        <w:ind w:firstLine="570"/>
        <w:rPr>
          <w:color w:val="auto"/>
          <w:sz w:val="24"/>
          <w:szCs w:val="24"/>
        </w:rPr>
      </w:pPr>
    </w:p>
    <w:p w14:paraId="4971CCDC">
      <w:pPr>
        <w:tabs>
          <w:tab w:val="left" w:pos="6300"/>
        </w:tabs>
        <w:snapToGrid w:val="0"/>
        <w:spacing w:line="500" w:lineRule="exact"/>
        <w:ind w:firstLine="570"/>
        <w:rPr>
          <w:color w:val="auto"/>
          <w:sz w:val="24"/>
          <w:szCs w:val="24"/>
        </w:rPr>
      </w:pPr>
    </w:p>
    <w:p w14:paraId="5C8AD629">
      <w:pPr>
        <w:tabs>
          <w:tab w:val="left" w:pos="6300"/>
        </w:tabs>
        <w:snapToGrid w:val="0"/>
        <w:spacing w:line="500" w:lineRule="exact"/>
        <w:ind w:firstLine="570"/>
        <w:rPr>
          <w:color w:val="auto"/>
          <w:sz w:val="24"/>
        </w:rPr>
      </w:pPr>
    </w:p>
    <w:p w14:paraId="0C0E2290">
      <w:pPr>
        <w:tabs>
          <w:tab w:val="left" w:pos="6300"/>
        </w:tabs>
        <w:snapToGrid w:val="0"/>
        <w:spacing w:line="500" w:lineRule="exact"/>
        <w:ind w:firstLine="570"/>
        <w:rPr>
          <w:color w:val="auto"/>
          <w:sz w:val="24"/>
        </w:rPr>
      </w:pPr>
    </w:p>
    <w:p w14:paraId="755F4E91">
      <w:pPr>
        <w:tabs>
          <w:tab w:val="left" w:pos="6300"/>
        </w:tabs>
        <w:snapToGrid w:val="0"/>
        <w:spacing w:line="500" w:lineRule="exact"/>
        <w:ind w:firstLine="570"/>
        <w:rPr>
          <w:color w:val="auto"/>
          <w:sz w:val="24"/>
        </w:rPr>
      </w:pPr>
    </w:p>
    <w:p w14:paraId="12976C6A">
      <w:pPr>
        <w:tabs>
          <w:tab w:val="left" w:pos="6300"/>
        </w:tabs>
        <w:snapToGrid w:val="0"/>
        <w:spacing w:line="500" w:lineRule="exact"/>
        <w:ind w:firstLine="480" w:firstLineChars="200"/>
        <w:rPr>
          <w:rFonts w:ascii="宋体" w:hAnsi="宋体"/>
          <w:color w:val="auto"/>
          <w:sz w:val="24"/>
          <w:szCs w:val="24"/>
        </w:rPr>
      </w:pPr>
    </w:p>
    <w:p w14:paraId="785C8CDE">
      <w:pPr>
        <w:pageBreakBefore/>
        <w:tabs>
          <w:tab w:val="left" w:pos="6300"/>
        </w:tabs>
        <w:snapToGrid w:val="0"/>
        <w:spacing w:line="360" w:lineRule="auto"/>
        <w:ind w:firstLine="480" w:firstLineChars="200"/>
        <w:rPr>
          <w:color w:val="auto"/>
          <w:sz w:val="24"/>
          <w:szCs w:val="24"/>
        </w:rPr>
      </w:pPr>
      <w:r>
        <w:rPr>
          <w:rFonts w:hint="eastAsia" w:ascii="宋体" w:hAnsi="宋体"/>
          <w:color w:val="auto"/>
          <w:sz w:val="24"/>
          <w:szCs w:val="24"/>
        </w:rPr>
        <w:t>（三）</w:t>
      </w:r>
      <w:r>
        <w:rPr>
          <w:rFonts w:ascii="宋体" w:hAnsi="宋体"/>
          <w:color w:val="auto"/>
          <w:sz w:val="24"/>
          <w:szCs w:val="24"/>
        </w:rPr>
        <w:t>法定</w:t>
      </w:r>
      <w:r>
        <w:rPr>
          <w:color w:val="auto"/>
          <w:sz w:val="24"/>
          <w:szCs w:val="24"/>
        </w:rPr>
        <w:t>代表人授权委托书（格式）</w:t>
      </w:r>
    </w:p>
    <w:p w14:paraId="0FA97EB2">
      <w:pPr>
        <w:tabs>
          <w:tab w:val="left" w:pos="6300"/>
        </w:tabs>
        <w:snapToGrid w:val="0"/>
        <w:spacing w:line="500" w:lineRule="exact"/>
        <w:jc w:val="center"/>
        <w:rPr>
          <w:color w:val="auto"/>
        </w:rPr>
      </w:pPr>
      <w:r>
        <w:rPr>
          <w:color w:val="auto"/>
        </w:rPr>
        <w:t>法定代表人授权委托书</w:t>
      </w:r>
    </w:p>
    <w:p w14:paraId="2ABF529B">
      <w:pPr>
        <w:tabs>
          <w:tab w:val="left" w:pos="6300"/>
        </w:tabs>
        <w:snapToGrid w:val="0"/>
        <w:spacing w:line="500" w:lineRule="exact"/>
        <w:jc w:val="center"/>
        <w:rPr>
          <w:color w:val="auto"/>
          <w:sz w:val="24"/>
          <w:szCs w:val="24"/>
        </w:rPr>
      </w:pPr>
    </w:p>
    <w:p w14:paraId="395492A9">
      <w:pPr>
        <w:tabs>
          <w:tab w:val="left" w:pos="6300"/>
        </w:tabs>
        <w:snapToGrid w:val="0"/>
        <w:spacing w:line="500" w:lineRule="exact"/>
        <w:ind w:firstLine="480" w:firstLineChars="200"/>
        <w:rPr>
          <w:color w:val="auto"/>
          <w:sz w:val="24"/>
          <w:szCs w:val="24"/>
        </w:rPr>
      </w:pPr>
      <w:r>
        <w:rPr>
          <w:color w:val="auto"/>
          <w:sz w:val="24"/>
          <w:szCs w:val="24"/>
        </w:rPr>
        <w:t>项目名称：</w:t>
      </w:r>
      <w:r>
        <w:rPr>
          <w:color w:val="auto"/>
          <w:sz w:val="24"/>
          <w:szCs w:val="24"/>
          <w:u w:val="single"/>
        </w:rPr>
        <w:t xml:space="preserve">                                                </w:t>
      </w:r>
    </w:p>
    <w:p w14:paraId="467715E4">
      <w:pPr>
        <w:tabs>
          <w:tab w:val="left" w:pos="6300"/>
        </w:tabs>
        <w:snapToGrid w:val="0"/>
        <w:spacing w:line="500" w:lineRule="exact"/>
        <w:ind w:firstLine="570"/>
        <w:rPr>
          <w:color w:val="auto"/>
          <w:sz w:val="24"/>
          <w:szCs w:val="24"/>
        </w:rPr>
      </w:pPr>
    </w:p>
    <w:p w14:paraId="5A86884D">
      <w:pPr>
        <w:tabs>
          <w:tab w:val="left" w:pos="6300"/>
        </w:tabs>
        <w:snapToGrid w:val="0"/>
        <w:spacing w:line="500" w:lineRule="exact"/>
        <w:ind w:firstLine="480" w:firstLineChars="200"/>
        <w:rPr>
          <w:color w:val="auto"/>
          <w:sz w:val="24"/>
          <w:szCs w:val="24"/>
        </w:rPr>
      </w:pPr>
      <w:r>
        <w:rPr>
          <w:color w:val="auto"/>
          <w:sz w:val="24"/>
          <w:szCs w:val="24"/>
        </w:rPr>
        <w:t>致：</w:t>
      </w:r>
      <w:r>
        <w:rPr>
          <w:color w:val="auto"/>
          <w:sz w:val="24"/>
          <w:szCs w:val="24"/>
          <w:u w:val="single"/>
        </w:rPr>
        <w:t xml:space="preserve">                     </w:t>
      </w:r>
      <w:r>
        <w:rPr>
          <w:color w:val="auto"/>
          <w:sz w:val="24"/>
          <w:szCs w:val="24"/>
        </w:rPr>
        <w:t>（采购代理机构名称）：</w:t>
      </w:r>
    </w:p>
    <w:p w14:paraId="3D99431F">
      <w:pPr>
        <w:tabs>
          <w:tab w:val="left" w:pos="6300"/>
        </w:tabs>
        <w:snapToGrid w:val="0"/>
        <w:spacing w:line="500" w:lineRule="exact"/>
        <w:ind w:firstLine="480" w:firstLineChars="200"/>
        <w:rPr>
          <w:color w:val="auto"/>
          <w:sz w:val="24"/>
          <w:szCs w:val="24"/>
        </w:rPr>
      </w:pPr>
      <w:r>
        <w:rPr>
          <w:color w:val="auto"/>
          <w:sz w:val="24"/>
          <w:szCs w:val="24"/>
          <w:u w:val="single"/>
        </w:rPr>
        <w:t xml:space="preserve">            </w:t>
      </w:r>
      <w:r>
        <w:rPr>
          <w:color w:val="auto"/>
          <w:sz w:val="24"/>
          <w:szCs w:val="24"/>
        </w:rPr>
        <w:t>（供应商法定代表人名称）是</w:t>
      </w:r>
      <w:r>
        <w:rPr>
          <w:color w:val="auto"/>
          <w:sz w:val="24"/>
          <w:szCs w:val="24"/>
          <w:u w:val="single"/>
        </w:rPr>
        <w:t xml:space="preserve">                    </w:t>
      </w:r>
      <w:r>
        <w:rPr>
          <w:color w:val="auto"/>
          <w:sz w:val="24"/>
          <w:szCs w:val="24"/>
        </w:rPr>
        <w:t>（供应商名称）的法定代表人，特授权</w:t>
      </w:r>
      <w:r>
        <w:rPr>
          <w:color w:val="auto"/>
          <w:sz w:val="24"/>
          <w:szCs w:val="24"/>
          <w:u w:val="single"/>
        </w:rPr>
        <w:t xml:space="preserve">          </w:t>
      </w:r>
      <w:r>
        <w:rPr>
          <w:color w:val="auto"/>
          <w:sz w:val="24"/>
          <w:szCs w:val="24"/>
        </w:rPr>
        <w:t>（被授权人姓名及身份证代码）代表我单位全权办理上述项目的投标、谈判、签约等具体工作，并签署全部有关文件、协议及合同。</w:t>
      </w:r>
    </w:p>
    <w:p w14:paraId="7CF6C1E1">
      <w:pPr>
        <w:tabs>
          <w:tab w:val="left" w:pos="6300"/>
        </w:tabs>
        <w:snapToGrid w:val="0"/>
        <w:spacing w:line="500" w:lineRule="exact"/>
        <w:ind w:firstLine="480" w:firstLineChars="200"/>
        <w:rPr>
          <w:color w:val="auto"/>
          <w:sz w:val="24"/>
          <w:szCs w:val="24"/>
        </w:rPr>
      </w:pPr>
      <w:r>
        <w:rPr>
          <w:color w:val="auto"/>
          <w:sz w:val="24"/>
          <w:szCs w:val="24"/>
        </w:rPr>
        <w:t>我单位对被授权人的签字负全部责任。</w:t>
      </w:r>
    </w:p>
    <w:p w14:paraId="2E96D2D6">
      <w:pPr>
        <w:tabs>
          <w:tab w:val="left" w:pos="6300"/>
        </w:tabs>
        <w:snapToGrid w:val="0"/>
        <w:spacing w:line="500" w:lineRule="exact"/>
        <w:ind w:firstLine="480" w:firstLineChars="200"/>
        <w:rPr>
          <w:color w:val="auto"/>
          <w:sz w:val="24"/>
          <w:szCs w:val="24"/>
        </w:rPr>
      </w:pPr>
      <w:r>
        <w:rPr>
          <w:color w:val="auto"/>
          <w:sz w:val="24"/>
          <w:szCs w:val="24"/>
        </w:rPr>
        <w:t>在撤消授权的书面通知以前，本授权书一直有效。被授权人在授权书有效期内签署的所有文件不因授权的撤消而失效。</w:t>
      </w:r>
    </w:p>
    <w:p w14:paraId="04F82BB0">
      <w:pPr>
        <w:tabs>
          <w:tab w:val="left" w:pos="6300"/>
        </w:tabs>
        <w:snapToGrid w:val="0"/>
        <w:spacing w:line="500" w:lineRule="exact"/>
        <w:ind w:firstLine="570"/>
        <w:rPr>
          <w:color w:val="auto"/>
          <w:sz w:val="24"/>
          <w:szCs w:val="24"/>
        </w:rPr>
      </w:pPr>
    </w:p>
    <w:p w14:paraId="54685472">
      <w:pPr>
        <w:tabs>
          <w:tab w:val="left" w:pos="6300"/>
        </w:tabs>
        <w:snapToGrid w:val="0"/>
        <w:spacing w:line="500" w:lineRule="exact"/>
        <w:ind w:firstLine="570"/>
        <w:rPr>
          <w:color w:val="auto"/>
          <w:sz w:val="24"/>
          <w:szCs w:val="24"/>
        </w:rPr>
      </w:pPr>
    </w:p>
    <w:p w14:paraId="116A7E16">
      <w:pPr>
        <w:tabs>
          <w:tab w:val="left" w:pos="6300"/>
        </w:tabs>
        <w:snapToGrid w:val="0"/>
        <w:spacing w:line="500" w:lineRule="exact"/>
        <w:ind w:firstLine="570"/>
        <w:rPr>
          <w:color w:val="auto"/>
          <w:sz w:val="24"/>
          <w:szCs w:val="24"/>
        </w:rPr>
      </w:pPr>
      <w:r>
        <w:rPr>
          <w:color w:val="auto"/>
          <w:sz w:val="24"/>
          <w:szCs w:val="24"/>
        </w:rPr>
        <w:t>被授权人：                                 供应商法定代表人：</w:t>
      </w:r>
    </w:p>
    <w:p w14:paraId="5DBDCCDC">
      <w:pPr>
        <w:tabs>
          <w:tab w:val="left" w:pos="6300"/>
        </w:tabs>
        <w:snapToGrid w:val="0"/>
        <w:spacing w:line="500" w:lineRule="exact"/>
        <w:ind w:firstLine="570"/>
        <w:rPr>
          <w:color w:val="auto"/>
          <w:sz w:val="24"/>
          <w:szCs w:val="24"/>
        </w:rPr>
      </w:pPr>
      <w:r>
        <w:rPr>
          <w:color w:val="auto"/>
          <w:sz w:val="24"/>
          <w:szCs w:val="24"/>
        </w:rPr>
        <w:t>（签字或盖章）                                （签字或盖章）</w:t>
      </w:r>
    </w:p>
    <w:p w14:paraId="4BA2FA94">
      <w:pPr>
        <w:tabs>
          <w:tab w:val="left" w:pos="6300"/>
        </w:tabs>
        <w:snapToGrid w:val="0"/>
        <w:spacing w:line="500" w:lineRule="exact"/>
        <w:ind w:firstLine="570"/>
        <w:rPr>
          <w:color w:val="auto"/>
          <w:sz w:val="24"/>
          <w:szCs w:val="24"/>
        </w:rPr>
      </w:pPr>
    </w:p>
    <w:p w14:paraId="04BD4598">
      <w:pPr>
        <w:tabs>
          <w:tab w:val="left" w:pos="6300"/>
        </w:tabs>
        <w:snapToGrid w:val="0"/>
        <w:spacing w:line="500" w:lineRule="exact"/>
        <w:ind w:firstLine="570"/>
        <w:rPr>
          <w:color w:val="auto"/>
          <w:sz w:val="24"/>
          <w:szCs w:val="24"/>
        </w:rPr>
      </w:pPr>
    </w:p>
    <w:p w14:paraId="23422FDD">
      <w:pPr>
        <w:tabs>
          <w:tab w:val="left" w:pos="6300"/>
        </w:tabs>
        <w:snapToGrid w:val="0"/>
        <w:spacing w:line="500" w:lineRule="exact"/>
        <w:ind w:firstLine="570"/>
        <w:rPr>
          <w:color w:val="auto"/>
          <w:sz w:val="24"/>
          <w:szCs w:val="24"/>
        </w:rPr>
      </w:pPr>
      <w:r>
        <w:rPr>
          <w:color w:val="auto"/>
          <w:sz w:val="24"/>
          <w:szCs w:val="24"/>
        </w:rPr>
        <w:t>（附：被授权人身份证正反面复印件）</w:t>
      </w:r>
    </w:p>
    <w:p w14:paraId="2DD1EB3C">
      <w:pPr>
        <w:tabs>
          <w:tab w:val="left" w:pos="6300"/>
        </w:tabs>
        <w:snapToGrid w:val="0"/>
        <w:spacing w:line="500" w:lineRule="exact"/>
        <w:ind w:firstLine="570"/>
        <w:rPr>
          <w:color w:val="auto"/>
          <w:sz w:val="24"/>
          <w:szCs w:val="24"/>
        </w:rPr>
      </w:pPr>
      <w:r>
        <w:rPr>
          <w:color w:val="auto"/>
          <w:sz w:val="24"/>
          <w:szCs w:val="24"/>
        </w:rPr>
        <w:t xml:space="preserve">                                          </w:t>
      </w:r>
    </w:p>
    <w:p w14:paraId="1908FCBE">
      <w:pPr>
        <w:tabs>
          <w:tab w:val="left" w:pos="6300"/>
        </w:tabs>
        <w:snapToGrid w:val="0"/>
        <w:spacing w:line="500" w:lineRule="exact"/>
        <w:ind w:firstLine="570"/>
        <w:rPr>
          <w:color w:val="auto"/>
          <w:sz w:val="24"/>
          <w:szCs w:val="24"/>
        </w:rPr>
      </w:pPr>
    </w:p>
    <w:p w14:paraId="021FC304">
      <w:pPr>
        <w:tabs>
          <w:tab w:val="left" w:pos="6300"/>
        </w:tabs>
        <w:snapToGrid w:val="0"/>
        <w:spacing w:line="500" w:lineRule="exact"/>
        <w:ind w:firstLine="570"/>
        <w:rPr>
          <w:color w:val="auto"/>
          <w:sz w:val="24"/>
          <w:szCs w:val="24"/>
        </w:rPr>
      </w:pPr>
    </w:p>
    <w:p w14:paraId="067DA275">
      <w:pPr>
        <w:tabs>
          <w:tab w:val="left" w:pos="6300"/>
        </w:tabs>
        <w:snapToGrid w:val="0"/>
        <w:spacing w:line="500" w:lineRule="exact"/>
        <w:ind w:right="480" w:firstLine="570"/>
        <w:jc w:val="right"/>
        <w:rPr>
          <w:color w:val="auto"/>
          <w:sz w:val="24"/>
          <w:szCs w:val="24"/>
        </w:rPr>
      </w:pPr>
      <w:r>
        <w:rPr>
          <w:color w:val="auto"/>
          <w:sz w:val="24"/>
          <w:szCs w:val="24"/>
        </w:rPr>
        <w:t>（供应商公章）</w:t>
      </w:r>
    </w:p>
    <w:p w14:paraId="57E711B9">
      <w:pPr>
        <w:tabs>
          <w:tab w:val="left" w:pos="6300"/>
        </w:tabs>
        <w:snapToGrid w:val="0"/>
        <w:spacing w:line="500" w:lineRule="exact"/>
        <w:ind w:right="480" w:firstLine="570"/>
        <w:jc w:val="right"/>
        <w:rPr>
          <w:color w:val="auto"/>
          <w:sz w:val="24"/>
          <w:szCs w:val="24"/>
        </w:rPr>
      </w:pPr>
      <w:r>
        <w:rPr>
          <w:color w:val="auto"/>
          <w:sz w:val="24"/>
          <w:szCs w:val="24"/>
        </w:rPr>
        <w:t>年   月   日</w:t>
      </w:r>
    </w:p>
    <w:p w14:paraId="2E52E414">
      <w:pPr>
        <w:tabs>
          <w:tab w:val="left" w:pos="6300"/>
        </w:tabs>
        <w:snapToGrid w:val="0"/>
        <w:spacing w:line="500" w:lineRule="exact"/>
        <w:ind w:right="480" w:firstLine="570"/>
        <w:jc w:val="right"/>
        <w:rPr>
          <w:color w:val="auto"/>
          <w:sz w:val="24"/>
          <w:szCs w:val="24"/>
        </w:rPr>
      </w:pPr>
    </w:p>
    <w:p w14:paraId="39D6D587">
      <w:pPr>
        <w:tabs>
          <w:tab w:val="left" w:pos="6300"/>
        </w:tabs>
        <w:snapToGrid w:val="0"/>
        <w:spacing w:line="500" w:lineRule="exact"/>
        <w:ind w:right="480" w:firstLine="570"/>
        <w:jc w:val="left"/>
        <w:rPr>
          <w:color w:val="auto"/>
          <w:sz w:val="24"/>
          <w:szCs w:val="24"/>
        </w:rPr>
      </w:pPr>
      <w:r>
        <w:rPr>
          <w:color w:val="auto"/>
          <w:sz w:val="24"/>
          <w:szCs w:val="24"/>
        </w:rPr>
        <w:t>注：</w:t>
      </w:r>
      <w:r>
        <w:rPr>
          <w:rFonts w:ascii="宋体" w:hAnsi="宋体"/>
          <w:color w:val="auto"/>
          <w:sz w:val="24"/>
          <w:szCs w:val="24"/>
        </w:rPr>
        <w:t>若为法定代表人办理并签署响应文件的，不提供此文件。</w:t>
      </w:r>
    </w:p>
    <w:p w14:paraId="28D9281F">
      <w:pPr>
        <w:tabs>
          <w:tab w:val="left" w:pos="6300"/>
        </w:tabs>
        <w:snapToGrid w:val="0"/>
        <w:spacing w:line="360" w:lineRule="auto"/>
        <w:ind w:firstLine="560" w:firstLineChars="200"/>
        <w:rPr>
          <w:rFonts w:ascii="宋体" w:hAnsi="宋体"/>
          <w:color w:val="auto"/>
          <w:sz w:val="24"/>
        </w:rPr>
      </w:pPr>
      <w:r>
        <w:rPr>
          <w:rFonts w:ascii="宋体" w:hAnsi="宋体"/>
          <w:color w:val="auto"/>
        </w:rPr>
        <w:br w:type="column"/>
      </w:r>
      <w:r>
        <w:rPr>
          <w:rFonts w:hint="eastAsia" w:ascii="宋体" w:hAnsi="宋体"/>
          <w:color w:val="auto"/>
          <w:sz w:val="24"/>
        </w:rPr>
        <w:t>（四）基本资格条件承诺函（格式）</w:t>
      </w:r>
    </w:p>
    <w:p w14:paraId="723DEC5C">
      <w:pPr>
        <w:tabs>
          <w:tab w:val="left" w:pos="6300"/>
        </w:tabs>
        <w:snapToGrid w:val="0"/>
        <w:spacing w:line="360" w:lineRule="auto"/>
        <w:jc w:val="center"/>
        <w:rPr>
          <w:rFonts w:ascii="宋体" w:hAnsi="宋体"/>
          <w:color w:val="auto"/>
          <w:sz w:val="36"/>
          <w:szCs w:val="36"/>
        </w:rPr>
      </w:pPr>
      <w:r>
        <w:rPr>
          <w:rFonts w:hint="eastAsia" w:ascii="宋体" w:hAnsi="宋体"/>
          <w:color w:val="auto"/>
          <w:sz w:val="36"/>
          <w:szCs w:val="36"/>
        </w:rPr>
        <w:t>基本资格条件承诺函</w:t>
      </w:r>
    </w:p>
    <w:p w14:paraId="6C6CB1EA">
      <w:pPr>
        <w:tabs>
          <w:tab w:val="left" w:pos="6300"/>
        </w:tabs>
        <w:snapToGrid w:val="0"/>
        <w:spacing w:line="360" w:lineRule="auto"/>
        <w:rPr>
          <w:rFonts w:ascii="宋体" w:hAnsi="宋体"/>
          <w:color w:val="auto"/>
          <w:sz w:val="24"/>
          <w:szCs w:val="24"/>
        </w:rPr>
      </w:pPr>
    </w:p>
    <w:p w14:paraId="5B8DA7EB">
      <w:pPr>
        <w:tabs>
          <w:tab w:val="left" w:pos="6300"/>
        </w:tabs>
        <w:snapToGrid w:val="0"/>
        <w:spacing w:line="360" w:lineRule="auto"/>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z w:val="24"/>
          <w:szCs w:val="24"/>
        </w:rPr>
        <w:t>（采购代理机构名称）：</w:t>
      </w:r>
    </w:p>
    <w:p w14:paraId="5EA1830C">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（供应商名称）郑重承诺：</w:t>
      </w:r>
    </w:p>
    <w:p w14:paraId="2D24A4E0">
      <w:pPr>
        <w:spacing w:line="360" w:lineRule="auto"/>
        <w:ind w:firstLine="480" w:firstLineChars="200"/>
        <w:rPr>
          <w:rFonts w:ascii="宋体" w:hAnsi="宋体"/>
          <w:color w:val="auto"/>
          <w:sz w:val="24"/>
          <w:szCs w:val="24"/>
        </w:rPr>
      </w:pPr>
      <w:r>
        <w:rPr>
          <w:rFonts w:hint="eastAsia" w:ascii="宋体" w:hAnsi="宋体"/>
          <w:color w:val="auto"/>
          <w:sz w:val="24"/>
          <w:szCs w:val="24"/>
        </w:rPr>
        <w:t>1.我方具有良好的商业信誉和健全的财务会计制度，具有履行合同所必需的设备和专业技术能力，具</w:t>
      </w:r>
      <w:r>
        <w:rPr>
          <w:rFonts w:hint="eastAsia" w:ascii="宋体" w:hAnsi="宋体" w:cs="仿宋_GB2312"/>
          <w:color w:val="auto"/>
          <w:sz w:val="24"/>
          <w:szCs w:val="24"/>
          <w:lang w:val="zh-CN"/>
        </w:rPr>
        <w:t>有依法缴纳税收和社会保障金的良好记录</w:t>
      </w:r>
      <w:r>
        <w:rPr>
          <w:rFonts w:hint="eastAsia" w:ascii="宋体" w:hAnsi="宋体" w:cs="仿宋_GB2312"/>
          <w:color w:val="auto"/>
          <w:sz w:val="24"/>
          <w:szCs w:val="24"/>
        </w:rPr>
        <w:t>，</w:t>
      </w:r>
      <w:r>
        <w:rPr>
          <w:rFonts w:hint="eastAsia" w:ascii="宋体" w:hAnsi="宋体"/>
          <w:color w:val="auto"/>
          <w:sz w:val="24"/>
          <w:szCs w:val="24"/>
        </w:rPr>
        <w:t>参加本项目采购活动前三年内无重大违法活动记录。</w:t>
      </w:r>
    </w:p>
    <w:p w14:paraId="4EFF97FB">
      <w:pPr>
        <w:spacing w:line="360" w:lineRule="auto"/>
        <w:ind w:firstLine="480" w:firstLineChars="200"/>
        <w:rPr>
          <w:rFonts w:ascii="宋体" w:hAnsi="宋体"/>
          <w:color w:val="auto"/>
          <w:sz w:val="24"/>
          <w:szCs w:val="24"/>
        </w:rPr>
      </w:pPr>
      <w:r>
        <w:rPr>
          <w:rFonts w:hint="eastAsia" w:ascii="宋体" w:hAnsi="宋体"/>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2172C0AF">
      <w:pPr>
        <w:spacing w:line="360" w:lineRule="auto"/>
        <w:ind w:firstLine="480" w:firstLineChars="200"/>
        <w:rPr>
          <w:rFonts w:ascii="宋体" w:hAnsi="宋体"/>
          <w:color w:val="auto"/>
          <w:sz w:val="24"/>
          <w:szCs w:val="24"/>
        </w:rPr>
      </w:pPr>
      <w:r>
        <w:rPr>
          <w:rFonts w:hint="eastAsia" w:ascii="宋体" w:hAnsi="宋体"/>
          <w:color w:val="auto"/>
          <w:sz w:val="24"/>
          <w:szCs w:val="24"/>
        </w:rPr>
        <w:t>3.我方在采购项目评审（评标）环节结束后，随时接受采购人、采购代理机构的检查验证，配合提供相关证明材料，证明符合《中华人民共和国政府采购法》规定的供应商基本资格条件。</w:t>
      </w:r>
    </w:p>
    <w:p w14:paraId="02F99035">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我方对以上承诺负全部法律责任。</w:t>
      </w:r>
    </w:p>
    <w:p w14:paraId="25482FDA">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特此承诺。</w:t>
      </w:r>
    </w:p>
    <w:p w14:paraId="2727D432">
      <w:pPr>
        <w:tabs>
          <w:tab w:val="left" w:pos="6300"/>
        </w:tabs>
        <w:snapToGrid w:val="0"/>
        <w:spacing w:line="360" w:lineRule="auto"/>
        <w:rPr>
          <w:rFonts w:ascii="宋体" w:hAnsi="宋体"/>
          <w:color w:val="auto"/>
          <w:sz w:val="24"/>
          <w:szCs w:val="24"/>
        </w:rPr>
      </w:pPr>
    </w:p>
    <w:p w14:paraId="3E3BA046">
      <w:pPr>
        <w:tabs>
          <w:tab w:val="left" w:pos="6300"/>
        </w:tabs>
        <w:snapToGrid w:val="0"/>
        <w:spacing w:line="360" w:lineRule="auto"/>
        <w:ind w:right="424" w:firstLine="570"/>
        <w:jc w:val="right"/>
        <w:rPr>
          <w:rFonts w:ascii="宋体" w:hAnsi="宋体"/>
          <w:color w:val="auto"/>
          <w:sz w:val="24"/>
          <w:szCs w:val="24"/>
        </w:rPr>
      </w:pPr>
      <w:r>
        <w:rPr>
          <w:rFonts w:hint="eastAsia" w:ascii="宋体" w:hAnsi="宋体"/>
          <w:color w:val="auto"/>
          <w:sz w:val="24"/>
          <w:szCs w:val="24"/>
        </w:rPr>
        <w:t>（供应商公章）</w:t>
      </w:r>
    </w:p>
    <w:p w14:paraId="276E3ECF">
      <w:pPr>
        <w:tabs>
          <w:tab w:val="left" w:pos="6300"/>
        </w:tabs>
        <w:snapToGrid w:val="0"/>
        <w:spacing w:line="360" w:lineRule="auto"/>
        <w:ind w:right="480" w:firstLine="570"/>
        <w:jc w:val="right"/>
        <w:rPr>
          <w:rFonts w:ascii="宋体" w:hAnsi="宋体"/>
          <w:color w:val="auto"/>
          <w:sz w:val="24"/>
          <w:szCs w:val="24"/>
        </w:rPr>
      </w:pPr>
      <w:r>
        <w:rPr>
          <w:rFonts w:hint="eastAsia" w:ascii="宋体" w:hAnsi="宋体"/>
          <w:color w:val="auto"/>
          <w:sz w:val="24"/>
          <w:szCs w:val="24"/>
        </w:rPr>
        <w:t>年   月   日</w:t>
      </w:r>
    </w:p>
    <w:p w14:paraId="70C91127">
      <w:pPr>
        <w:spacing w:line="360" w:lineRule="auto"/>
        <w:rPr>
          <w:color w:val="auto"/>
        </w:rPr>
      </w:pPr>
    </w:p>
    <w:p w14:paraId="1A2B5716">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（五）特定资格条件证书或证明文件</w:t>
      </w:r>
    </w:p>
    <w:p w14:paraId="42928983">
      <w:pPr>
        <w:tabs>
          <w:tab w:val="left" w:pos="6300"/>
        </w:tabs>
        <w:snapToGrid w:val="0"/>
        <w:spacing w:line="360" w:lineRule="auto"/>
        <w:ind w:firstLine="573"/>
        <w:rPr>
          <w:color w:val="auto"/>
          <w:sz w:val="24"/>
          <w:szCs w:val="24"/>
        </w:rPr>
      </w:pPr>
      <w:r>
        <w:rPr>
          <w:rFonts w:hint="eastAsia"/>
          <w:color w:val="auto"/>
          <w:sz w:val="24"/>
          <w:szCs w:val="24"/>
        </w:rPr>
        <w:t xml:space="preserve">    </w:t>
      </w:r>
    </w:p>
    <w:p w14:paraId="273EB9B9">
      <w:pPr>
        <w:tabs>
          <w:tab w:val="left" w:pos="6300"/>
        </w:tabs>
        <w:snapToGrid w:val="0"/>
        <w:spacing w:line="360" w:lineRule="auto"/>
        <w:ind w:firstLine="560" w:firstLineChars="200"/>
        <w:rPr>
          <w:rFonts w:ascii="宋体" w:hAnsi="宋体"/>
          <w:color w:val="auto"/>
          <w:sz w:val="24"/>
        </w:rPr>
      </w:pPr>
      <w:r>
        <w:rPr>
          <w:color w:val="auto"/>
        </w:rPr>
        <w:br w:type="page"/>
      </w:r>
      <w:r>
        <w:rPr>
          <w:rFonts w:ascii="宋体" w:hAnsi="宋体"/>
          <w:color w:val="auto"/>
          <w:sz w:val="24"/>
        </w:rPr>
        <w:t>（</w:t>
      </w:r>
      <w:r>
        <w:rPr>
          <w:rFonts w:hint="eastAsia" w:ascii="宋体" w:hAnsi="宋体"/>
          <w:color w:val="auto"/>
          <w:sz w:val="24"/>
        </w:rPr>
        <w:t>六</w:t>
      </w:r>
      <w:r>
        <w:rPr>
          <w:rFonts w:ascii="宋体" w:hAnsi="宋体"/>
          <w:color w:val="auto"/>
          <w:sz w:val="24"/>
        </w:rPr>
        <w:t>）其他应提供的资料</w:t>
      </w:r>
    </w:p>
    <w:p w14:paraId="081A2FD9">
      <w:pPr>
        <w:tabs>
          <w:tab w:val="left" w:pos="6300"/>
        </w:tabs>
        <w:snapToGrid w:val="0"/>
        <w:spacing w:line="360" w:lineRule="auto"/>
        <w:rPr>
          <w:rFonts w:ascii="宋体" w:hAnsi="宋体"/>
          <w:color w:val="auto"/>
          <w:sz w:val="24"/>
          <w:szCs w:val="24"/>
        </w:rPr>
      </w:pPr>
      <w:r>
        <w:rPr>
          <w:rFonts w:hint="eastAsia" w:ascii="宋体" w:hAnsi="宋体"/>
          <w:color w:val="auto"/>
          <w:sz w:val="24"/>
          <w:szCs w:val="24"/>
        </w:rPr>
        <w:t xml:space="preserve">    1.中小企业声明函、监狱企业证明文件、残疾人福利性单位声明函</w:t>
      </w:r>
    </w:p>
    <w:p w14:paraId="2EA83B4E">
      <w:pPr>
        <w:tabs>
          <w:tab w:val="left" w:pos="6300"/>
        </w:tabs>
        <w:snapToGrid w:val="0"/>
        <w:spacing w:line="360" w:lineRule="auto"/>
        <w:rPr>
          <w:rFonts w:ascii="宋体" w:hAnsi="宋体"/>
          <w:color w:val="auto"/>
          <w:sz w:val="24"/>
          <w:szCs w:val="24"/>
        </w:rPr>
      </w:pPr>
      <w:r>
        <w:rPr>
          <w:rFonts w:hint="eastAsia" w:ascii="宋体" w:hAnsi="宋体"/>
          <w:color w:val="auto"/>
          <w:sz w:val="24"/>
          <w:szCs w:val="24"/>
        </w:rPr>
        <w:t xml:space="preserve">    （1）中小企业声明函</w:t>
      </w:r>
    </w:p>
    <w:p w14:paraId="01319C81">
      <w:pPr>
        <w:snapToGrid w:val="0"/>
        <w:spacing w:line="500" w:lineRule="exact"/>
        <w:jc w:val="center"/>
        <w:rPr>
          <w:rFonts w:ascii="宋体" w:hAnsi="宋体"/>
          <w:color w:val="auto"/>
          <w:szCs w:val="28"/>
        </w:rPr>
      </w:pPr>
      <w:r>
        <w:rPr>
          <w:rFonts w:hint="eastAsia" w:ascii="宋体" w:hAnsi="宋体"/>
          <w:color w:val="auto"/>
        </w:rPr>
        <w:t>中小企业声明函</w:t>
      </w:r>
    </w:p>
    <w:p w14:paraId="2EF825F7">
      <w:pPr>
        <w:spacing w:line="400" w:lineRule="exact"/>
        <w:ind w:firstLine="480" w:firstLineChars="200"/>
        <w:rPr>
          <w:rFonts w:ascii="宋体" w:hAnsi="宋体"/>
          <w:color w:val="auto"/>
          <w:sz w:val="24"/>
          <w:szCs w:val="24"/>
        </w:rPr>
      </w:pPr>
      <w:r>
        <w:rPr>
          <w:rFonts w:hint="eastAsia" w:ascii="宋体" w:hAnsi="宋体" w:cs="微软雅黑"/>
          <w:color w:val="auto"/>
          <w:sz w:val="24"/>
          <w:szCs w:val="24"/>
        </w:rPr>
        <w:t>本公司郑重声明，根据《政府采购促进中小企业发展管理办法》（财</w:t>
      </w:r>
      <w:r>
        <w:rPr>
          <w:rFonts w:hint="eastAsia" w:ascii="宋体" w:hAnsi="宋体"/>
          <w:color w:val="auto"/>
          <w:sz w:val="24"/>
          <w:szCs w:val="24"/>
        </w:rPr>
        <w:t>库﹝</w:t>
      </w:r>
      <w:r>
        <w:rPr>
          <w:rFonts w:hint="eastAsia" w:ascii="宋体" w:hAnsi="宋体" w:cs="微软雅黑"/>
          <w:color w:val="auto"/>
          <w:sz w:val="24"/>
          <w:szCs w:val="24"/>
        </w:rPr>
        <w:t>2020</w:t>
      </w:r>
      <w:r>
        <w:rPr>
          <w:rFonts w:hint="eastAsia" w:ascii="宋体" w:hAnsi="宋体"/>
          <w:color w:val="auto"/>
          <w:sz w:val="24"/>
          <w:szCs w:val="24"/>
        </w:rPr>
        <w:t>﹞4</w:t>
      </w:r>
      <w:r>
        <w:rPr>
          <w:rFonts w:ascii="宋体" w:hAnsi="宋体"/>
          <w:color w:val="auto"/>
          <w:sz w:val="24"/>
          <w:szCs w:val="24"/>
        </w:rPr>
        <w:t xml:space="preserve"> </w:t>
      </w:r>
      <w:r>
        <w:rPr>
          <w:rFonts w:hint="eastAsia" w:ascii="宋体" w:hAnsi="宋体" w:cs="微软雅黑"/>
          <w:color w:val="auto"/>
          <w:sz w:val="24"/>
          <w:szCs w:val="24"/>
        </w:rPr>
        <w:t>6号）的规定，本公司参加</w:t>
      </w:r>
      <w:r>
        <w:rPr>
          <w:rFonts w:hint="eastAsia" w:ascii="宋体" w:hAnsi="宋体" w:cs="微软雅黑"/>
          <w:color w:val="auto"/>
          <w:sz w:val="24"/>
          <w:szCs w:val="24"/>
          <w:u w:val="single" w:color="000000"/>
        </w:rPr>
        <w:t>(</w:t>
      </w:r>
      <w:r>
        <w:rPr>
          <w:rFonts w:hint="eastAsia" w:ascii="宋体" w:hAnsi="宋体"/>
          <w:color w:val="auto"/>
          <w:sz w:val="24"/>
          <w:szCs w:val="24"/>
          <w:u w:val="single" w:color="000000"/>
        </w:rPr>
        <w:t>单位名称)</w:t>
      </w:r>
      <w:r>
        <w:rPr>
          <w:rFonts w:hint="eastAsia" w:ascii="宋体" w:hAnsi="宋体" w:cs="微软雅黑"/>
          <w:color w:val="auto"/>
          <w:sz w:val="24"/>
          <w:szCs w:val="24"/>
        </w:rPr>
        <w:t>采购活动，服务</w:t>
      </w:r>
      <w:r>
        <w:rPr>
          <w:rFonts w:hint="eastAsia" w:ascii="宋体" w:hAnsi="宋体"/>
          <w:color w:val="auto"/>
          <w:sz w:val="24"/>
          <w:szCs w:val="24"/>
        </w:rPr>
        <w:t>全部</w:t>
      </w:r>
      <w:r>
        <w:rPr>
          <w:rFonts w:hint="eastAsia" w:ascii="宋体" w:hAnsi="宋体" w:cs="微软雅黑"/>
          <w:color w:val="auto"/>
          <w:sz w:val="24"/>
          <w:szCs w:val="24"/>
        </w:rPr>
        <w:t>由符合政策要求的中小企业承接。相关企业的具体情况如下：</w:t>
      </w:r>
    </w:p>
    <w:p w14:paraId="2AEFFC29">
      <w:pPr>
        <w:spacing w:line="400" w:lineRule="exact"/>
        <w:ind w:firstLine="480" w:firstLineChars="200"/>
        <w:rPr>
          <w:rFonts w:ascii="宋体" w:hAnsi="宋体"/>
          <w:color w:val="auto"/>
          <w:sz w:val="24"/>
          <w:szCs w:val="24"/>
          <w:u w:val="single" w:color="000000"/>
        </w:rPr>
      </w:pPr>
      <w:r>
        <w:rPr>
          <w:rFonts w:hint="eastAsia" w:ascii="宋体" w:hAnsi="宋体"/>
          <w:color w:val="auto"/>
          <w:sz w:val="24"/>
          <w:szCs w:val="24"/>
        </w:rPr>
        <w:t xml:space="preserve">1. </w:t>
      </w:r>
      <w:r>
        <w:rPr>
          <w:rFonts w:hint="eastAsia" w:ascii="宋体" w:hAnsi="宋体"/>
          <w:color w:val="auto"/>
          <w:sz w:val="24"/>
          <w:szCs w:val="24"/>
          <w:u w:val="single"/>
        </w:rPr>
        <w:t>（标的名称）</w:t>
      </w:r>
      <w:r>
        <w:rPr>
          <w:rFonts w:hint="eastAsia" w:ascii="宋体" w:hAnsi="宋体"/>
          <w:color w:val="auto"/>
          <w:sz w:val="24"/>
          <w:szCs w:val="24"/>
        </w:rPr>
        <w:t>，属于</w:t>
      </w:r>
      <w:r>
        <w:rPr>
          <w:rFonts w:hint="eastAsia" w:ascii="宋体" w:hAnsi="宋体"/>
          <w:color w:val="auto"/>
          <w:sz w:val="24"/>
          <w:szCs w:val="24"/>
          <w:u w:val="single"/>
        </w:rPr>
        <w:t>（采购文件中明确的所属行业）</w:t>
      </w:r>
      <w:r>
        <w:rPr>
          <w:rFonts w:hint="eastAsia" w:ascii="宋体" w:hAnsi="宋体"/>
          <w:color w:val="auto"/>
          <w:sz w:val="24"/>
          <w:szCs w:val="24"/>
        </w:rPr>
        <w:t>；</w:t>
      </w:r>
      <w:r>
        <w:rPr>
          <w:rFonts w:hint="eastAsia" w:ascii="宋体" w:hAnsi="宋体" w:cs="微软雅黑"/>
          <w:color w:val="auto"/>
          <w:sz w:val="24"/>
          <w:szCs w:val="24"/>
        </w:rPr>
        <w:t>承接企业为</w:t>
      </w:r>
      <w:r>
        <w:rPr>
          <w:rFonts w:hint="eastAsia" w:ascii="宋体" w:hAnsi="宋体" w:cs="微软雅黑"/>
          <w:color w:val="auto"/>
          <w:sz w:val="24"/>
          <w:szCs w:val="24"/>
          <w:u w:val="single" w:color="000000"/>
        </w:rPr>
        <w:t>(企</w:t>
      </w:r>
      <w:r>
        <w:rPr>
          <w:rFonts w:hint="eastAsia" w:ascii="宋体" w:hAnsi="宋体"/>
          <w:color w:val="auto"/>
          <w:sz w:val="24"/>
          <w:szCs w:val="24"/>
          <w:u w:val="single" w:color="000000"/>
        </w:rPr>
        <w:t>业名</w:t>
      </w:r>
      <w:r>
        <w:rPr>
          <w:rFonts w:hint="eastAsia" w:ascii="宋体" w:hAnsi="宋体" w:cs="微软雅黑"/>
          <w:color w:val="auto"/>
          <w:sz w:val="24"/>
          <w:szCs w:val="24"/>
          <w:u w:val="single" w:color="000000"/>
        </w:rPr>
        <w:t>称)</w:t>
      </w:r>
      <w:r>
        <w:rPr>
          <w:rFonts w:hint="eastAsia" w:ascii="宋体" w:hAnsi="宋体" w:cs="微软雅黑"/>
          <w:color w:val="auto"/>
          <w:sz w:val="24"/>
          <w:szCs w:val="24"/>
        </w:rPr>
        <w:t>，从业人员</w:t>
      </w:r>
      <w:r>
        <w:rPr>
          <w:rFonts w:hint="eastAsia" w:ascii="宋体" w:hAnsi="宋体"/>
          <w:color w:val="auto"/>
          <w:sz w:val="24"/>
          <w:szCs w:val="24"/>
          <w:u w:val="single"/>
        </w:rPr>
        <w:t xml:space="preserve">     </w:t>
      </w:r>
      <w:r>
        <w:rPr>
          <w:rFonts w:hint="eastAsia" w:ascii="宋体" w:hAnsi="宋体" w:cs="微软雅黑"/>
          <w:color w:val="auto"/>
          <w:sz w:val="24"/>
          <w:szCs w:val="24"/>
        </w:rPr>
        <w:t>人，营业收入为</w:t>
      </w:r>
      <w:r>
        <w:rPr>
          <w:rFonts w:hint="eastAsia" w:ascii="宋体" w:hAnsi="宋体"/>
          <w:color w:val="auto"/>
          <w:sz w:val="24"/>
          <w:szCs w:val="24"/>
          <w:u w:val="single"/>
        </w:rPr>
        <w:t xml:space="preserve">     </w:t>
      </w:r>
      <w:r>
        <w:rPr>
          <w:rFonts w:hint="eastAsia" w:ascii="宋体" w:hAnsi="宋体" w:cs="微软雅黑"/>
          <w:color w:val="auto"/>
          <w:sz w:val="24"/>
          <w:szCs w:val="24"/>
        </w:rPr>
        <w:t>万元，资产总额为</w:t>
      </w:r>
      <w:r>
        <w:rPr>
          <w:rFonts w:hint="eastAsia" w:ascii="宋体" w:hAnsi="宋体"/>
          <w:color w:val="auto"/>
          <w:sz w:val="24"/>
          <w:szCs w:val="24"/>
          <w:u w:val="single"/>
        </w:rPr>
        <w:t xml:space="preserve">     </w:t>
      </w:r>
      <w:r>
        <w:rPr>
          <w:rFonts w:hint="eastAsia" w:ascii="宋体" w:hAnsi="宋体" w:cs="微软雅黑"/>
          <w:color w:val="auto"/>
          <w:sz w:val="24"/>
          <w:szCs w:val="24"/>
        </w:rPr>
        <w:t>万元，属于</w:t>
      </w:r>
      <w:r>
        <w:rPr>
          <w:rFonts w:hint="eastAsia" w:ascii="宋体" w:hAnsi="宋体"/>
          <w:color w:val="auto"/>
          <w:sz w:val="24"/>
          <w:szCs w:val="24"/>
          <w:u w:val="single" w:color="000000"/>
        </w:rPr>
        <w:t>（中型企业、小型企业、微型企业）。</w:t>
      </w:r>
    </w:p>
    <w:p w14:paraId="4832178D">
      <w:pPr>
        <w:spacing w:line="400" w:lineRule="exact"/>
        <w:ind w:firstLine="480" w:firstLineChars="200"/>
        <w:rPr>
          <w:rFonts w:ascii="宋体" w:hAnsi="宋体"/>
          <w:color w:val="auto"/>
          <w:sz w:val="24"/>
          <w:szCs w:val="24"/>
        </w:rPr>
      </w:pPr>
      <w:r>
        <w:rPr>
          <w:rFonts w:hint="eastAsia" w:ascii="宋体" w:hAnsi="宋体"/>
          <w:color w:val="auto"/>
          <w:sz w:val="24"/>
          <w:szCs w:val="24"/>
        </w:rPr>
        <w:t>为本标的提供的服务人员</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人，其中与本企业签订劳动合同</w:t>
      </w:r>
      <w:r>
        <w:rPr>
          <w:rFonts w:hint="eastAsia" w:ascii="宋体" w:hAnsi="宋体"/>
          <w:color w:val="auto"/>
          <w:sz w:val="24"/>
          <w:szCs w:val="24"/>
          <w:u w:val="single"/>
        </w:rPr>
        <w:t xml:space="preserve">     </w:t>
      </w:r>
      <w:r>
        <w:rPr>
          <w:rFonts w:hint="eastAsia" w:ascii="宋体" w:hAnsi="宋体"/>
          <w:color w:val="auto"/>
          <w:sz w:val="24"/>
          <w:szCs w:val="24"/>
        </w:rPr>
        <w:t>人，其他人员</w:t>
      </w:r>
    </w:p>
    <w:p w14:paraId="56089FEE">
      <w:pPr>
        <w:spacing w:line="400" w:lineRule="exact"/>
        <w:rPr>
          <w:rFonts w:ascii="宋体" w:hAnsi="宋体"/>
          <w:b/>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人。</w:t>
      </w:r>
      <w:r>
        <w:rPr>
          <w:rFonts w:hint="eastAsia" w:ascii="宋体" w:hAnsi="宋体"/>
          <w:b/>
          <w:color w:val="auto"/>
          <w:sz w:val="24"/>
          <w:szCs w:val="24"/>
        </w:rPr>
        <w:t>有其他人员的不符合中小企业扶持政策。</w:t>
      </w:r>
    </w:p>
    <w:p w14:paraId="1C610614">
      <w:pPr>
        <w:spacing w:line="400" w:lineRule="exact"/>
        <w:ind w:firstLine="480" w:firstLineChars="200"/>
        <w:rPr>
          <w:rFonts w:ascii="宋体" w:hAnsi="宋体"/>
          <w:color w:val="auto"/>
          <w:sz w:val="24"/>
          <w:szCs w:val="24"/>
          <w:u w:val="single" w:color="000000"/>
        </w:rPr>
      </w:pPr>
      <w:r>
        <w:rPr>
          <w:rFonts w:hint="eastAsia" w:ascii="宋体" w:hAnsi="宋体"/>
          <w:color w:val="auto"/>
          <w:sz w:val="24"/>
          <w:szCs w:val="24"/>
        </w:rPr>
        <w:t xml:space="preserve">2. </w:t>
      </w:r>
      <w:r>
        <w:rPr>
          <w:rFonts w:hint="eastAsia" w:ascii="宋体" w:hAnsi="宋体"/>
          <w:color w:val="auto"/>
          <w:sz w:val="24"/>
          <w:szCs w:val="24"/>
          <w:u w:val="single"/>
        </w:rPr>
        <w:t>（标的名称）</w:t>
      </w:r>
      <w:r>
        <w:rPr>
          <w:rFonts w:hint="eastAsia" w:ascii="宋体" w:hAnsi="宋体"/>
          <w:color w:val="auto"/>
          <w:sz w:val="24"/>
          <w:szCs w:val="24"/>
        </w:rPr>
        <w:t>，属于</w:t>
      </w:r>
      <w:r>
        <w:rPr>
          <w:rFonts w:hint="eastAsia" w:ascii="宋体" w:hAnsi="宋体"/>
          <w:color w:val="auto"/>
          <w:sz w:val="24"/>
          <w:szCs w:val="24"/>
          <w:u w:val="single"/>
        </w:rPr>
        <w:t>（采购文件中明确的所属行业）</w:t>
      </w:r>
      <w:r>
        <w:rPr>
          <w:rFonts w:hint="eastAsia" w:ascii="宋体" w:hAnsi="宋体"/>
          <w:color w:val="auto"/>
          <w:sz w:val="24"/>
          <w:szCs w:val="24"/>
        </w:rPr>
        <w:t>；承接企业为</w:t>
      </w:r>
      <w:r>
        <w:rPr>
          <w:rFonts w:hint="eastAsia" w:ascii="宋体" w:hAnsi="宋体"/>
          <w:color w:val="auto"/>
          <w:sz w:val="24"/>
          <w:szCs w:val="24"/>
          <w:u w:val="single"/>
        </w:rPr>
        <w:t>（企业名称）</w:t>
      </w:r>
      <w:r>
        <w:rPr>
          <w:rFonts w:hint="eastAsia" w:ascii="宋体" w:hAnsi="宋体"/>
          <w:color w:val="auto"/>
          <w:sz w:val="24"/>
          <w:szCs w:val="24"/>
        </w:rPr>
        <w:t>，</w:t>
      </w:r>
      <w:r>
        <w:rPr>
          <w:rFonts w:hint="eastAsia" w:ascii="宋体" w:hAnsi="宋体" w:cs="微软雅黑"/>
          <w:color w:val="auto"/>
          <w:sz w:val="24"/>
          <w:szCs w:val="24"/>
        </w:rPr>
        <w:t>从业人员</w:t>
      </w:r>
      <w:r>
        <w:rPr>
          <w:rFonts w:hint="eastAsia" w:ascii="宋体" w:hAnsi="宋体"/>
          <w:color w:val="auto"/>
          <w:sz w:val="24"/>
          <w:szCs w:val="24"/>
          <w:u w:val="single"/>
        </w:rPr>
        <w:t xml:space="preserve">      </w:t>
      </w:r>
      <w:r>
        <w:rPr>
          <w:rFonts w:hint="eastAsia" w:ascii="宋体" w:hAnsi="宋体" w:cs="微软雅黑"/>
          <w:color w:val="auto"/>
          <w:sz w:val="24"/>
          <w:szCs w:val="24"/>
        </w:rPr>
        <w:t>人，营业收入为</w:t>
      </w:r>
      <w:r>
        <w:rPr>
          <w:rFonts w:hint="eastAsia" w:ascii="宋体" w:hAnsi="宋体"/>
          <w:color w:val="auto"/>
          <w:sz w:val="24"/>
          <w:szCs w:val="24"/>
          <w:u w:val="single"/>
        </w:rPr>
        <w:t xml:space="preserve">     </w:t>
      </w:r>
      <w:r>
        <w:rPr>
          <w:rFonts w:hint="eastAsia" w:ascii="宋体" w:hAnsi="宋体" w:cs="微软雅黑"/>
          <w:color w:val="auto"/>
          <w:sz w:val="24"/>
          <w:szCs w:val="24"/>
        </w:rPr>
        <w:t>万元，资产总额为</w:t>
      </w:r>
      <w:r>
        <w:rPr>
          <w:rFonts w:hint="eastAsia" w:ascii="宋体" w:hAnsi="宋体"/>
          <w:color w:val="auto"/>
          <w:sz w:val="24"/>
          <w:szCs w:val="24"/>
          <w:u w:val="single"/>
        </w:rPr>
        <w:t xml:space="preserve">     </w:t>
      </w:r>
      <w:r>
        <w:rPr>
          <w:rFonts w:hint="eastAsia" w:ascii="宋体" w:hAnsi="宋体" w:cs="微软雅黑"/>
          <w:color w:val="auto"/>
          <w:sz w:val="24"/>
          <w:szCs w:val="24"/>
        </w:rPr>
        <w:t xml:space="preserve">万元，属于 </w:t>
      </w:r>
      <w:r>
        <w:rPr>
          <w:rFonts w:hint="eastAsia" w:ascii="宋体" w:hAnsi="宋体"/>
          <w:color w:val="auto"/>
          <w:sz w:val="24"/>
          <w:szCs w:val="24"/>
          <w:u w:val="single" w:color="000000"/>
        </w:rPr>
        <w:t>（中型企业、小型企业、微型企业）。</w:t>
      </w:r>
    </w:p>
    <w:p w14:paraId="437F4160">
      <w:pPr>
        <w:spacing w:line="400" w:lineRule="exact"/>
        <w:ind w:firstLine="480" w:firstLineChars="200"/>
        <w:rPr>
          <w:rFonts w:ascii="宋体" w:hAnsi="宋体"/>
          <w:color w:val="auto"/>
          <w:sz w:val="24"/>
          <w:szCs w:val="24"/>
        </w:rPr>
      </w:pPr>
      <w:r>
        <w:rPr>
          <w:rFonts w:hint="eastAsia" w:ascii="宋体" w:hAnsi="宋体"/>
          <w:color w:val="auto"/>
          <w:sz w:val="24"/>
          <w:szCs w:val="24"/>
        </w:rPr>
        <w:t>为本标的提供的服务人员</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人，其中与本企业签订劳动合同</w:t>
      </w:r>
      <w:r>
        <w:rPr>
          <w:rFonts w:hint="eastAsia" w:ascii="宋体" w:hAnsi="宋体"/>
          <w:color w:val="auto"/>
          <w:sz w:val="24"/>
          <w:szCs w:val="24"/>
          <w:u w:val="single"/>
        </w:rPr>
        <w:t xml:space="preserve">     </w:t>
      </w:r>
      <w:r>
        <w:rPr>
          <w:rFonts w:hint="eastAsia" w:ascii="宋体" w:hAnsi="宋体"/>
          <w:color w:val="auto"/>
          <w:sz w:val="24"/>
          <w:szCs w:val="24"/>
        </w:rPr>
        <w:t>人，其他人员</w:t>
      </w:r>
    </w:p>
    <w:p w14:paraId="0AECD0CE">
      <w:pPr>
        <w:spacing w:line="400" w:lineRule="exact"/>
        <w:rPr>
          <w:rFonts w:ascii="宋体" w:hAnsi="宋体"/>
          <w:b/>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人。</w:t>
      </w:r>
      <w:r>
        <w:rPr>
          <w:rFonts w:hint="eastAsia" w:ascii="宋体" w:hAnsi="宋体"/>
          <w:b/>
          <w:color w:val="auto"/>
          <w:sz w:val="24"/>
          <w:szCs w:val="24"/>
        </w:rPr>
        <w:t>有其他人员的不符合中小企业扶持政策。</w:t>
      </w:r>
    </w:p>
    <w:p w14:paraId="40115381">
      <w:pPr>
        <w:spacing w:line="400" w:lineRule="exact"/>
        <w:ind w:firstLine="480" w:firstLineChars="200"/>
        <w:rPr>
          <w:rFonts w:ascii="宋体" w:hAnsi="宋体" w:cs="微软雅黑"/>
          <w:color w:val="auto"/>
          <w:sz w:val="24"/>
          <w:szCs w:val="24"/>
        </w:rPr>
      </w:pPr>
      <w:r>
        <w:rPr>
          <w:rFonts w:hint="eastAsia" w:ascii="宋体" w:hAnsi="宋体" w:cs="微软雅黑"/>
          <w:color w:val="auto"/>
          <w:sz w:val="24"/>
          <w:szCs w:val="24"/>
        </w:rPr>
        <w:t>……</w:t>
      </w:r>
    </w:p>
    <w:p w14:paraId="711A11FF">
      <w:pPr>
        <w:spacing w:line="400" w:lineRule="exact"/>
        <w:ind w:firstLine="696"/>
        <w:rPr>
          <w:rFonts w:ascii="宋体" w:hAnsi="宋体"/>
          <w:color w:val="auto"/>
          <w:sz w:val="24"/>
          <w:szCs w:val="24"/>
        </w:rPr>
      </w:pPr>
      <w:r>
        <w:rPr>
          <w:rFonts w:hint="eastAsia" w:ascii="宋体" w:hAnsi="宋体" w:cs="微软雅黑"/>
          <w:color w:val="auto"/>
          <w:sz w:val="24"/>
          <w:szCs w:val="24"/>
        </w:rPr>
        <w:t>以上企业，不属于大企业的分支机构，不存在控股股东为大企业的情形，也不存在与大企业的负责人为同一人的情形。</w:t>
      </w:r>
    </w:p>
    <w:p w14:paraId="34E35DA6">
      <w:pPr>
        <w:spacing w:line="400" w:lineRule="exact"/>
        <w:ind w:firstLine="619"/>
        <w:rPr>
          <w:rFonts w:ascii="宋体" w:hAnsi="宋体"/>
          <w:color w:val="auto"/>
          <w:sz w:val="24"/>
          <w:szCs w:val="24"/>
        </w:rPr>
      </w:pPr>
      <w:r>
        <w:rPr>
          <w:rFonts w:hint="eastAsia" w:ascii="宋体" w:hAnsi="宋体" w:cs="微软雅黑"/>
          <w:color w:val="auto"/>
          <w:sz w:val="24"/>
          <w:szCs w:val="24"/>
        </w:rPr>
        <w:t>本企业对上述声明内容的真实性负责。如有虚假，将依法承担相应责任。</w:t>
      </w:r>
    </w:p>
    <w:p w14:paraId="37C23B2C">
      <w:pPr>
        <w:spacing w:line="400" w:lineRule="exact"/>
        <w:ind w:firstLine="3120" w:firstLineChars="1300"/>
        <w:rPr>
          <w:rFonts w:ascii="宋体" w:hAnsi="宋体" w:cs="微软雅黑"/>
          <w:color w:val="auto"/>
          <w:sz w:val="24"/>
          <w:szCs w:val="24"/>
        </w:rPr>
      </w:pPr>
    </w:p>
    <w:p w14:paraId="22619337">
      <w:pPr>
        <w:spacing w:line="400" w:lineRule="exact"/>
        <w:ind w:firstLine="3120" w:firstLineChars="1300"/>
        <w:jc w:val="right"/>
        <w:rPr>
          <w:rFonts w:ascii="宋体" w:hAnsi="宋体"/>
          <w:color w:val="auto"/>
          <w:sz w:val="24"/>
          <w:szCs w:val="24"/>
        </w:rPr>
      </w:pPr>
      <w:r>
        <w:rPr>
          <w:rFonts w:hint="eastAsia" w:ascii="宋体" w:hAnsi="宋体" w:cs="微软雅黑"/>
          <w:color w:val="auto"/>
          <w:sz w:val="24"/>
          <w:szCs w:val="24"/>
        </w:rPr>
        <w:t>企业名称（盖章）：</w:t>
      </w:r>
    </w:p>
    <w:p w14:paraId="670D6EBB">
      <w:pPr>
        <w:spacing w:line="400" w:lineRule="exact"/>
        <w:ind w:firstLine="3120" w:firstLineChars="1300"/>
        <w:jc w:val="right"/>
        <w:rPr>
          <w:rFonts w:ascii="宋体" w:hAnsi="宋体"/>
          <w:color w:val="auto"/>
          <w:sz w:val="24"/>
          <w:szCs w:val="24"/>
        </w:rPr>
      </w:pPr>
      <w:r>
        <w:rPr>
          <w:rFonts w:hint="eastAsia" w:ascii="宋体" w:hAnsi="宋体" w:cs="微软雅黑"/>
          <w:color w:val="auto"/>
          <w:sz w:val="24"/>
          <w:szCs w:val="24"/>
        </w:rPr>
        <w:t>日 期：</w:t>
      </w:r>
    </w:p>
    <w:p w14:paraId="11CA0F26">
      <w:pPr>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 xml:space="preserve">                                        </w:t>
      </w:r>
    </w:p>
    <w:p w14:paraId="67261FFE">
      <w:pPr>
        <w:snapToGrid w:val="0"/>
        <w:spacing w:line="420" w:lineRule="exact"/>
        <w:rPr>
          <w:rFonts w:ascii="宋体" w:hAnsi="宋体" w:cs="宋体"/>
          <w:color w:val="auto"/>
          <w:kern w:val="0"/>
          <w:sz w:val="21"/>
          <w:szCs w:val="21"/>
        </w:rPr>
      </w:pPr>
      <w:r>
        <w:rPr>
          <w:rFonts w:hint="eastAsia" w:ascii="宋体" w:hAnsi="宋体" w:cs="宋体"/>
          <w:color w:val="auto"/>
          <w:kern w:val="0"/>
          <w:sz w:val="21"/>
          <w:szCs w:val="21"/>
        </w:rPr>
        <w:t>填写时应注意以下事项：</w:t>
      </w:r>
    </w:p>
    <w:p w14:paraId="4B8F6B66">
      <w:pPr>
        <w:snapToGrid w:val="0"/>
        <w:spacing w:line="420" w:lineRule="exact"/>
        <w:ind w:firstLine="420" w:firstLineChars="200"/>
        <w:rPr>
          <w:rFonts w:ascii="宋体" w:hAnsi="宋体" w:cs="宋体"/>
          <w:color w:val="auto"/>
          <w:kern w:val="0"/>
          <w:sz w:val="21"/>
          <w:szCs w:val="21"/>
        </w:rPr>
      </w:pPr>
      <w:r>
        <w:rPr>
          <w:rFonts w:hint="eastAsia" w:ascii="宋体" w:hAnsi="宋体" w:cs="宋体"/>
          <w:color w:val="auto"/>
          <w:kern w:val="0"/>
          <w:sz w:val="21"/>
          <w:szCs w:val="21"/>
        </w:rPr>
        <w:t>1.从业人员、营业收入、资产总额填报上一年度数据，无上一年度数据的新成立企业可不填报。</w:t>
      </w:r>
    </w:p>
    <w:p w14:paraId="50801239">
      <w:pPr>
        <w:snapToGrid w:val="0"/>
        <w:spacing w:line="420" w:lineRule="exact"/>
        <w:ind w:firstLine="420" w:firstLineChars="200"/>
        <w:rPr>
          <w:rFonts w:ascii="宋体" w:hAnsi="宋体" w:cs="宋体"/>
          <w:color w:val="auto"/>
          <w:kern w:val="0"/>
          <w:sz w:val="21"/>
          <w:szCs w:val="21"/>
        </w:rPr>
      </w:pPr>
      <w:r>
        <w:rPr>
          <w:rFonts w:hint="eastAsia" w:ascii="宋体" w:hAnsi="宋体" w:cs="宋体"/>
          <w:color w:val="auto"/>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1AC0E00F">
      <w:pPr>
        <w:snapToGrid w:val="0"/>
        <w:spacing w:line="420" w:lineRule="exact"/>
        <w:ind w:firstLine="420" w:firstLineChars="200"/>
        <w:rPr>
          <w:rFonts w:ascii="宋体" w:hAnsi="宋体" w:cs="宋体"/>
          <w:color w:val="auto"/>
          <w:kern w:val="0"/>
          <w:sz w:val="21"/>
          <w:szCs w:val="21"/>
        </w:rPr>
      </w:pPr>
      <w:r>
        <w:rPr>
          <w:rFonts w:hint="eastAsia" w:ascii="宋体" w:hAnsi="宋体" w:cs="宋体"/>
          <w:color w:val="auto"/>
          <w:kern w:val="0"/>
          <w:sz w:val="21"/>
          <w:szCs w:val="21"/>
        </w:rPr>
        <w:t>3.中小企业应当按照《中小企业划型标准规定》（工信部联企业〔2011〕300号），如实填写并提交《中小企业声明函》。</w:t>
      </w:r>
    </w:p>
    <w:p w14:paraId="026411C1">
      <w:pPr>
        <w:snapToGrid w:val="0"/>
        <w:spacing w:line="420" w:lineRule="exact"/>
        <w:ind w:firstLine="420" w:firstLineChars="200"/>
        <w:jc w:val="left"/>
        <w:rPr>
          <w:rFonts w:ascii="宋体" w:hAnsi="宋体"/>
          <w:b/>
          <w:bCs/>
          <w:color w:val="auto"/>
          <w:sz w:val="21"/>
          <w:szCs w:val="21"/>
        </w:rPr>
      </w:pPr>
      <w:r>
        <w:rPr>
          <w:rFonts w:hint="eastAsia" w:ascii="宋体" w:hAnsi="宋体"/>
          <w:b/>
          <w:bCs/>
          <w:color w:val="auto"/>
          <w:sz w:val="21"/>
          <w:szCs w:val="21"/>
        </w:rPr>
        <w:t>注：各行业划型标准：</w:t>
      </w:r>
    </w:p>
    <w:p w14:paraId="2456835B">
      <w:pPr>
        <w:tabs>
          <w:tab w:val="left" w:pos="6300"/>
        </w:tabs>
        <w:snapToGrid w:val="0"/>
        <w:spacing w:line="400" w:lineRule="exact"/>
        <w:ind w:firstLine="420" w:firstLineChars="200"/>
        <w:jc w:val="left"/>
        <w:rPr>
          <w:rFonts w:ascii="宋体" w:hAnsi="宋体"/>
          <w:color w:val="auto"/>
          <w:sz w:val="21"/>
          <w:szCs w:val="21"/>
        </w:rPr>
      </w:pPr>
      <w:bookmarkStart w:id="170" w:name="_Hlk80349109"/>
      <w:r>
        <w:rPr>
          <w:rFonts w:hint="eastAsia" w:ascii="宋体" w:hAnsi="宋体"/>
          <w:color w:val="auto"/>
          <w:sz w:val="21"/>
          <w:szCs w:val="21"/>
        </w:rPr>
        <w:t>（一）农、林、牧、渔业。营业收入20000万元以下的为中小微型企业。其中，营业收入500万元及以上的为中型企业，营业收入50万元及以上的为小型企业，营业收入50万元以下的为微型企业。</w:t>
      </w:r>
    </w:p>
    <w:p w14:paraId="19B43F8D">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C4170D3">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B970B42">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3CFB27F">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F920B38">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3C8EEC9">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28CD2B7">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511DA5B">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FAE4CC">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40E2496">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8A43A57">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22F6420">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D6077C6">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BF9345E">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28CF6F8">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70"/>
    <w:p w14:paraId="60ED19C0">
      <w:pPr>
        <w:tabs>
          <w:tab w:val="left" w:pos="6300"/>
        </w:tabs>
        <w:snapToGrid w:val="0"/>
        <w:spacing w:line="400" w:lineRule="exact"/>
        <w:jc w:val="left"/>
        <w:rPr>
          <w:rFonts w:ascii="宋体" w:hAnsi="宋体"/>
          <w:color w:val="auto"/>
          <w:sz w:val="21"/>
          <w:szCs w:val="21"/>
        </w:rPr>
      </w:pPr>
    </w:p>
    <w:p w14:paraId="456CCE0E">
      <w:pPr>
        <w:tabs>
          <w:tab w:val="left" w:pos="6300"/>
        </w:tabs>
        <w:snapToGrid w:val="0"/>
        <w:spacing w:line="360" w:lineRule="auto"/>
        <w:ind w:firstLine="480" w:firstLineChars="200"/>
        <w:rPr>
          <w:rFonts w:ascii="宋体" w:hAnsi="宋体"/>
          <w:color w:val="auto"/>
          <w:sz w:val="24"/>
          <w:szCs w:val="24"/>
        </w:rPr>
      </w:pPr>
      <w:r>
        <w:rPr>
          <w:rFonts w:ascii="宋体" w:hAnsi="宋体"/>
          <w:color w:val="auto"/>
          <w:sz w:val="24"/>
          <w:szCs w:val="24"/>
        </w:rPr>
        <w:br w:type="page"/>
      </w:r>
      <w:r>
        <w:rPr>
          <w:rFonts w:hint="eastAsia" w:ascii="宋体" w:hAnsi="宋体"/>
          <w:color w:val="auto"/>
          <w:sz w:val="24"/>
          <w:szCs w:val="24"/>
        </w:rPr>
        <w:t>（2）监狱企业证明文件</w:t>
      </w:r>
    </w:p>
    <w:p w14:paraId="23DA69F4">
      <w:pPr>
        <w:tabs>
          <w:tab w:val="left" w:pos="6300"/>
        </w:tabs>
        <w:snapToGrid w:val="0"/>
        <w:spacing w:line="360" w:lineRule="auto"/>
        <w:ind w:firstLine="480" w:firstLineChars="200"/>
        <w:rPr>
          <w:rFonts w:ascii="宋体" w:hAnsi="宋体"/>
          <w:color w:val="auto"/>
          <w:sz w:val="29"/>
          <w:szCs w:val="29"/>
        </w:rPr>
      </w:pPr>
      <w:r>
        <w:rPr>
          <w:rFonts w:hint="eastAsia" w:ascii="宋体" w:hAnsi="宋体"/>
          <w:color w:val="auto"/>
          <w:sz w:val="24"/>
          <w:szCs w:val="24"/>
        </w:rPr>
        <w:t>以省级以上监狱管理局、戒毒管理局（含新疆生产建设兵团）出具的属于监狱企业的证明文件为准</w:t>
      </w:r>
      <w:r>
        <w:rPr>
          <w:rFonts w:hint="eastAsia" w:ascii="宋体" w:hAnsi="宋体"/>
          <w:color w:val="auto"/>
          <w:sz w:val="29"/>
          <w:szCs w:val="29"/>
        </w:rPr>
        <w:t>。</w:t>
      </w:r>
    </w:p>
    <w:p w14:paraId="26AABD2B">
      <w:pPr>
        <w:tabs>
          <w:tab w:val="left" w:pos="6300"/>
        </w:tabs>
        <w:snapToGrid w:val="0"/>
        <w:spacing w:line="360" w:lineRule="auto"/>
        <w:ind w:firstLine="580" w:firstLineChars="200"/>
        <w:rPr>
          <w:rFonts w:ascii="宋体" w:hAnsi="宋体"/>
          <w:color w:val="auto"/>
          <w:sz w:val="29"/>
          <w:szCs w:val="29"/>
        </w:rPr>
      </w:pPr>
    </w:p>
    <w:p w14:paraId="585CFE97">
      <w:pPr>
        <w:tabs>
          <w:tab w:val="left" w:pos="6300"/>
        </w:tabs>
        <w:snapToGrid w:val="0"/>
        <w:spacing w:line="360" w:lineRule="auto"/>
        <w:ind w:firstLine="580" w:firstLineChars="200"/>
        <w:rPr>
          <w:rFonts w:ascii="宋体" w:hAnsi="宋体"/>
          <w:color w:val="auto"/>
          <w:sz w:val="29"/>
          <w:szCs w:val="29"/>
        </w:rPr>
      </w:pPr>
    </w:p>
    <w:p w14:paraId="60DEFC96">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（3）残疾人福利性单位声明函（格式）</w:t>
      </w:r>
    </w:p>
    <w:p w14:paraId="5A9C6ECD">
      <w:pPr>
        <w:tabs>
          <w:tab w:val="left" w:pos="6300"/>
        </w:tabs>
        <w:snapToGrid w:val="0"/>
        <w:spacing w:line="360" w:lineRule="auto"/>
        <w:ind w:firstLine="560" w:firstLineChars="200"/>
        <w:jc w:val="center"/>
        <w:rPr>
          <w:rFonts w:ascii="宋体" w:hAnsi="宋体"/>
          <w:color w:val="auto"/>
          <w:szCs w:val="28"/>
        </w:rPr>
      </w:pPr>
      <w:r>
        <w:rPr>
          <w:rFonts w:hint="eastAsia" w:ascii="宋体" w:hAnsi="宋体"/>
          <w:color w:val="auto"/>
          <w:szCs w:val="28"/>
        </w:rPr>
        <w:t>残疾人福利性单位声明函</w:t>
      </w:r>
    </w:p>
    <w:p w14:paraId="58E52CB4">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057F4DA">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本单位对上述声明的真实性负责。如有虚假，将依法承担相应责任。</w:t>
      </w:r>
    </w:p>
    <w:p w14:paraId="2D2C289C">
      <w:pPr>
        <w:tabs>
          <w:tab w:val="left" w:pos="6300"/>
        </w:tabs>
        <w:snapToGrid w:val="0"/>
        <w:spacing w:line="360" w:lineRule="auto"/>
        <w:ind w:firstLine="480" w:firstLineChars="200"/>
        <w:rPr>
          <w:rFonts w:ascii="宋体" w:hAnsi="宋体"/>
          <w:color w:val="auto"/>
          <w:sz w:val="24"/>
        </w:rPr>
      </w:pPr>
    </w:p>
    <w:p w14:paraId="32557477">
      <w:pPr>
        <w:tabs>
          <w:tab w:val="left" w:pos="6300"/>
        </w:tabs>
        <w:snapToGrid w:val="0"/>
        <w:spacing w:line="360" w:lineRule="auto"/>
        <w:ind w:firstLine="480" w:firstLineChars="200"/>
        <w:rPr>
          <w:rFonts w:ascii="宋体" w:hAnsi="宋体"/>
          <w:color w:val="auto"/>
          <w:sz w:val="24"/>
        </w:rPr>
      </w:pPr>
    </w:p>
    <w:p w14:paraId="076F47F7">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 xml:space="preserve">                                                  供应商名称（盖章）：</w:t>
      </w:r>
    </w:p>
    <w:p w14:paraId="461A0B8A">
      <w:pPr>
        <w:tabs>
          <w:tab w:val="left" w:pos="6300"/>
        </w:tabs>
        <w:snapToGrid w:val="0"/>
        <w:spacing w:line="360" w:lineRule="auto"/>
        <w:ind w:firstLine="570"/>
        <w:jc w:val="left"/>
        <w:rPr>
          <w:rFonts w:ascii="宋体" w:hAnsi="宋体"/>
          <w:color w:val="auto"/>
        </w:rPr>
      </w:pPr>
      <w:r>
        <w:rPr>
          <w:rFonts w:hint="eastAsia" w:ascii="宋体" w:hAnsi="宋体"/>
          <w:color w:val="auto"/>
          <w:sz w:val="24"/>
        </w:rPr>
        <w:t xml:space="preserve">                                                  日  期：</w:t>
      </w:r>
    </w:p>
    <w:p w14:paraId="64269186">
      <w:pPr>
        <w:tabs>
          <w:tab w:val="left" w:pos="6300"/>
        </w:tabs>
        <w:snapToGrid w:val="0"/>
        <w:spacing w:line="500" w:lineRule="exact"/>
        <w:jc w:val="left"/>
        <w:rPr>
          <w:rFonts w:ascii="宋体" w:hAnsi="宋体"/>
          <w:color w:val="auto"/>
        </w:rPr>
      </w:pPr>
    </w:p>
    <w:p w14:paraId="1B3ED95A">
      <w:pPr>
        <w:tabs>
          <w:tab w:val="left" w:pos="6300"/>
        </w:tabs>
        <w:snapToGrid w:val="0"/>
        <w:spacing w:line="500" w:lineRule="exact"/>
        <w:ind w:firstLine="570"/>
        <w:jc w:val="left"/>
        <w:rPr>
          <w:rFonts w:ascii="宋体" w:hAnsi="宋体"/>
          <w:color w:val="auto"/>
          <w:sz w:val="24"/>
          <w:szCs w:val="24"/>
        </w:rPr>
      </w:pPr>
      <w:r>
        <w:rPr>
          <w:rFonts w:hint="eastAsia" w:ascii="宋体" w:hAnsi="宋体"/>
          <w:color w:val="auto"/>
          <w:sz w:val="24"/>
          <w:szCs w:val="24"/>
        </w:rPr>
        <w:t>若成交供应商为残疾人福利性单位的，将在结果公告时公告其《残疾人福利性单位声明函》。</w:t>
      </w:r>
    </w:p>
    <w:p w14:paraId="30E45E58">
      <w:pPr>
        <w:tabs>
          <w:tab w:val="left" w:pos="6300"/>
        </w:tabs>
        <w:snapToGrid w:val="0"/>
        <w:spacing w:line="500" w:lineRule="exact"/>
        <w:jc w:val="left"/>
        <w:rPr>
          <w:rFonts w:ascii="宋体" w:hAnsi="宋体"/>
          <w:color w:val="auto"/>
        </w:rPr>
      </w:pPr>
    </w:p>
    <w:p w14:paraId="75BFB707">
      <w:pPr>
        <w:tabs>
          <w:tab w:val="left" w:pos="6300"/>
        </w:tabs>
        <w:snapToGrid w:val="0"/>
        <w:spacing w:line="500" w:lineRule="exact"/>
        <w:jc w:val="left"/>
        <w:rPr>
          <w:rFonts w:ascii="宋体" w:hAnsi="宋体"/>
          <w:color w:val="auto"/>
        </w:rPr>
      </w:pPr>
    </w:p>
    <w:p w14:paraId="6C38ACD1">
      <w:pPr>
        <w:ind w:firstLine="480" w:firstLineChars="200"/>
        <w:jc w:val="left"/>
        <w:rPr>
          <w:rFonts w:ascii="宋体" w:hAnsi="宋体"/>
          <w:color w:val="auto"/>
          <w:sz w:val="24"/>
          <w:szCs w:val="24"/>
        </w:rPr>
      </w:pPr>
      <w:r>
        <w:rPr>
          <w:rFonts w:hint="eastAsia" w:ascii="宋体" w:hAnsi="宋体"/>
          <w:color w:val="auto"/>
          <w:sz w:val="24"/>
          <w:szCs w:val="24"/>
        </w:rPr>
        <w:t>2.其他与项目有关的资料（自附）</w:t>
      </w:r>
    </w:p>
    <w:p w14:paraId="5612BDEA">
      <w:pPr>
        <w:ind w:firstLine="480" w:firstLineChars="200"/>
        <w:jc w:val="left"/>
        <w:rPr>
          <w:rFonts w:ascii="宋体" w:hAnsi="宋体"/>
          <w:color w:val="auto"/>
          <w:sz w:val="24"/>
          <w:szCs w:val="24"/>
        </w:rPr>
      </w:pPr>
    </w:p>
    <w:p w14:paraId="6D8B832A">
      <w:pPr>
        <w:ind w:firstLine="480" w:firstLineChars="200"/>
        <w:jc w:val="left"/>
        <w:rPr>
          <w:rFonts w:ascii="宋体" w:hAnsi="宋体"/>
          <w:color w:val="auto"/>
          <w:sz w:val="24"/>
          <w:szCs w:val="24"/>
        </w:rPr>
      </w:pPr>
    </w:p>
    <w:p w14:paraId="360F0EC2">
      <w:pPr>
        <w:ind w:firstLine="480" w:firstLineChars="200"/>
        <w:jc w:val="left"/>
        <w:rPr>
          <w:rFonts w:ascii="宋体" w:hAnsi="宋体"/>
          <w:color w:val="auto"/>
          <w:sz w:val="24"/>
          <w:szCs w:val="24"/>
        </w:rPr>
      </w:pPr>
    </w:p>
    <w:p w14:paraId="544620B8">
      <w:pPr>
        <w:ind w:firstLine="480" w:firstLineChars="200"/>
        <w:jc w:val="left"/>
        <w:rPr>
          <w:rFonts w:ascii="宋体" w:hAnsi="宋体"/>
          <w:color w:val="auto"/>
          <w:sz w:val="24"/>
          <w:szCs w:val="24"/>
        </w:rPr>
      </w:pPr>
    </w:p>
    <w:p w14:paraId="505796DC">
      <w:pPr>
        <w:jc w:val="left"/>
        <w:rPr>
          <w:rFonts w:ascii="宋体" w:hAnsi="宋体"/>
          <w:color w:val="auto"/>
          <w:sz w:val="24"/>
          <w:szCs w:val="24"/>
        </w:rPr>
      </w:pPr>
    </w:p>
    <w:p w14:paraId="47DA11A1">
      <w:pPr>
        <w:tabs>
          <w:tab w:val="left" w:pos="6300"/>
        </w:tabs>
        <w:snapToGrid w:val="0"/>
        <w:spacing w:line="500" w:lineRule="exact"/>
        <w:rPr>
          <w:rFonts w:ascii="宋体" w:hAnsi="宋体"/>
          <w:color w:val="auto"/>
          <w:sz w:val="24"/>
          <w:szCs w:val="24"/>
        </w:rPr>
      </w:pPr>
    </w:p>
    <w:p w14:paraId="3607D54B">
      <w:pPr>
        <w:tabs>
          <w:tab w:val="left" w:pos="6300"/>
        </w:tabs>
        <w:snapToGrid w:val="0"/>
        <w:spacing w:line="500" w:lineRule="exact"/>
        <w:rPr>
          <w:rFonts w:ascii="宋体" w:hAnsi="宋体"/>
          <w:color w:val="auto"/>
          <w:sz w:val="24"/>
          <w:szCs w:val="24"/>
        </w:rPr>
      </w:pPr>
    </w:p>
    <w:p w14:paraId="64E94FB2">
      <w:pPr>
        <w:tabs>
          <w:tab w:val="left" w:pos="6300"/>
        </w:tabs>
        <w:snapToGrid w:val="0"/>
        <w:spacing w:line="500" w:lineRule="exact"/>
        <w:jc w:val="center"/>
        <w:rPr>
          <w:color w:val="auto"/>
          <w:sz w:val="24"/>
          <w:szCs w:val="24"/>
        </w:rPr>
      </w:pPr>
      <w:r>
        <w:rPr>
          <w:color w:val="auto"/>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PMingLiU">
    <w:altName w:val="宋体-繁"/>
    <w:panose1 w:val="02020500000000000000"/>
    <w:charset w:val="88"/>
    <w:family w:val="roman"/>
    <w:pitch w:val="default"/>
    <w:sig w:usb0="00000000" w:usb1="00000000" w:usb2="00000016" w:usb3="00000000" w:csb0="00100001"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auto"/>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文鼎粗黑">
    <w:altName w:val="汉仪中黑KW"/>
    <w:panose1 w:val="00000000000000000000"/>
    <w:charset w:val="86"/>
    <w:family w:val="auto"/>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1DF25">
    <w:pPr>
      <w:pStyle w:val="36"/>
      <w:framePr w:wrap="around" w:vAnchor="text" w:hAnchor="margin" w:xAlign="center" w:y="1"/>
      <w:rPr>
        <w:rStyle w:val="62"/>
      </w:rPr>
    </w:pPr>
    <w:r>
      <w:fldChar w:fldCharType="begin"/>
    </w:r>
    <w:r>
      <w:rPr>
        <w:rStyle w:val="62"/>
      </w:rPr>
      <w:instrText xml:space="preserve">PAGE  </w:instrText>
    </w:r>
    <w:r>
      <w:fldChar w:fldCharType="end"/>
    </w:r>
  </w:p>
  <w:p w14:paraId="07244F3D">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7104C">
    <w:pPr>
      <w:pStyle w:val="36"/>
      <w:framePr w:wrap="around" w:vAnchor="text" w:hAnchor="margin" w:xAlign="center" w:y="1"/>
      <w:rPr>
        <w:rStyle w:val="62"/>
      </w:rPr>
    </w:pPr>
  </w:p>
  <w:p w14:paraId="57093369">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008F3">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2C191518">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BCD10">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ADA11">
    <w:pPr>
      <w:pStyle w:val="36"/>
      <w:framePr w:wrap="around" w:vAnchor="text" w:hAnchor="margin" w:xAlign="center" w:y="1"/>
      <w:rPr>
        <w:rStyle w:val="62"/>
      </w:rPr>
    </w:pPr>
    <w:r>
      <w:fldChar w:fldCharType="begin"/>
    </w:r>
    <w:r>
      <w:rPr>
        <w:rStyle w:val="62"/>
      </w:rPr>
      <w:instrText xml:space="preserve">PAGE  </w:instrText>
    </w:r>
    <w:r>
      <w:fldChar w:fldCharType="end"/>
    </w:r>
  </w:p>
  <w:p w14:paraId="0F4C4196">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1D3DC">
    <w:pPr>
      <w:pStyle w:val="37"/>
      <w:jc w:val="left"/>
      <w:rPr>
        <w:rFonts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4AABC">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A6411">
    <w:pPr>
      <w:pStyle w:val="37"/>
      <w:jc w:val="left"/>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3C386">
    <w:pPr>
      <w:pStyle w:val="37"/>
      <w:jc w:val="left"/>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bordersDoNotSurroundHeader w:val="0"/>
  <w:bordersDoNotSurroundFooter w:val="0"/>
  <w:documentProtection w:enforcement="0"/>
  <w:defaultTabStop w:val="420"/>
  <w:drawingGridHorizontalSpacing w:val="12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OWZkNGMyYThlMDYxNjI3NTA5MjhmZDhkOTdjMjEifQ=="/>
  </w:docVars>
  <w:rsids>
    <w:rsidRoot w:val="00172A27"/>
    <w:rsid w:val="00000498"/>
    <w:rsid w:val="00001E90"/>
    <w:rsid w:val="00002A84"/>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576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6BF2"/>
    <w:rsid w:val="0003748C"/>
    <w:rsid w:val="00037681"/>
    <w:rsid w:val="00037D82"/>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186B"/>
    <w:rsid w:val="000519A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653"/>
    <w:rsid w:val="00083B84"/>
    <w:rsid w:val="000843B6"/>
    <w:rsid w:val="0008479F"/>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1AC6"/>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024"/>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151"/>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2A8"/>
    <w:rsid w:val="0013289E"/>
    <w:rsid w:val="001330DD"/>
    <w:rsid w:val="001333A0"/>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7C5"/>
    <w:rsid w:val="00150E1E"/>
    <w:rsid w:val="00151887"/>
    <w:rsid w:val="00151F3B"/>
    <w:rsid w:val="00151F75"/>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67C0"/>
    <w:rsid w:val="001872E3"/>
    <w:rsid w:val="001879FD"/>
    <w:rsid w:val="00187CBA"/>
    <w:rsid w:val="00187F14"/>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360"/>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9B6"/>
    <w:rsid w:val="001C6BB5"/>
    <w:rsid w:val="001C6F1E"/>
    <w:rsid w:val="001C6FA3"/>
    <w:rsid w:val="001C6FE0"/>
    <w:rsid w:val="001C7ABE"/>
    <w:rsid w:val="001C7CD2"/>
    <w:rsid w:val="001D100C"/>
    <w:rsid w:val="001D1A56"/>
    <w:rsid w:val="001D212D"/>
    <w:rsid w:val="001D22EE"/>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3A5"/>
    <w:rsid w:val="00206C70"/>
    <w:rsid w:val="002100EE"/>
    <w:rsid w:val="00210F5A"/>
    <w:rsid w:val="002111DD"/>
    <w:rsid w:val="0021305C"/>
    <w:rsid w:val="00214012"/>
    <w:rsid w:val="00216FB0"/>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52"/>
    <w:rsid w:val="00253AC1"/>
    <w:rsid w:val="00253B46"/>
    <w:rsid w:val="0025490D"/>
    <w:rsid w:val="002561E6"/>
    <w:rsid w:val="00257088"/>
    <w:rsid w:val="00257F64"/>
    <w:rsid w:val="00261083"/>
    <w:rsid w:val="00262839"/>
    <w:rsid w:val="0026365F"/>
    <w:rsid w:val="00263E6C"/>
    <w:rsid w:val="002643C1"/>
    <w:rsid w:val="00264BB5"/>
    <w:rsid w:val="00265203"/>
    <w:rsid w:val="00265498"/>
    <w:rsid w:val="002666E6"/>
    <w:rsid w:val="0026695A"/>
    <w:rsid w:val="0026699C"/>
    <w:rsid w:val="0026720A"/>
    <w:rsid w:val="00270AEA"/>
    <w:rsid w:val="00271D47"/>
    <w:rsid w:val="002721D9"/>
    <w:rsid w:val="002721EA"/>
    <w:rsid w:val="00272E62"/>
    <w:rsid w:val="00274DF0"/>
    <w:rsid w:val="002750A5"/>
    <w:rsid w:val="0027735B"/>
    <w:rsid w:val="00277641"/>
    <w:rsid w:val="002778F9"/>
    <w:rsid w:val="002805AA"/>
    <w:rsid w:val="00280D70"/>
    <w:rsid w:val="00280E8A"/>
    <w:rsid w:val="00281F3D"/>
    <w:rsid w:val="00282059"/>
    <w:rsid w:val="00282E12"/>
    <w:rsid w:val="002835BF"/>
    <w:rsid w:val="00285066"/>
    <w:rsid w:val="00285164"/>
    <w:rsid w:val="002859B4"/>
    <w:rsid w:val="00286491"/>
    <w:rsid w:val="0028767C"/>
    <w:rsid w:val="00287862"/>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538"/>
    <w:rsid w:val="002A57AD"/>
    <w:rsid w:val="002A63E5"/>
    <w:rsid w:val="002A65D6"/>
    <w:rsid w:val="002A6615"/>
    <w:rsid w:val="002A6710"/>
    <w:rsid w:val="002A722C"/>
    <w:rsid w:val="002B0354"/>
    <w:rsid w:val="002B0725"/>
    <w:rsid w:val="002B1D66"/>
    <w:rsid w:val="002B71A5"/>
    <w:rsid w:val="002B72D3"/>
    <w:rsid w:val="002B7501"/>
    <w:rsid w:val="002B780C"/>
    <w:rsid w:val="002B7904"/>
    <w:rsid w:val="002C2136"/>
    <w:rsid w:val="002C2507"/>
    <w:rsid w:val="002C2931"/>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644D"/>
    <w:rsid w:val="00317F28"/>
    <w:rsid w:val="003202F5"/>
    <w:rsid w:val="00320C41"/>
    <w:rsid w:val="0032163E"/>
    <w:rsid w:val="00322A7A"/>
    <w:rsid w:val="00323542"/>
    <w:rsid w:val="00324734"/>
    <w:rsid w:val="00324A00"/>
    <w:rsid w:val="00325296"/>
    <w:rsid w:val="0032568A"/>
    <w:rsid w:val="00326213"/>
    <w:rsid w:val="003276FD"/>
    <w:rsid w:val="00331002"/>
    <w:rsid w:val="00331E07"/>
    <w:rsid w:val="00332BE1"/>
    <w:rsid w:val="003344F6"/>
    <w:rsid w:val="003355B5"/>
    <w:rsid w:val="00335CD5"/>
    <w:rsid w:val="003369C5"/>
    <w:rsid w:val="00337753"/>
    <w:rsid w:val="00340873"/>
    <w:rsid w:val="00340ADC"/>
    <w:rsid w:val="0034102D"/>
    <w:rsid w:val="00341DEB"/>
    <w:rsid w:val="00342995"/>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0B0B"/>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71F3"/>
    <w:rsid w:val="003A7261"/>
    <w:rsid w:val="003B0C9B"/>
    <w:rsid w:val="003B13E4"/>
    <w:rsid w:val="003B19F5"/>
    <w:rsid w:val="003B227C"/>
    <w:rsid w:val="003B286E"/>
    <w:rsid w:val="003B2FDB"/>
    <w:rsid w:val="003B5E9C"/>
    <w:rsid w:val="003B63C5"/>
    <w:rsid w:val="003B6590"/>
    <w:rsid w:val="003B764A"/>
    <w:rsid w:val="003C0D5B"/>
    <w:rsid w:val="003C27CC"/>
    <w:rsid w:val="003C2A17"/>
    <w:rsid w:val="003C3A7F"/>
    <w:rsid w:val="003C3DD8"/>
    <w:rsid w:val="003C41F9"/>
    <w:rsid w:val="003C4A44"/>
    <w:rsid w:val="003C565D"/>
    <w:rsid w:val="003C6E36"/>
    <w:rsid w:val="003D0E0A"/>
    <w:rsid w:val="003D0EEB"/>
    <w:rsid w:val="003D2401"/>
    <w:rsid w:val="003D24B4"/>
    <w:rsid w:val="003D2D09"/>
    <w:rsid w:val="003D3B22"/>
    <w:rsid w:val="003D4272"/>
    <w:rsid w:val="003D4EF3"/>
    <w:rsid w:val="003D613D"/>
    <w:rsid w:val="003D6861"/>
    <w:rsid w:val="003D6BEB"/>
    <w:rsid w:val="003E0F85"/>
    <w:rsid w:val="003E153E"/>
    <w:rsid w:val="003E170A"/>
    <w:rsid w:val="003E1D0F"/>
    <w:rsid w:val="003E1FA0"/>
    <w:rsid w:val="003E2C55"/>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291"/>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0F6E"/>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6F12"/>
    <w:rsid w:val="00467750"/>
    <w:rsid w:val="00467D56"/>
    <w:rsid w:val="00470AD0"/>
    <w:rsid w:val="00471630"/>
    <w:rsid w:val="00471D38"/>
    <w:rsid w:val="004722E8"/>
    <w:rsid w:val="00472AA2"/>
    <w:rsid w:val="00474640"/>
    <w:rsid w:val="0047509D"/>
    <w:rsid w:val="004751F6"/>
    <w:rsid w:val="00475265"/>
    <w:rsid w:val="00475525"/>
    <w:rsid w:val="00476308"/>
    <w:rsid w:val="00476638"/>
    <w:rsid w:val="00477255"/>
    <w:rsid w:val="00481371"/>
    <w:rsid w:val="00482630"/>
    <w:rsid w:val="00484133"/>
    <w:rsid w:val="00484915"/>
    <w:rsid w:val="00485137"/>
    <w:rsid w:val="00485D16"/>
    <w:rsid w:val="00485FB5"/>
    <w:rsid w:val="004873A7"/>
    <w:rsid w:val="00490099"/>
    <w:rsid w:val="00490B2F"/>
    <w:rsid w:val="004920AB"/>
    <w:rsid w:val="00492C53"/>
    <w:rsid w:val="00494F23"/>
    <w:rsid w:val="004951F1"/>
    <w:rsid w:val="004953EC"/>
    <w:rsid w:val="00495DFF"/>
    <w:rsid w:val="0049692E"/>
    <w:rsid w:val="00496A05"/>
    <w:rsid w:val="004A04BC"/>
    <w:rsid w:val="004A0C58"/>
    <w:rsid w:val="004A0D29"/>
    <w:rsid w:val="004A0DE1"/>
    <w:rsid w:val="004A1022"/>
    <w:rsid w:val="004A2410"/>
    <w:rsid w:val="004A27AC"/>
    <w:rsid w:val="004A2CA3"/>
    <w:rsid w:val="004A35C8"/>
    <w:rsid w:val="004A39C4"/>
    <w:rsid w:val="004A5D69"/>
    <w:rsid w:val="004A66E6"/>
    <w:rsid w:val="004A6D0F"/>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4337"/>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4CB"/>
    <w:rsid w:val="00507A3A"/>
    <w:rsid w:val="005100B2"/>
    <w:rsid w:val="005106C5"/>
    <w:rsid w:val="005106C9"/>
    <w:rsid w:val="00510D74"/>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50"/>
    <w:rsid w:val="0052628F"/>
    <w:rsid w:val="00526885"/>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4EEF"/>
    <w:rsid w:val="00556630"/>
    <w:rsid w:val="00556913"/>
    <w:rsid w:val="00557F14"/>
    <w:rsid w:val="00560CBD"/>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8B4"/>
    <w:rsid w:val="00580E9C"/>
    <w:rsid w:val="00586976"/>
    <w:rsid w:val="005870D4"/>
    <w:rsid w:val="005902D9"/>
    <w:rsid w:val="00590D2B"/>
    <w:rsid w:val="00590FFC"/>
    <w:rsid w:val="00591444"/>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3E10"/>
    <w:rsid w:val="005A76F3"/>
    <w:rsid w:val="005A7EDA"/>
    <w:rsid w:val="005B0724"/>
    <w:rsid w:val="005B0B0E"/>
    <w:rsid w:val="005B0DD6"/>
    <w:rsid w:val="005B10BA"/>
    <w:rsid w:val="005B1351"/>
    <w:rsid w:val="005B1948"/>
    <w:rsid w:val="005B1A20"/>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A25"/>
    <w:rsid w:val="005D1DE8"/>
    <w:rsid w:val="005D1EF4"/>
    <w:rsid w:val="005D2489"/>
    <w:rsid w:val="005D37D0"/>
    <w:rsid w:val="005D4CBC"/>
    <w:rsid w:val="005D6D88"/>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437B"/>
    <w:rsid w:val="00615008"/>
    <w:rsid w:val="00617986"/>
    <w:rsid w:val="006224C8"/>
    <w:rsid w:val="00622D51"/>
    <w:rsid w:val="006230A6"/>
    <w:rsid w:val="00623A22"/>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47975"/>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67AE6"/>
    <w:rsid w:val="00670089"/>
    <w:rsid w:val="0067013B"/>
    <w:rsid w:val="00670675"/>
    <w:rsid w:val="00670803"/>
    <w:rsid w:val="006716A7"/>
    <w:rsid w:val="00671F17"/>
    <w:rsid w:val="006721AA"/>
    <w:rsid w:val="00672DAA"/>
    <w:rsid w:val="00672E9D"/>
    <w:rsid w:val="006731E7"/>
    <w:rsid w:val="006734E7"/>
    <w:rsid w:val="0067359C"/>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B4E"/>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00E"/>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6CC6"/>
    <w:rsid w:val="007077B0"/>
    <w:rsid w:val="00707988"/>
    <w:rsid w:val="00710548"/>
    <w:rsid w:val="00710E3C"/>
    <w:rsid w:val="00711109"/>
    <w:rsid w:val="0071316F"/>
    <w:rsid w:val="00713A16"/>
    <w:rsid w:val="00713F21"/>
    <w:rsid w:val="0071405B"/>
    <w:rsid w:val="0071469E"/>
    <w:rsid w:val="00715FB5"/>
    <w:rsid w:val="00716C93"/>
    <w:rsid w:val="00716D0D"/>
    <w:rsid w:val="007171A6"/>
    <w:rsid w:val="00717300"/>
    <w:rsid w:val="007177C0"/>
    <w:rsid w:val="0071799D"/>
    <w:rsid w:val="00717BD0"/>
    <w:rsid w:val="00717CFB"/>
    <w:rsid w:val="00723BB2"/>
    <w:rsid w:val="00726088"/>
    <w:rsid w:val="00726240"/>
    <w:rsid w:val="00727775"/>
    <w:rsid w:val="00727965"/>
    <w:rsid w:val="00730921"/>
    <w:rsid w:val="00730B6A"/>
    <w:rsid w:val="0073299A"/>
    <w:rsid w:val="00733E36"/>
    <w:rsid w:val="00735A2A"/>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7771D"/>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3DA"/>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5B8A"/>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1B6"/>
    <w:rsid w:val="007E3498"/>
    <w:rsid w:val="007E3571"/>
    <w:rsid w:val="007E418B"/>
    <w:rsid w:val="007E43E0"/>
    <w:rsid w:val="007E51B0"/>
    <w:rsid w:val="007E56FA"/>
    <w:rsid w:val="007E5F58"/>
    <w:rsid w:val="007E6305"/>
    <w:rsid w:val="007E63CE"/>
    <w:rsid w:val="007F029F"/>
    <w:rsid w:val="007F1587"/>
    <w:rsid w:val="007F17FC"/>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17EE0"/>
    <w:rsid w:val="0082079B"/>
    <w:rsid w:val="00820ED6"/>
    <w:rsid w:val="0082155D"/>
    <w:rsid w:val="00821EFD"/>
    <w:rsid w:val="00822448"/>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6D00"/>
    <w:rsid w:val="0086729A"/>
    <w:rsid w:val="00867C84"/>
    <w:rsid w:val="008705BC"/>
    <w:rsid w:val="0087107F"/>
    <w:rsid w:val="00871139"/>
    <w:rsid w:val="00874198"/>
    <w:rsid w:val="00874AFC"/>
    <w:rsid w:val="00874E31"/>
    <w:rsid w:val="00875667"/>
    <w:rsid w:val="00875A42"/>
    <w:rsid w:val="00875F81"/>
    <w:rsid w:val="00876CEE"/>
    <w:rsid w:val="00880BDF"/>
    <w:rsid w:val="0088114C"/>
    <w:rsid w:val="00882BE2"/>
    <w:rsid w:val="00883D64"/>
    <w:rsid w:val="008877F0"/>
    <w:rsid w:val="00887F7D"/>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3419"/>
    <w:rsid w:val="008F450F"/>
    <w:rsid w:val="008F6252"/>
    <w:rsid w:val="008F6D8C"/>
    <w:rsid w:val="008F7871"/>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B33"/>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6365"/>
    <w:rsid w:val="00977343"/>
    <w:rsid w:val="009776AE"/>
    <w:rsid w:val="00977C81"/>
    <w:rsid w:val="00980037"/>
    <w:rsid w:val="00980BDD"/>
    <w:rsid w:val="009814A6"/>
    <w:rsid w:val="00981DFD"/>
    <w:rsid w:val="00983B43"/>
    <w:rsid w:val="009844DD"/>
    <w:rsid w:val="00985462"/>
    <w:rsid w:val="00987850"/>
    <w:rsid w:val="00987DDE"/>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106"/>
    <w:rsid w:val="009B776E"/>
    <w:rsid w:val="009B7C1C"/>
    <w:rsid w:val="009C02D9"/>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5EA5"/>
    <w:rsid w:val="009D7719"/>
    <w:rsid w:val="009D7C75"/>
    <w:rsid w:val="009D7FE0"/>
    <w:rsid w:val="009E049D"/>
    <w:rsid w:val="009E0853"/>
    <w:rsid w:val="009E0EBE"/>
    <w:rsid w:val="009E17F7"/>
    <w:rsid w:val="009E28EE"/>
    <w:rsid w:val="009E49E4"/>
    <w:rsid w:val="009E4CA2"/>
    <w:rsid w:val="009E7207"/>
    <w:rsid w:val="009E7285"/>
    <w:rsid w:val="009E737D"/>
    <w:rsid w:val="009E744B"/>
    <w:rsid w:val="009E7859"/>
    <w:rsid w:val="009E7A0E"/>
    <w:rsid w:val="009E7B29"/>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744"/>
    <w:rsid w:val="00A03977"/>
    <w:rsid w:val="00A0429F"/>
    <w:rsid w:val="00A05117"/>
    <w:rsid w:val="00A05121"/>
    <w:rsid w:val="00A06E5C"/>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15BD"/>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55DA"/>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3B82"/>
    <w:rsid w:val="00AB4270"/>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2D00"/>
    <w:rsid w:val="00B031EF"/>
    <w:rsid w:val="00B032FE"/>
    <w:rsid w:val="00B03FE9"/>
    <w:rsid w:val="00B05D4B"/>
    <w:rsid w:val="00B0669E"/>
    <w:rsid w:val="00B06E1D"/>
    <w:rsid w:val="00B077BA"/>
    <w:rsid w:val="00B07EF5"/>
    <w:rsid w:val="00B07F89"/>
    <w:rsid w:val="00B10B2D"/>
    <w:rsid w:val="00B116AF"/>
    <w:rsid w:val="00B12133"/>
    <w:rsid w:val="00B126B5"/>
    <w:rsid w:val="00B14837"/>
    <w:rsid w:val="00B14C52"/>
    <w:rsid w:val="00B14C9D"/>
    <w:rsid w:val="00B14DF2"/>
    <w:rsid w:val="00B15D76"/>
    <w:rsid w:val="00B168D4"/>
    <w:rsid w:val="00B200AA"/>
    <w:rsid w:val="00B206CB"/>
    <w:rsid w:val="00B21DED"/>
    <w:rsid w:val="00B22021"/>
    <w:rsid w:val="00B230AC"/>
    <w:rsid w:val="00B23A86"/>
    <w:rsid w:val="00B23ADA"/>
    <w:rsid w:val="00B24C7E"/>
    <w:rsid w:val="00B2511D"/>
    <w:rsid w:val="00B251E0"/>
    <w:rsid w:val="00B2567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449"/>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A7490"/>
    <w:rsid w:val="00BB0DCD"/>
    <w:rsid w:val="00BB26CF"/>
    <w:rsid w:val="00BB2A53"/>
    <w:rsid w:val="00BB33DB"/>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5E75"/>
    <w:rsid w:val="00BC7413"/>
    <w:rsid w:val="00BC753C"/>
    <w:rsid w:val="00BD09AF"/>
    <w:rsid w:val="00BD136C"/>
    <w:rsid w:val="00BD4745"/>
    <w:rsid w:val="00BD4BE5"/>
    <w:rsid w:val="00BD5B3C"/>
    <w:rsid w:val="00BD75ED"/>
    <w:rsid w:val="00BE07A9"/>
    <w:rsid w:val="00BE084D"/>
    <w:rsid w:val="00BE098D"/>
    <w:rsid w:val="00BE1C35"/>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87B"/>
    <w:rsid w:val="00C1090C"/>
    <w:rsid w:val="00C1209D"/>
    <w:rsid w:val="00C13617"/>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3E25"/>
    <w:rsid w:val="00C3668D"/>
    <w:rsid w:val="00C36891"/>
    <w:rsid w:val="00C37080"/>
    <w:rsid w:val="00C37F72"/>
    <w:rsid w:val="00C37FC8"/>
    <w:rsid w:val="00C4017D"/>
    <w:rsid w:val="00C418F0"/>
    <w:rsid w:val="00C41EF6"/>
    <w:rsid w:val="00C420C1"/>
    <w:rsid w:val="00C420CD"/>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5F9E"/>
    <w:rsid w:val="00C864CE"/>
    <w:rsid w:val="00C90463"/>
    <w:rsid w:val="00C90BD4"/>
    <w:rsid w:val="00C910BE"/>
    <w:rsid w:val="00C91B52"/>
    <w:rsid w:val="00C922BE"/>
    <w:rsid w:val="00C92E16"/>
    <w:rsid w:val="00C92FBC"/>
    <w:rsid w:val="00C942D7"/>
    <w:rsid w:val="00C949A2"/>
    <w:rsid w:val="00C94B43"/>
    <w:rsid w:val="00C96A12"/>
    <w:rsid w:val="00C96EBD"/>
    <w:rsid w:val="00CA08A3"/>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3DA9"/>
    <w:rsid w:val="00CC4CE5"/>
    <w:rsid w:val="00CC59BB"/>
    <w:rsid w:val="00CC5AE5"/>
    <w:rsid w:val="00CC70BF"/>
    <w:rsid w:val="00CC7BDF"/>
    <w:rsid w:val="00CC7DC1"/>
    <w:rsid w:val="00CD08FF"/>
    <w:rsid w:val="00CD0FD9"/>
    <w:rsid w:val="00CD1274"/>
    <w:rsid w:val="00CD1A92"/>
    <w:rsid w:val="00CD2AA1"/>
    <w:rsid w:val="00CD40C9"/>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F5D"/>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17891"/>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1DF2"/>
    <w:rsid w:val="00D33AF3"/>
    <w:rsid w:val="00D33F15"/>
    <w:rsid w:val="00D363DD"/>
    <w:rsid w:val="00D36935"/>
    <w:rsid w:val="00D36BD8"/>
    <w:rsid w:val="00D36FFB"/>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36F7"/>
    <w:rsid w:val="00D54475"/>
    <w:rsid w:val="00D544F2"/>
    <w:rsid w:val="00D546AD"/>
    <w:rsid w:val="00D55A9E"/>
    <w:rsid w:val="00D55D20"/>
    <w:rsid w:val="00D57CF1"/>
    <w:rsid w:val="00D60272"/>
    <w:rsid w:val="00D612C2"/>
    <w:rsid w:val="00D61E40"/>
    <w:rsid w:val="00D64E3B"/>
    <w:rsid w:val="00D654A1"/>
    <w:rsid w:val="00D6706C"/>
    <w:rsid w:val="00D67D72"/>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60F"/>
    <w:rsid w:val="00D95D4A"/>
    <w:rsid w:val="00D95F8E"/>
    <w:rsid w:val="00D961EB"/>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C0D"/>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B76B2"/>
    <w:rsid w:val="00DC0895"/>
    <w:rsid w:val="00DC0F27"/>
    <w:rsid w:val="00DC1348"/>
    <w:rsid w:val="00DC1AC9"/>
    <w:rsid w:val="00DC25BD"/>
    <w:rsid w:val="00DC2A53"/>
    <w:rsid w:val="00DC31EF"/>
    <w:rsid w:val="00DC4714"/>
    <w:rsid w:val="00DC6214"/>
    <w:rsid w:val="00DC69E0"/>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2A"/>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30F9"/>
    <w:rsid w:val="00E14812"/>
    <w:rsid w:val="00E14DE9"/>
    <w:rsid w:val="00E15DDE"/>
    <w:rsid w:val="00E169D7"/>
    <w:rsid w:val="00E1781D"/>
    <w:rsid w:val="00E17F19"/>
    <w:rsid w:val="00E20253"/>
    <w:rsid w:val="00E2031F"/>
    <w:rsid w:val="00E218E4"/>
    <w:rsid w:val="00E2314C"/>
    <w:rsid w:val="00E2339E"/>
    <w:rsid w:val="00E234BF"/>
    <w:rsid w:val="00E234FF"/>
    <w:rsid w:val="00E238C7"/>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45F4"/>
    <w:rsid w:val="00E3504A"/>
    <w:rsid w:val="00E3707B"/>
    <w:rsid w:val="00E37E43"/>
    <w:rsid w:val="00E41568"/>
    <w:rsid w:val="00E4199A"/>
    <w:rsid w:val="00E42144"/>
    <w:rsid w:val="00E4401E"/>
    <w:rsid w:val="00E44E7A"/>
    <w:rsid w:val="00E453F7"/>
    <w:rsid w:val="00E466C6"/>
    <w:rsid w:val="00E47498"/>
    <w:rsid w:val="00E47822"/>
    <w:rsid w:val="00E478C0"/>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6775"/>
    <w:rsid w:val="00E771E2"/>
    <w:rsid w:val="00E77A80"/>
    <w:rsid w:val="00E80026"/>
    <w:rsid w:val="00E8022D"/>
    <w:rsid w:val="00E80569"/>
    <w:rsid w:val="00E807B4"/>
    <w:rsid w:val="00E82AFD"/>
    <w:rsid w:val="00E839B1"/>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6DD9"/>
    <w:rsid w:val="00EA70AE"/>
    <w:rsid w:val="00EA7468"/>
    <w:rsid w:val="00EA7D57"/>
    <w:rsid w:val="00EB060B"/>
    <w:rsid w:val="00EB0681"/>
    <w:rsid w:val="00EB11AE"/>
    <w:rsid w:val="00EB1E33"/>
    <w:rsid w:val="00EB2D6B"/>
    <w:rsid w:val="00EB2FC4"/>
    <w:rsid w:val="00EB3A1F"/>
    <w:rsid w:val="00EB47C1"/>
    <w:rsid w:val="00EB5C90"/>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3A28"/>
    <w:rsid w:val="00ED4270"/>
    <w:rsid w:val="00ED5224"/>
    <w:rsid w:val="00ED5D4A"/>
    <w:rsid w:val="00ED6EBF"/>
    <w:rsid w:val="00EE03E6"/>
    <w:rsid w:val="00EE212F"/>
    <w:rsid w:val="00EE28C8"/>
    <w:rsid w:val="00EE3C68"/>
    <w:rsid w:val="00EE3E02"/>
    <w:rsid w:val="00EE49B5"/>
    <w:rsid w:val="00EE58B2"/>
    <w:rsid w:val="00EE5A62"/>
    <w:rsid w:val="00EE6258"/>
    <w:rsid w:val="00EE6ECF"/>
    <w:rsid w:val="00EE7822"/>
    <w:rsid w:val="00EF0E72"/>
    <w:rsid w:val="00EF163B"/>
    <w:rsid w:val="00EF2517"/>
    <w:rsid w:val="00EF2D55"/>
    <w:rsid w:val="00EF3E2C"/>
    <w:rsid w:val="00EF591F"/>
    <w:rsid w:val="00EF6540"/>
    <w:rsid w:val="00EF7C7A"/>
    <w:rsid w:val="00F0037E"/>
    <w:rsid w:val="00F004A5"/>
    <w:rsid w:val="00F01DD8"/>
    <w:rsid w:val="00F020A6"/>
    <w:rsid w:val="00F03B3F"/>
    <w:rsid w:val="00F04218"/>
    <w:rsid w:val="00F04414"/>
    <w:rsid w:val="00F04717"/>
    <w:rsid w:val="00F047BF"/>
    <w:rsid w:val="00F06843"/>
    <w:rsid w:val="00F07F3D"/>
    <w:rsid w:val="00F10D32"/>
    <w:rsid w:val="00F11E97"/>
    <w:rsid w:val="00F1212C"/>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A5D"/>
    <w:rsid w:val="00F81C57"/>
    <w:rsid w:val="00F81DDA"/>
    <w:rsid w:val="00F839A6"/>
    <w:rsid w:val="00F83C19"/>
    <w:rsid w:val="00F845D8"/>
    <w:rsid w:val="00F85DF6"/>
    <w:rsid w:val="00F86581"/>
    <w:rsid w:val="00F90757"/>
    <w:rsid w:val="00F924F5"/>
    <w:rsid w:val="00F93D0B"/>
    <w:rsid w:val="00F94152"/>
    <w:rsid w:val="00F94DBC"/>
    <w:rsid w:val="00F95676"/>
    <w:rsid w:val="00F97EFB"/>
    <w:rsid w:val="00FA0685"/>
    <w:rsid w:val="00FA0C89"/>
    <w:rsid w:val="00FA2A8C"/>
    <w:rsid w:val="00FA2C6C"/>
    <w:rsid w:val="00FA2E1D"/>
    <w:rsid w:val="00FA3936"/>
    <w:rsid w:val="00FA5864"/>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45C213B"/>
    <w:rsid w:val="0493226A"/>
    <w:rsid w:val="05080EB6"/>
    <w:rsid w:val="05370FE1"/>
    <w:rsid w:val="07DC3699"/>
    <w:rsid w:val="08613ED7"/>
    <w:rsid w:val="08FE48C8"/>
    <w:rsid w:val="090C0806"/>
    <w:rsid w:val="098B0C04"/>
    <w:rsid w:val="09AA5678"/>
    <w:rsid w:val="0A5E4659"/>
    <w:rsid w:val="0AEB5FE9"/>
    <w:rsid w:val="0B3864F3"/>
    <w:rsid w:val="0B605985"/>
    <w:rsid w:val="0CA8710F"/>
    <w:rsid w:val="0D897144"/>
    <w:rsid w:val="0DE647E3"/>
    <w:rsid w:val="0E760B47"/>
    <w:rsid w:val="0E874A06"/>
    <w:rsid w:val="0F763767"/>
    <w:rsid w:val="0FEC0384"/>
    <w:rsid w:val="115C58C0"/>
    <w:rsid w:val="11911E2E"/>
    <w:rsid w:val="121F089B"/>
    <w:rsid w:val="12687E9E"/>
    <w:rsid w:val="135E55DA"/>
    <w:rsid w:val="13A85CF0"/>
    <w:rsid w:val="13B36E2B"/>
    <w:rsid w:val="14FE5603"/>
    <w:rsid w:val="15DB004C"/>
    <w:rsid w:val="180C51F5"/>
    <w:rsid w:val="1875217F"/>
    <w:rsid w:val="18BE5C62"/>
    <w:rsid w:val="192C0909"/>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0C099B"/>
    <w:rsid w:val="24CA1512"/>
    <w:rsid w:val="26091741"/>
    <w:rsid w:val="26A64C5A"/>
    <w:rsid w:val="26B24DF9"/>
    <w:rsid w:val="26BE6858"/>
    <w:rsid w:val="27CA4F73"/>
    <w:rsid w:val="282377EF"/>
    <w:rsid w:val="287E747C"/>
    <w:rsid w:val="28F134A2"/>
    <w:rsid w:val="2AAD36A8"/>
    <w:rsid w:val="2B900426"/>
    <w:rsid w:val="2C3F26E5"/>
    <w:rsid w:val="2C6017EA"/>
    <w:rsid w:val="2C661776"/>
    <w:rsid w:val="2CAB0320"/>
    <w:rsid w:val="2D24388A"/>
    <w:rsid w:val="2DC810BF"/>
    <w:rsid w:val="2E22281F"/>
    <w:rsid w:val="2E2A1718"/>
    <w:rsid w:val="2E9505AD"/>
    <w:rsid w:val="2F343710"/>
    <w:rsid w:val="2F9A3FB4"/>
    <w:rsid w:val="301A4E70"/>
    <w:rsid w:val="30A0772C"/>
    <w:rsid w:val="316658B8"/>
    <w:rsid w:val="31865C9B"/>
    <w:rsid w:val="32CE7A7E"/>
    <w:rsid w:val="338A14B1"/>
    <w:rsid w:val="33FE255E"/>
    <w:rsid w:val="344965DF"/>
    <w:rsid w:val="347463DD"/>
    <w:rsid w:val="34EF0FC6"/>
    <w:rsid w:val="35CB4C4D"/>
    <w:rsid w:val="35EE17C2"/>
    <w:rsid w:val="3650579C"/>
    <w:rsid w:val="36612E47"/>
    <w:rsid w:val="366656DA"/>
    <w:rsid w:val="37834C70"/>
    <w:rsid w:val="37AF6778"/>
    <w:rsid w:val="37F4568F"/>
    <w:rsid w:val="38A30185"/>
    <w:rsid w:val="39CE7FA5"/>
    <w:rsid w:val="3A9643BE"/>
    <w:rsid w:val="3BCF631D"/>
    <w:rsid w:val="3C356139"/>
    <w:rsid w:val="3C481A30"/>
    <w:rsid w:val="3C677367"/>
    <w:rsid w:val="3CC656EB"/>
    <w:rsid w:val="3CCA21E8"/>
    <w:rsid w:val="3CED0588"/>
    <w:rsid w:val="3D1F334F"/>
    <w:rsid w:val="3D546277"/>
    <w:rsid w:val="3E2057E8"/>
    <w:rsid w:val="3E3D429E"/>
    <w:rsid w:val="3FC159A6"/>
    <w:rsid w:val="402C6CE6"/>
    <w:rsid w:val="407D392A"/>
    <w:rsid w:val="416A6C53"/>
    <w:rsid w:val="427F570B"/>
    <w:rsid w:val="428A3BA8"/>
    <w:rsid w:val="42A74EAA"/>
    <w:rsid w:val="43545656"/>
    <w:rsid w:val="43E450C9"/>
    <w:rsid w:val="43F31FE2"/>
    <w:rsid w:val="44640439"/>
    <w:rsid w:val="44812C35"/>
    <w:rsid w:val="45252F0E"/>
    <w:rsid w:val="45572B6C"/>
    <w:rsid w:val="455B320C"/>
    <w:rsid w:val="46380A1F"/>
    <w:rsid w:val="470A2591"/>
    <w:rsid w:val="475C4800"/>
    <w:rsid w:val="478618F4"/>
    <w:rsid w:val="47B14D93"/>
    <w:rsid w:val="47BC11DC"/>
    <w:rsid w:val="48943E94"/>
    <w:rsid w:val="48A15F32"/>
    <w:rsid w:val="48C9665E"/>
    <w:rsid w:val="48F85383"/>
    <w:rsid w:val="48F91CBB"/>
    <w:rsid w:val="491E4498"/>
    <w:rsid w:val="49742C4D"/>
    <w:rsid w:val="49CA6C65"/>
    <w:rsid w:val="4A455FF0"/>
    <w:rsid w:val="4A77022A"/>
    <w:rsid w:val="4B1F03FF"/>
    <w:rsid w:val="4B213349"/>
    <w:rsid w:val="4B3118C3"/>
    <w:rsid w:val="4B49460C"/>
    <w:rsid w:val="4BFD2018"/>
    <w:rsid w:val="4C0F52AD"/>
    <w:rsid w:val="4C3B0E2F"/>
    <w:rsid w:val="4CAB0D7C"/>
    <w:rsid w:val="4D0038F1"/>
    <w:rsid w:val="4D3D0964"/>
    <w:rsid w:val="4E2D4BE1"/>
    <w:rsid w:val="4ED56CDE"/>
    <w:rsid w:val="4F667E20"/>
    <w:rsid w:val="4FA669F9"/>
    <w:rsid w:val="4FF35FAD"/>
    <w:rsid w:val="509800C2"/>
    <w:rsid w:val="515A150F"/>
    <w:rsid w:val="533C54BD"/>
    <w:rsid w:val="53D770A4"/>
    <w:rsid w:val="53FC6338"/>
    <w:rsid w:val="543D22A5"/>
    <w:rsid w:val="55791323"/>
    <w:rsid w:val="55796678"/>
    <w:rsid w:val="55A05D34"/>
    <w:rsid w:val="56222B52"/>
    <w:rsid w:val="56E90786"/>
    <w:rsid w:val="58C430A6"/>
    <w:rsid w:val="59550094"/>
    <w:rsid w:val="59834466"/>
    <w:rsid w:val="59906AA6"/>
    <w:rsid w:val="59E95FFF"/>
    <w:rsid w:val="5BAD6AF9"/>
    <w:rsid w:val="5BBE59A3"/>
    <w:rsid w:val="5C002B30"/>
    <w:rsid w:val="5CBF0FAA"/>
    <w:rsid w:val="60016769"/>
    <w:rsid w:val="609A7B49"/>
    <w:rsid w:val="60B14DC5"/>
    <w:rsid w:val="61CB6B14"/>
    <w:rsid w:val="61CD5C05"/>
    <w:rsid w:val="61F64176"/>
    <w:rsid w:val="6229058D"/>
    <w:rsid w:val="64235C8D"/>
    <w:rsid w:val="64440F4B"/>
    <w:rsid w:val="64693A3E"/>
    <w:rsid w:val="64F16048"/>
    <w:rsid w:val="654523B9"/>
    <w:rsid w:val="65536F9A"/>
    <w:rsid w:val="655A5E64"/>
    <w:rsid w:val="6572167D"/>
    <w:rsid w:val="65BA088F"/>
    <w:rsid w:val="672C55DE"/>
    <w:rsid w:val="68B009A8"/>
    <w:rsid w:val="69127D3A"/>
    <w:rsid w:val="694B1853"/>
    <w:rsid w:val="6A93762C"/>
    <w:rsid w:val="6A996F13"/>
    <w:rsid w:val="6A9B2760"/>
    <w:rsid w:val="6B0F1276"/>
    <w:rsid w:val="6BDD6BDD"/>
    <w:rsid w:val="6C011206"/>
    <w:rsid w:val="6C4130E2"/>
    <w:rsid w:val="6C4479CE"/>
    <w:rsid w:val="6C6C4759"/>
    <w:rsid w:val="6C910893"/>
    <w:rsid w:val="6D286848"/>
    <w:rsid w:val="6D6313BE"/>
    <w:rsid w:val="6D634EEB"/>
    <w:rsid w:val="6EC5514E"/>
    <w:rsid w:val="6F451933"/>
    <w:rsid w:val="6F984CC9"/>
    <w:rsid w:val="70DD60FC"/>
    <w:rsid w:val="70FF71F1"/>
    <w:rsid w:val="7255060F"/>
    <w:rsid w:val="729F162E"/>
    <w:rsid w:val="72F0605A"/>
    <w:rsid w:val="743F2A8B"/>
    <w:rsid w:val="7549288D"/>
    <w:rsid w:val="75BE17B0"/>
    <w:rsid w:val="76606F29"/>
    <w:rsid w:val="77460B34"/>
    <w:rsid w:val="777423E0"/>
    <w:rsid w:val="787C2959"/>
    <w:rsid w:val="7A2633E9"/>
    <w:rsid w:val="7AF506AA"/>
    <w:rsid w:val="7B071EC0"/>
    <w:rsid w:val="7B6906DD"/>
    <w:rsid w:val="7BF94230"/>
    <w:rsid w:val="7C5D4075"/>
    <w:rsid w:val="7CCB0AFF"/>
    <w:rsid w:val="7D52346D"/>
    <w:rsid w:val="7D5B1D38"/>
    <w:rsid w:val="7D6853C6"/>
    <w:rsid w:val="7D924B46"/>
    <w:rsid w:val="7EDC1B88"/>
    <w:rsid w:val="7F2F30B3"/>
    <w:rsid w:val="E3F9C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Char"/>
    <w:link w:val="2"/>
    <w:qFormat/>
    <w:uiPriority w:val="0"/>
    <w:rPr>
      <w:rFonts w:ascii="仿宋_GB2312" w:eastAsia="仿宋_GB2312"/>
      <w:kern w:val="2"/>
      <w:sz w:val="32"/>
    </w:rPr>
  </w:style>
  <w:style w:type="character" w:customStyle="1" w:styleId="69">
    <w:name w:val="标题 2 Char1"/>
    <w:link w:val="5"/>
    <w:qFormat/>
    <w:uiPriority w:val="0"/>
    <w:rPr>
      <w:rFonts w:ascii="Arial" w:hAnsi="Arial" w:eastAsia="黑体"/>
      <w:b/>
      <w:kern w:val="2"/>
      <w:sz w:val="32"/>
    </w:rPr>
  </w:style>
  <w:style w:type="character" w:customStyle="1" w:styleId="70">
    <w:name w:val="标题 3 Char2"/>
    <w:link w:val="6"/>
    <w:qFormat/>
    <w:uiPriority w:val="0"/>
    <w:rPr>
      <w:rFonts w:eastAsia="宋体"/>
      <w:b/>
      <w:kern w:val="2"/>
      <w:sz w:val="32"/>
      <w:lang w:val="en-US" w:eastAsia="zh-CN"/>
    </w:rPr>
  </w:style>
  <w:style w:type="character" w:customStyle="1" w:styleId="71">
    <w:name w:val="正文缩进 Char"/>
    <w:link w:val="17"/>
    <w:qFormat/>
    <w:uiPriority w:val="0"/>
    <w:rPr>
      <w:kern w:val="2"/>
      <w:sz w:val="24"/>
    </w:rPr>
  </w:style>
  <w:style w:type="character" w:customStyle="1" w:styleId="72">
    <w:name w:val="批注文字 Char"/>
    <w:link w:val="21"/>
    <w:qFormat/>
    <w:uiPriority w:val="0"/>
    <w:rPr>
      <w:sz w:val="24"/>
    </w:rPr>
  </w:style>
  <w:style w:type="character" w:customStyle="1" w:styleId="73">
    <w:name w:val="正文文本缩进 Char1"/>
    <w:link w:val="24"/>
    <w:qFormat/>
    <w:uiPriority w:val="0"/>
    <w:rPr>
      <w:kern w:val="2"/>
      <w:sz w:val="44"/>
    </w:rPr>
  </w:style>
  <w:style w:type="character" w:customStyle="1" w:styleId="74">
    <w:name w:val="日期 Char1"/>
    <w:link w:val="33"/>
    <w:qFormat/>
    <w:uiPriority w:val="0"/>
    <w:rPr>
      <w:kern w:val="2"/>
      <w:sz w:val="28"/>
    </w:rPr>
  </w:style>
  <w:style w:type="character" w:customStyle="1" w:styleId="75">
    <w:name w:val="正文文本缩进 2 Char"/>
    <w:link w:val="34"/>
    <w:qFormat/>
    <w:uiPriority w:val="0"/>
    <w:rPr>
      <w:kern w:val="2"/>
      <w:sz w:val="28"/>
    </w:rPr>
  </w:style>
  <w:style w:type="character" w:customStyle="1" w:styleId="76">
    <w:name w:val="页脚 Char"/>
    <w:link w:val="36"/>
    <w:qFormat/>
    <w:uiPriority w:val="99"/>
    <w:rPr>
      <w:kern w:val="2"/>
      <w:sz w:val="18"/>
    </w:rPr>
  </w:style>
  <w:style w:type="character" w:customStyle="1" w:styleId="77">
    <w:name w:val="页眉 Char"/>
    <w:link w:val="37"/>
    <w:qFormat/>
    <w:uiPriority w:val="99"/>
    <w:rPr>
      <w:kern w:val="2"/>
      <w:sz w:val="18"/>
    </w:rPr>
  </w:style>
  <w:style w:type="character" w:customStyle="1" w:styleId="78">
    <w:name w:val="脚注文本 Char"/>
    <w:link w:val="41"/>
    <w:qFormat/>
    <w:uiPriority w:val="0"/>
    <w:rPr>
      <w:kern w:val="2"/>
      <w:sz w:val="18"/>
    </w:rPr>
  </w:style>
  <w:style w:type="character" w:customStyle="1" w:styleId="79">
    <w:name w:val="批注主题 Char"/>
    <w:link w:val="55"/>
    <w:qFormat/>
    <w:uiPriority w:val="0"/>
  </w:style>
  <w:style w:type="character" w:customStyle="1" w:styleId="80">
    <w:name w:val="正文首行缩进 2 Char"/>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出段落 Char"/>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Lines="0" w:afterLines="0"/>
      <w:ind w:left="525"/>
      <w:outlineLvl w:val="2"/>
    </w:pPr>
    <w:rPr>
      <w:sz w:val="21"/>
    </w:rPr>
  </w:style>
  <w:style w:type="paragraph" w:customStyle="1" w:styleId="158">
    <w:name w:val="章标题"/>
    <w:next w:val="1"/>
    <w:qFormat/>
    <w:uiPriority w:val="0"/>
    <w:pPr>
      <w:numPr>
        <w:ilvl w:val="1"/>
        <w:numId w:val="7"/>
      </w:numPr>
      <w:spacing w:beforeLines="50"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paragraph" w:customStyle="1" w:styleId="270">
    <w:name w:val="修订5"/>
    <w:hidden/>
    <w:semiHidden/>
    <w:qFormat/>
    <w:uiPriority w:val="99"/>
    <w:rPr>
      <w:rFonts w:ascii="Calibri" w:hAnsi="Calibri" w:eastAsia="宋体" w:cs="Times New Roman"/>
      <w:kern w:val="2"/>
      <w:sz w:val="28"/>
      <w:lang w:val="en-US" w:eastAsia="zh-CN" w:bidi="ar-SA"/>
    </w:rPr>
  </w:style>
  <w:style w:type="paragraph" w:customStyle="1" w:styleId="271">
    <w:name w:val="修订6"/>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9617</Words>
  <Characters>10094</Characters>
  <Lines>174</Lines>
  <Paragraphs>49</Paragraphs>
  <TotalTime>11</TotalTime>
  <ScaleCrop>false</ScaleCrop>
  <LinksUpToDate>false</LinksUpToDate>
  <CharactersWithSpaces>10291</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2021-12-08T10:55:00Z</dcterms:created>
  <dc:creator>罗成</dc:creator>
  <cp:lastModifiedBy>Q</cp:lastModifiedBy>
  <cp:lastPrinted>2020-09-18T15:14:00Z</cp:lastPrinted>
  <dcterms:modified xsi:type="dcterms:W3CDTF">2025-06-26T17:40:13Z</dcterms:modified>
  <dc:title>竞争性谈判文件</dc:title>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7911D8272EA85F8C7D155D689E361023_43</vt:lpwstr>
  </property>
  <property fmtid="{D5CDD505-2E9C-101B-9397-08002B2CF9AE}" pid="4" name="KSOTemplateDocerSaveRecord">
    <vt:lpwstr>eyJoZGlkIjoiMzU4MjBmNDY4MDc4ZjYwYTI4NDMwNTFjYTkxNjZmMjEiLCJ1c2VySWQiOiI0MzU5MDUzNDYifQ==</vt:lpwstr>
  </property>
</Properties>
</file>