
<file path=[Content_Types].xml><?xml version="1.0" encoding="utf-8"?>
<Types xmlns="http://schemas.openxmlformats.org/package/2006/content-types">
  <Default Extension="rels" ContentType="application/vnd.openxmlformats-package.relationships+xml"/>
  <Default Extension="png" ContentType="image/png"/>
  <Default Extension="jpeg" ContentType="image/jpeg"/>
  <Default Extension="xml" ContentType="application/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styles+xml" PartName="/word/styles.xml"/>
  <Override ContentType="application/vnd.openxmlformats-officedocument.wordprocessingml.document.main+xml" PartName="/word/document.xml"/>
</Types>
</file>

<file path=_rels/.rels><?xml version="1.0" encoding="UTF-8" standalone="yes"?><Relationships xmlns="http://schemas.openxmlformats.org/package/2006/relationships"><Relationship Id="rId1" Type="http://schemas.openxmlformats.org/officeDocument/2006/relationships/officeDocument" TargetMode="Internal"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16se w16cid w16 w16cex w16sdtdh wp14">
  <w:body>
    <w:p>
      <w:pPr>
        <w:jc w:val="center"/>
        <w:pStyle w:val="16"/>
        <w:spacing w:afterAutospacing="0" w:beforeAutospacing="0" w:line="590" w:lineRule="exact"/>
        <w:rPr>
          <w:rFonts w:hint="eastAsia" w:ascii="Times New Roman" w:hAnsi="Times New Roman"/>
          <w:sz w:val="44"/>
          <w:szCs w:val="44"/>
        </w:rPr>
      </w:pPr>
    </w:p>
    <w:p>
      <w:pPr>
        <w:jc w:val="center"/>
        <w:pStyle w:val="16"/>
        <w:spacing w:afterAutospacing="0" w:beforeAutospacing="0" w:line="590" w:lineRule="exact"/>
        <w:rPr>
          <w:rFonts w:hint="eastAsia" w:ascii="Times New Roman" w:hAnsi="Times New Roman"/>
          <w:sz w:val="44"/>
          <w:szCs w:val="44"/>
        </w:rPr>
      </w:pPr>
    </w:p>
    <w:p>
      <w:pPr>
        <w:jc w:val="center"/>
        <w:pStyle w:val="16"/>
        <w:spacing w:afterAutospacing="0" w:beforeAutospacing="0" w:line="590" w:lineRule="exact"/>
        <w:rPr>
          <w:rFonts w:hint="eastAsia" w:ascii="Times New Roman" w:hAnsi="Times New Roman"/>
          <w:sz w:val="44"/>
          <w:szCs w:val="44"/>
        </w:rPr>
      </w:pPr>
    </w:p>
    <w:p>
      <w:pPr>
        <w:jc w:val="center"/>
        <w:pStyle w:val="16"/>
        <w:spacing w:afterAutospacing="0" w:beforeAutospacing="0" w:line="590" w:lineRule="exact"/>
        <w:rPr>
          <w:rFonts w:hint="eastAsia" w:ascii="Times New Roman" w:hAnsi="Times New Roman"/>
          <w:sz w:val="44"/>
          <w:szCs w:val="44"/>
        </w:rPr>
      </w:pPr>
    </w:p>
    <w:p>
      <w:pPr>
        <w:jc w:val="center"/>
        <w:pStyle w:val="16"/>
        <w:spacing w:afterAutospacing="0" w:beforeAutospacing="0" w:line="590" w:lineRule="exact"/>
        <w:rPr>
          <w:rFonts w:hint="eastAsia" w:ascii="Times New Roman" w:hAnsi="Times New Roman" w:eastAsia="方正小标宋_GBK"/>
          <w:sz w:val="52"/>
          <w:szCs w:val="52"/>
        </w:rPr>
      </w:pPr>
      <w:r>
        <w:rPr>
          <w:rFonts w:hint="eastAsia" w:ascii="Times New Roman" w:hAnsi="Times New Roman" w:eastAsia="方正小标宋_GBK"/>
          <w:sz w:val="52"/>
          <w:szCs w:val="52"/>
        </w:rPr>
        <w:t>重庆市物流业发展中长期规划</w:t>
      </w:r>
    </w:p>
    <w:p>
      <w:pPr>
        <w:jc w:val="center"/>
        <w:pStyle w:val="16"/>
        <w:rPr>
          <w:rFonts w:hint="eastAsia" w:ascii="Times New Roman" w:hAnsi="Times New Roman" w:eastAsia="方正小标宋_GBK"/>
          <w:sz w:val="52"/>
          <w:szCs w:val="52"/>
        </w:rPr>
      </w:pPr>
      <w:r>
        <w:rPr>
          <w:rFonts w:hint="eastAsia" w:ascii="Times New Roman" w:hAnsi="Times New Roman" w:eastAsia="方正小标宋_GBK"/>
          <w:sz w:val="52"/>
          <w:szCs w:val="52"/>
        </w:rPr>
        <w:t>（2021—2035年）</w:t>
      </w:r>
    </w:p>
    <w:p>
      <w:pPr>
        <w:jc w:val="center"/>
        <w:pStyle w:val="16"/>
        <w:rPr>
          <w:rFonts w:hint="eastAsia" w:ascii="Times New Roman" w:hAnsi="Times New Roman" w:eastAsia="方正黑体_GBK"/>
          <w:sz w:val="32"/>
          <w:szCs w:val="32"/>
        </w:rPr>
      </w:pPr>
      <w:r>
        <w:rPr>
          <w:rFonts w:hint="eastAsia" w:ascii="Times New Roman" w:hAnsi="Times New Roman" w:eastAsia="方正黑体_GBK"/>
          <w:sz w:val="32"/>
          <w:szCs w:val="32"/>
        </w:rPr>
        <w:t>（征求意见稿）</w:t>
      </w: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pStyle w:val="16"/>
        <w:rPr>
          <w:rFonts w:hint="eastAsia" w:ascii="Times New Roman" w:hAnsi="Times New Roman"/>
        </w:rPr>
      </w:pPr>
    </w:p>
    <w:p>
      <w:pPr>
        <w:jc w:val="center"/>
        <w:pStyle w:val="16"/>
        <w:rPr>
          <w:rFonts w:hint="eastAsia" w:ascii="Times New Roman" w:hAnsi="Times New Roman" w:eastAsia="方正仿宋_GBK"/>
          <w:sz w:val="32"/>
          <w:szCs w:val="32"/>
        </w:rPr>
      </w:pPr>
    </w:p>
    <w:p>
      <w:pPr>
        <w:jc w:val="center"/>
        <w:pStyle w:val="16"/>
        <w:rPr>
          <w:rFonts w:hint="eastAsia" w:ascii="Times New Roman" w:hAnsi="Times New Roman" w:eastAsia="方正黑体_GBK"/>
          <w:sz w:val="32"/>
          <w:szCs w:val="32"/>
        </w:rPr>
      </w:pPr>
      <w:r>
        <w:rPr>
          <w:rFonts w:hint="eastAsia" w:ascii="Times New Roman" w:hAnsi="Times New Roman" w:eastAsia="方正黑体_GBK"/>
          <w:sz w:val="32"/>
          <w:szCs w:val="32"/>
        </w:rPr>
        <w:t>重庆市人民政府口岸和物流办公室</w:t>
      </w:r>
    </w:p>
    <w:p>
      <w:pPr>
        <w:jc w:val="center"/>
        <w:pStyle w:val="16"/>
        <w:rPr>
          <w:rFonts w:hint="eastAsia" w:ascii="Times New Roman" w:hAnsi="Times New Roman" w:eastAsia="方正黑体_GBK"/>
          <w:sz w:val="32"/>
          <w:szCs w:val="32"/>
        </w:rPr>
      </w:pPr>
      <w:r>
        <w:rPr>
          <w:rFonts w:hint="eastAsia" w:ascii="Times New Roman" w:hAnsi="Times New Roman" w:eastAsia="方正黑体_GBK"/>
          <w:sz w:val="32"/>
          <w:szCs w:val="32"/>
        </w:rPr>
        <w:t>2021年3月</w:t>
      </w:r>
    </w:p>
    <w:p>
      <w:pPr>
        <w:jc w:val="center"/>
        <w:pStyle w:val="16"/>
        <w:rPr>
          <w:rFonts w:hint="eastAsia" w:ascii="Times New Roman" w:hAnsi="Times New Roman" w:eastAsia="方正黑体_GBK"/>
          <w:sz w:val="32"/>
          <w:szCs w:val="32"/>
        </w:rPr>
      </w:pPr>
    </w:p>
    <w:p>
      <w:pPr>
        <w:jc w:val="center"/>
        <w:pStyle w:val="16"/>
        <w:rPr>
          <w:rFonts w:hint="eastAsia" w:ascii="Times New Roman" w:hAnsi="Times New Roman" w:eastAsia="方正黑体_GBK"/>
          <w:sz w:val="32"/>
          <w:szCs w:val="32"/>
        </w:rPr>
      </w:pPr>
      <w:r>
        <w:rPr>
          <w:rFonts w:hint="eastAsia" w:ascii="Times New Roman" w:hAnsi="Times New Roman" w:eastAsia="方正黑体_GBK"/>
          <w:sz w:val="32"/>
          <w:szCs w:val="32"/>
        </w:rPr>
        <w:t xml:space="preserve">目  录</w:t>
      </w:r>
    </w:p>
    <w:sdt>
      <w:sdtPr/>
      <w:sdtContent>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TOC \o "1-2" \h \u</w:instrText>
          </w:r>
          <w:r>
            <w:rPr>
              <w:rFonts w:hint="eastAsia" w:ascii="Times New Roman" w:hAnsi="Times New Roman"/>
              <w:szCs w:val="32"/>
            </w:rPr>
            <w:fldChar w:fldCharType="separate"/>
          </w:r>
          <w:r>
            <w:rPr>
              <w:rFonts w:hint="eastAsia" w:ascii="Times New Roman" w:hAnsi="Times New Roman"/>
              <w:szCs w:val="32"/>
            </w:rPr>
            <w:fldChar w:fldCharType="begin"/>
          </w:r>
          <w:r>
            <w:rPr>
              <w:rFonts w:hint="eastAsia" w:ascii="Times New Roman" w:hAnsi="Times New Roman"/>
              <w:szCs w:val="32"/>
            </w:rPr>
            <w:instrText xml:space="preserve">HYPERLINK \l _Toc30516</w:instrText>
          </w:r>
          <w:r>
            <w:rPr>
              <w:rFonts w:hint="eastAsia" w:ascii="Times New Roman" w:hAnsi="Times New Roman"/>
              <w:szCs w:val="32"/>
            </w:rPr>
            <w:fldChar w:fldCharType="separate"/>
          </w:r>
          <w:r>
            <w:rPr>
              <w:rFonts w:hint="eastAsia" w:ascii="Times New Roman" w:hAnsi="Times New Roman" w:eastAsia="方正黑体_GBK"/>
              <w:szCs w:val="44"/>
            </w:rPr>
            <w:t xml:space="preserve">前  言</w:t>
          </w:r>
          <w:r>
            <w:rPr/>
            <w:tab/>
          </w:r>
          <w:r>
            <w:rPr/>
            <w:fldChar w:fldCharType="begin"/>
          </w:r>
          <w:r>
            <w:rPr/>
            <w:instrText xml:space="preserve">PAGEREF _Toc30516</w:instrText>
          </w:r>
          <w:r>
            <w:rPr/>
            <w:fldChar w:fldCharType="separate"/>
          </w:r>
          <w:r>
            <w:t>1</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_Toc23164</w:instrText>
          </w:r>
          <w:r>
            <w:rPr>
              <w:rFonts w:hint="eastAsia" w:ascii="Times New Roman" w:hAnsi="Times New Roman"/>
              <w:szCs w:val="32"/>
            </w:rPr>
            <w:fldChar w:fldCharType="separate"/>
          </w:r>
          <w:r>
            <w:rPr>
              <w:rFonts w:hint="eastAsia" w:ascii="Times New Roman" w:hAnsi="Times New Roman" w:eastAsia="方正黑体_GBK"/>
            </w:rPr>
            <w:t>一、发展环境</w:t>
          </w:r>
          <w:r>
            <w:rPr/>
            <w:tab/>
          </w:r>
          <w:r>
            <w:rPr/>
            <w:fldChar w:fldCharType="begin"/>
          </w:r>
          <w:r>
            <w:rPr/>
            <w:instrText xml:space="preserve">PAGEREF _Toc23164</w:instrText>
          </w:r>
          <w:r>
            <w:rPr/>
            <w:fldChar w:fldCharType="separate"/>
          </w:r>
          <w:r>
            <w:t>3</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_Toc27375</w:instrText>
          </w:r>
          <w:r>
            <w:rPr>
              <w:rFonts w:hint="eastAsia" w:ascii="Times New Roman" w:hAnsi="Times New Roman"/>
              <w:szCs w:val="32"/>
            </w:rPr>
            <w:fldChar w:fldCharType="separate"/>
          </w:r>
          <w:r>
            <w:rPr>
              <w:rFonts w:hint="eastAsia" w:ascii="Times New Roman" w:hAnsi="Times New Roman" w:eastAsia="方正楷体_GBK"/>
            </w:rPr>
            <w:t>（一）形势要求</w:t>
          </w:r>
          <w:r>
            <w:rPr/>
            <w:tab/>
          </w:r>
          <w:r>
            <w:rPr/>
            <w:fldChar w:fldCharType="begin"/>
          </w:r>
          <w:r>
            <w:rPr/>
            <w:instrText xml:space="preserve">PAGEREF _Toc27375</w:instrText>
          </w:r>
          <w:r>
            <w:rPr/>
            <w:fldChar w:fldCharType="separate"/>
          </w:r>
          <w:r>
            <w:t>3</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_Toc1635</w:instrText>
          </w:r>
          <w:r>
            <w:rPr>
              <w:rFonts w:hint="eastAsia" w:ascii="Times New Roman" w:hAnsi="Times New Roman"/>
              <w:szCs w:val="32"/>
            </w:rPr>
            <w:fldChar w:fldCharType="separate"/>
          </w:r>
          <w:r>
            <w:rPr>
              <w:rFonts w:hint="eastAsia" w:ascii="Times New Roman" w:hAnsi="Times New Roman" w:eastAsia="方正楷体_GBK"/>
            </w:rPr>
            <w:t>（二）现实基础</w:t>
          </w:r>
          <w:r>
            <w:rPr/>
            <w:tab/>
          </w:r>
          <w:r>
            <w:rPr/>
            <w:fldChar w:fldCharType="begin"/>
          </w:r>
          <w:r>
            <w:rPr/>
            <w:instrText xml:space="preserve">PAGEREF _Toc1635</w:instrText>
          </w:r>
          <w:r>
            <w:rPr/>
            <w:fldChar w:fldCharType="separate"/>
          </w:r>
          <w:r>
            <w:t>5</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_Toc6796</w:instrText>
          </w:r>
          <w:r>
            <w:rPr>
              <w:rFonts w:hint="eastAsia" w:ascii="Times New Roman" w:hAnsi="Times New Roman"/>
              <w:szCs w:val="32"/>
            </w:rPr>
            <w:fldChar w:fldCharType="separate"/>
          </w:r>
          <w:r>
            <w:rPr>
              <w:rFonts w:hint="eastAsia" w:ascii="Times New Roman" w:hAnsi="Times New Roman" w:eastAsia="方正黑体_GBK"/>
            </w:rPr>
            <w:t>二、总体要求</w:t>
          </w:r>
          <w:r>
            <w:rPr/>
            <w:tab/>
          </w:r>
          <w:r>
            <w:rPr/>
            <w:fldChar w:fldCharType="begin"/>
          </w:r>
          <w:r>
            <w:rPr/>
            <w:instrText xml:space="preserve">PAGEREF _Toc6796</w:instrText>
          </w:r>
          <w:r>
            <w:rPr/>
            <w:fldChar w:fldCharType="separate"/>
          </w:r>
          <w:r>
            <w:t>8</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_Toc948</w:instrText>
          </w:r>
          <w:r>
            <w:rPr>
              <w:rFonts w:hint="eastAsia" w:ascii="Times New Roman" w:hAnsi="Times New Roman"/>
              <w:szCs w:val="32"/>
            </w:rPr>
            <w:fldChar w:fldCharType="separate"/>
          </w:r>
          <w:r>
            <w:rPr>
              <w:rFonts w:hint="eastAsia" w:ascii="Times New Roman" w:hAnsi="Times New Roman" w:eastAsia="方正楷体_GBK"/>
            </w:rPr>
            <w:t>（一）指导思想</w:t>
          </w:r>
          <w:r>
            <w:rPr/>
            <w:tab/>
          </w:r>
          <w:r>
            <w:rPr/>
            <w:fldChar w:fldCharType="begin"/>
          </w:r>
          <w:r>
            <w:rPr/>
            <w:instrText xml:space="preserve">PAGEREF _Toc948</w:instrText>
          </w:r>
          <w:r>
            <w:rPr/>
            <w:fldChar w:fldCharType="separate"/>
          </w:r>
          <w:r>
            <w:t>8</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_Toc3014</w:instrText>
          </w:r>
          <w:r>
            <w:rPr>
              <w:rFonts w:hint="eastAsia" w:ascii="Times New Roman" w:hAnsi="Times New Roman"/>
              <w:szCs w:val="32"/>
            </w:rPr>
            <w:fldChar w:fldCharType="separate"/>
          </w:r>
          <w:r>
            <w:rPr>
              <w:rFonts w:hint="eastAsia" w:ascii="Times New Roman" w:hAnsi="Times New Roman" w:eastAsia="方正楷体_GBK"/>
            </w:rPr>
            <w:t>（二）战略</w:t>
          </w:r>
          <w:r>
            <w:rPr>
              <w:rFonts w:ascii="Times New Roman" w:hAnsi="Times New Roman" w:eastAsia="方正楷体_GBK"/>
            </w:rPr>
            <w:t>定位</w:t>
          </w:r>
          <w:r>
            <w:rPr/>
            <w:tab/>
          </w:r>
          <w:r>
            <w:rPr/>
            <w:fldChar w:fldCharType="begin"/>
          </w:r>
          <w:r>
            <w:rPr/>
            <w:instrText xml:space="preserve">PAGEREF _Toc3014</w:instrText>
          </w:r>
          <w:r>
            <w:rPr/>
            <w:fldChar w:fldCharType="separate"/>
          </w:r>
          <w:r>
            <w:t>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_Toc19364</w:instrText>
          </w:r>
          <w:r>
            <w:rPr>
              <w:rFonts w:hint="eastAsia" w:ascii="Times New Roman" w:hAnsi="Times New Roman"/>
              <w:szCs w:val="32"/>
            </w:rPr>
            <w:fldChar w:fldCharType="separate"/>
          </w:r>
          <w:r>
            <w:rPr>
              <w:rFonts w:hint="eastAsia" w:ascii="Times New Roman" w:hAnsi="Times New Roman" w:eastAsia="方正楷体_GBK"/>
            </w:rPr>
            <w:t>（三）基本原则</w:t>
          </w:r>
          <w:r>
            <w:rPr/>
            <w:tab/>
          </w:r>
          <w:r>
            <w:rPr/>
            <w:fldChar w:fldCharType="begin"/>
          </w:r>
          <w:r>
            <w:rPr/>
            <w:instrText xml:space="preserve">PAGEREF _Toc19364</w:instrText>
          </w:r>
          <w:r>
            <w:rPr/>
            <w:fldChar w:fldCharType="separate"/>
          </w:r>
          <w:r>
            <w:t>10</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_Toc23481</w:instrText>
          </w:r>
          <w:r>
            <w:rPr>
              <w:rFonts w:hint="eastAsia" w:ascii="Times New Roman" w:hAnsi="Times New Roman"/>
              <w:szCs w:val="32"/>
            </w:rPr>
            <w:fldChar w:fldCharType="separate"/>
          </w:r>
          <w:r>
            <w:rPr>
              <w:rFonts w:hint="eastAsia" w:ascii="Times New Roman" w:hAnsi="Times New Roman" w:eastAsia="方正楷体_GBK"/>
            </w:rPr>
            <w:t>（四）发展目标</w:t>
          </w:r>
          <w:r>
            <w:rPr/>
            <w:tab/>
          </w:r>
          <w:r>
            <w:rPr/>
            <w:fldChar w:fldCharType="begin"/>
          </w:r>
          <w:r>
            <w:rPr/>
            <w:instrText xml:space="preserve">PAGEREF _Toc23481</w:instrText>
          </w:r>
          <w:r>
            <w:rPr/>
            <w:fldChar w:fldCharType="separate"/>
          </w:r>
          <w:r>
            <w:t>12</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_Toc29851</w:instrText>
          </w:r>
          <w:r>
            <w:rPr>
              <w:rFonts w:hint="eastAsia" w:ascii="Times New Roman" w:hAnsi="Times New Roman"/>
              <w:szCs w:val="32"/>
            </w:rPr>
            <w:fldChar w:fldCharType="separate"/>
          </w:r>
          <w:r>
            <w:rPr>
              <w:rFonts w:hint="eastAsia" w:ascii="Times New Roman" w:hAnsi="Times New Roman" w:eastAsia="方正黑体_GBK"/>
            </w:rPr>
            <w:t>三、空间布局</w:t>
          </w:r>
          <w:r>
            <w:rPr/>
            <w:tab/>
          </w:r>
          <w:r>
            <w:rPr/>
            <w:fldChar w:fldCharType="begin"/>
          </w:r>
          <w:r>
            <w:rPr/>
            <w:instrText xml:space="preserve">PAGEREF _Toc29851</w:instrText>
          </w:r>
          <w:r>
            <w:rPr/>
            <w:fldChar w:fldCharType="separate"/>
          </w:r>
          <w:r>
            <w:t>15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_Toc22334</w:instrText>
          </w:r>
          <w:r>
            <w:rPr>
              <w:rFonts w:hint="eastAsia" w:ascii="Times New Roman" w:hAnsi="Times New Roman"/>
              <w:szCs w:val="32"/>
            </w:rPr>
            <w:fldChar w:fldCharType="separate"/>
          </w:r>
          <w:r>
            <w:rPr>
              <w:rFonts w:hint="eastAsia" w:ascii="Times New Roman" w:hAnsi="Times New Roman" w:eastAsia="方正楷体_GBK"/>
            </w:rPr>
            <w:t>（一）“6+2+1”物流大通道布局</w:t>
          </w:r>
          <w:r>
            <w:rPr/>
            <w:tab/>
          </w:r>
          <w:r>
            <w:rPr/>
            <w:fldChar w:fldCharType="begin"/>
          </w:r>
          <w:r>
            <w:rPr/>
            <w:instrText xml:space="preserve">PAGEREF _Toc22334</w:instrText>
          </w:r>
          <w:r>
            <w:rPr/>
            <w:fldChar w:fldCharType="separate"/>
          </w:r>
          <w:r>
            <w:t>15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_Toc1566</w:instrText>
          </w:r>
          <w:r>
            <w:rPr>
              <w:rFonts w:hint="eastAsia" w:ascii="Times New Roman" w:hAnsi="Times New Roman"/>
              <w:szCs w:val="32"/>
            </w:rPr>
            <w:fldChar w:fldCharType="separate"/>
          </w:r>
          <w:r>
            <w:rPr>
              <w:rFonts w:hint="eastAsia" w:ascii="Times New Roman" w:hAnsi="Times New Roman" w:eastAsia="方正楷体_GBK"/>
              <w:szCs w:val="22"/>
            </w:rPr>
            <w:t>（二）“一核一环一带两片区”市域物流空间格局</w:t>
          </w:r>
          <w:r>
            <w:rPr/>
            <w:tab/>
          </w:r>
          <w:r>
            <w:rPr/>
            <w:fldChar w:fldCharType="begin"/>
          </w:r>
          <w:r>
            <w:rPr/>
            <w:instrText xml:space="preserve">PAGEREF _Toc1566</w:instrText>
          </w:r>
          <w:r>
            <w:rPr/>
            <w:fldChar w:fldCharType="separate"/>
          </w:r>
          <w:r>
            <w:t>16</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_Toc14614</w:instrText>
          </w:r>
          <w:r>
            <w:rPr>
              <w:rFonts w:hint="eastAsia" w:ascii="Times New Roman" w:hAnsi="Times New Roman"/>
              <w:szCs w:val="32"/>
            </w:rPr>
            <w:fldChar w:fldCharType="separate"/>
          </w:r>
          <w:r>
            <w:rPr>
              <w:rFonts w:hint="eastAsia" w:ascii="Times New Roman" w:hAnsi="Times New Roman" w:eastAsia="方正楷体_GBK"/>
              <w:szCs w:val="22"/>
            </w:rPr>
            <w:t>（三）“五枢纽多节点”物流设施布局</w:t>
          </w:r>
          <w:r>
            <w:rPr/>
            <w:tab/>
          </w:r>
          <w:r>
            <w:rPr/>
            <w:fldChar w:fldCharType="begin"/>
          </w:r>
          <w:r>
            <w:rPr/>
            <w:instrText xml:space="preserve">PAGEREF _Toc14614</w:instrText>
          </w:r>
          <w:r>
            <w:rPr/>
            <w:fldChar w:fldCharType="separate"/>
          </w:r>
          <w:r>
            <w:t>19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_Toc19414</w:instrText>
          </w:r>
          <w:r>
            <w:rPr>
              <w:rFonts w:hint="eastAsia" w:ascii="Times New Roman" w:hAnsi="Times New Roman"/>
              <w:szCs w:val="32"/>
            </w:rPr>
            <w:fldChar w:fldCharType="separate"/>
          </w:r>
          <w:r>
            <w:rPr>
              <w:rFonts w:hint="eastAsia" w:ascii="Times New Roman" w:hAnsi="Times New Roman" w:eastAsia="方正楷体_GBK"/>
              <w:szCs w:val="22"/>
            </w:rPr>
            <w:t>（四）“16个多产联动物流枢纽经济区”总体布局</w:t>
          </w:r>
          <w:r>
            <w:rPr/>
            <w:tab/>
          </w:r>
          <w:r>
            <w:rPr/>
            <w:fldChar w:fldCharType="begin"/>
          </w:r>
          <w:r>
            <w:rPr/>
            <w:instrText xml:space="preserve">PAGEREF _Toc19414</w:instrText>
          </w:r>
          <w:r>
            <w:rPr/>
            <w:fldChar w:fldCharType="separate"/>
          </w:r>
          <w:r>
            <w:t>21</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_Toc4428</w:instrText>
          </w:r>
          <w:r>
            <w:rPr>
              <w:rFonts w:hint="eastAsia" w:ascii="Times New Roman" w:hAnsi="Times New Roman"/>
              <w:szCs w:val="32"/>
            </w:rPr>
            <w:fldChar w:fldCharType="separate"/>
          </w:r>
          <w:r>
            <w:rPr>
              <w:rFonts w:hint="eastAsia" w:ascii="Times New Roman" w:hAnsi="Times New Roman" w:eastAsia="方正黑体_GBK"/>
            </w:rPr>
            <w:t>四、畅通辐射国内外综合物流大通道</w:t>
          </w:r>
          <w:r>
            <w:rPr/>
            <w:tab/>
          </w:r>
          <w:r>
            <w:rPr/>
            <w:fldChar w:fldCharType="begin"/>
          </w:r>
          <w:r>
            <w:rPr/>
            <w:instrText xml:space="preserve">PAGEREF _Toc4428</w:instrText>
          </w:r>
          <w:r>
            <w:rPr/>
            <w:fldChar w:fldCharType="separate"/>
          </w:r>
          <w:r>
            <w:t>22</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_Toc1461</w:instrText>
          </w:r>
          <w:r>
            <w:rPr>
              <w:rFonts w:hint="eastAsia" w:ascii="Times New Roman" w:hAnsi="Times New Roman"/>
              <w:szCs w:val="32"/>
            </w:rPr>
            <w:fldChar w:fldCharType="separate"/>
          </w:r>
          <w:r>
            <w:rPr>
              <w:rFonts w:hint="eastAsia" w:ascii="Times New Roman" w:hAnsi="Times New Roman" w:eastAsia="方正楷体_GBK"/>
            </w:rPr>
            <w:t>（一）畅通对外物流辐射通道</w:t>
          </w:r>
          <w:r>
            <w:rPr/>
            <w:tab/>
          </w:r>
          <w:r>
            <w:rPr/>
            <w:fldChar w:fldCharType="begin"/>
          </w:r>
          <w:r>
            <w:rPr/>
            <w:instrText xml:space="preserve">PAGEREF _Toc1461</w:instrText>
          </w:r>
          <w:r>
            <w:rPr/>
            <w:fldChar w:fldCharType="separate"/>
          </w:r>
          <w:r>
            <w:t>22</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_Toc24647</w:instrText>
          </w:r>
          <w:r>
            <w:rPr>
              <w:rFonts w:hint="eastAsia" w:ascii="Times New Roman" w:hAnsi="Times New Roman"/>
              <w:szCs w:val="32"/>
            </w:rPr>
            <w:fldChar w:fldCharType="separate"/>
          </w:r>
          <w:r>
            <w:rPr>
              <w:rFonts w:hint="eastAsia" w:ascii="Times New Roman" w:hAnsi="Times New Roman" w:eastAsia="方正楷体_GBK"/>
            </w:rPr>
            <w:t>（二）提高通道组织服务水平</w:t>
          </w:r>
          <w:r>
            <w:rPr/>
            <w:tab/>
          </w:r>
          <w:r>
            <w:rPr/>
            <w:fldChar w:fldCharType="begin"/>
          </w:r>
          <w:r>
            <w:rPr/>
            <w:instrText xml:space="preserve">PAGEREF _Toc24647</w:instrText>
          </w:r>
          <w:r>
            <w:rPr/>
            <w:fldChar w:fldCharType="separate"/>
          </w:r>
          <w:r>
            <w:t>25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_Toc22172</w:instrText>
          </w:r>
          <w:r>
            <w:rPr>
              <w:rFonts w:hint="eastAsia" w:ascii="Times New Roman" w:hAnsi="Times New Roman"/>
              <w:szCs w:val="32"/>
            </w:rPr>
            <w:fldChar w:fldCharType="separate"/>
          </w:r>
          <w:r>
            <w:rPr>
              <w:rFonts w:hint="eastAsia" w:ascii="Times New Roman" w:hAnsi="Times New Roman" w:eastAsia="方正楷体_GBK"/>
            </w:rPr>
            <w:t>（三）完善提升口岸服务功能</w:t>
          </w:r>
          <w:r>
            <w:rPr/>
            <w:tab/>
          </w:r>
          <w:r>
            <w:rPr/>
            <w:fldChar w:fldCharType="begin"/>
          </w:r>
          <w:r>
            <w:rPr/>
            <w:instrText xml:space="preserve">PAGEREF _Toc22172</w:instrText>
          </w:r>
          <w:r>
            <w:rPr/>
            <w:fldChar w:fldCharType="separate"/>
          </w:r>
          <w:r>
            <w:t>27</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_Toc6447</w:instrText>
          </w:r>
          <w:r>
            <w:rPr>
              <w:rFonts w:hint="eastAsia" w:ascii="Times New Roman" w:hAnsi="Times New Roman"/>
              <w:szCs w:val="32"/>
            </w:rPr>
            <w:fldChar w:fldCharType="separate"/>
          </w:r>
          <w:r>
            <w:rPr>
              <w:rFonts w:hint="eastAsia" w:ascii="Times New Roman" w:hAnsi="Times New Roman" w:eastAsia="方正楷体_GBK"/>
            </w:rPr>
            <w:t>（四）优化区际交通物流网络</w:t>
          </w:r>
          <w:r>
            <w:rPr/>
            <w:tab/>
          </w:r>
          <w:r>
            <w:rPr/>
            <w:fldChar w:fldCharType="begin"/>
          </w:r>
          <w:r>
            <w:rPr/>
            <w:instrText xml:space="preserve">PAGEREF _Toc6447</w:instrText>
          </w:r>
          <w:r>
            <w:rPr/>
            <w:fldChar w:fldCharType="separate"/>
          </w:r>
          <w:r>
            <w:t>28</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_Toc31154</w:instrText>
          </w:r>
          <w:r>
            <w:rPr>
              <w:rFonts w:hint="eastAsia" w:ascii="Times New Roman" w:hAnsi="Times New Roman"/>
              <w:szCs w:val="32"/>
            </w:rPr>
            <w:fldChar w:fldCharType="separate"/>
          </w:r>
          <w:r>
            <w:rPr>
              <w:rFonts w:hint="eastAsia" w:ascii="Times New Roman" w:hAnsi="Times New Roman" w:eastAsia="方正黑体_GBK"/>
            </w:rPr>
            <w:t>五、打造强大物流枢纽节点设施网络</w:t>
          </w:r>
          <w:r>
            <w:rPr/>
            <w:tab/>
          </w:r>
          <w:r>
            <w:rPr/>
            <w:fldChar w:fldCharType="begin"/>
          </w:r>
          <w:r>
            <w:rPr/>
            <w:instrText xml:space="preserve">PAGEREF _Toc31154</w:instrText>
          </w:r>
          <w:r>
            <w:rPr/>
            <w:fldChar w:fldCharType="separate"/>
          </w:r>
          <w:r>
            <w:t>29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_Toc21670</w:instrText>
          </w:r>
          <w:r>
            <w:rPr>
              <w:rFonts w:hint="eastAsia" w:ascii="Times New Roman" w:hAnsi="Times New Roman"/>
              <w:szCs w:val="32"/>
            </w:rPr>
            <w:fldChar w:fldCharType="separate"/>
          </w:r>
          <w:r>
            <w:rPr>
              <w:rFonts w:hint="eastAsia" w:ascii="Times New Roman" w:hAnsi="Times New Roman" w:eastAsia="方正楷体_GBK"/>
            </w:rPr>
            <w:t>（一）建设高品质国家物流枢纽</w:t>
          </w:r>
          <w:r>
            <w:rPr/>
            <w:tab/>
          </w:r>
          <w:r>
            <w:rPr/>
            <w:fldChar w:fldCharType="begin"/>
          </w:r>
          <w:r>
            <w:rPr/>
            <w:instrText xml:space="preserve">PAGEREF _Toc21670</w:instrText>
          </w:r>
          <w:r>
            <w:rPr/>
            <w:fldChar w:fldCharType="separate"/>
          </w:r>
          <w:r>
            <w:t>30</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_Toc11968</w:instrText>
          </w:r>
          <w:r>
            <w:rPr>
              <w:rFonts w:hint="eastAsia" w:ascii="Times New Roman" w:hAnsi="Times New Roman"/>
              <w:szCs w:val="32"/>
            </w:rPr>
            <w:fldChar w:fldCharType="separate"/>
          </w:r>
          <w:r>
            <w:rPr>
              <w:rFonts w:hint="eastAsia" w:ascii="Times New Roman" w:hAnsi="Times New Roman" w:eastAsia="方正楷体_GBK"/>
            </w:rPr>
            <w:t>（二）完善广覆盖物流设施网络</w:t>
          </w:r>
          <w:r>
            <w:rPr/>
            <w:tab/>
          </w:r>
          <w:r>
            <w:rPr/>
            <w:fldChar w:fldCharType="begin"/>
          </w:r>
          <w:r>
            <w:rPr/>
            <w:instrText xml:space="preserve">PAGEREF _Toc11968</w:instrText>
          </w:r>
          <w:r>
            <w:rPr/>
            <w:fldChar w:fldCharType="separate"/>
          </w:r>
          <w:r>
            <w:t>32</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_Toc32315</w:instrText>
          </w:r>
          <w:r>
            <w:rPr>
              <w:rFonts w:hint="eastAsia" w:ascii="Times New Roman" w:hAnsi="Times New Roman"/>
              <w:szCs w:val="32"/>
            </w:rPr>
            <w:fldChar w:fldCharType="separate"/>
          </w:r>
          <w:r>
            <w:rPr>
              <w:rFonts w:hint="eastAsia" w:ascii="Times New Roman" w:hAnsi="Times New Roman" w:eastAsia="方正楷体_GBK"/>
            </w:rPr>
            <w:t>（三）推动协同化物流服务运营</w:t>
          </w:r>
          <w:r>
            <w:rPr/>
            <w:tab/>
          </w:r>
          <w:r>
            <w:rPr/>
            <w:fldChar w:fldCharType="begin"/>
          </w:r>
          <w:r>
            <w:rPr/>
            <w:instrText xml:space="preserve">PAGEREF _Toc32315</w:instrText>
          </w:r>
          <w:r>
            <w:rPr/>
            <w:fldChar w:fldCharType="separate"/>
          </w:r>
          <w:r>
            <w:t>34</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_Toc23139</w:instrText>
          </w:r>
          <w:r>
            <w:rPr>
              <w:rFonts w:hint="eastAsia" w:ascii="Times New Roman" w:hAnsi="Times New Roman"/>
              <w:szCs w:val="32"/>
            </w:rPr>
            <w:fldChar w:fldCharType="separate"/>
          </w:r>
          <w:r>
            <w:rPr>
              <w:rFonts w:hint="eastAsia" w:ascii="Times New Roman" w:hAnsi="Times New Roman" w:eastAsia="方正黑体_GBK"/>
            </w:rPr>
            <w:t>六、创建西部重要物流产业组织中心</w:t>
          </w:r>
          <w:r>
            <w:rPr/>
            <w:tab/>
          </w:r>
          <w:r>
            <w:rPr/>
            <w:fldChar w:fldCharType="begin"/>
          </w:r>
          <w:r>
            <w:rPr/>
            <w:instrText xml:space="preserve">PAGEREF _Toc23139</w:instrText>
          </w:r>
          <w:r>
            <w:rPr/>
            <w:fldChar w:fldCharType="separate"/>
          </w:r>
          <w:r>
            <w:t>35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_Toc31316</w:instrText>
          </w:r>
          <w:r>
            <w:rPr>
              <w:rFonts w:hint="eastAsia" w:ascii="Times New Roman" w:hAnsi="Times New Roman"/>
              <w:szCs w:val="32"/>
            </w:rPr>
            <w:fldChar w:fldCharType="separate"/>
          </w:r>
          <w:r>
            <w:rPr>
              <w:rFonts w:hint="eastAsia" w:ascii="Times New Roman" w:hAnsi="Times New Roman" w:eastAsia="方正楷体_GBK"/>
            </w:rPr>
            <w:t>（一）创新建设西部陆海新通道物流和运营组织中心</w:t>
          </w:r>
          <w:r>
            <w:rPr/>
            <w:tab/>
          </w:r>
          <w:r>
            <w:rPr/>
            <w:fldChar w:fldCharType="begin"/>
          </w:r>
          <w:r>
            <w:rPr/>
            <w:instrText xml:space="preserve">PAGEREF _Toc31316</w:instrText>
          </w:r>
          <w:r>
            <w:rPr/>
            <w:fldChar w:fldCharType="separate"/>
          </w:r>
          <w:r>
            <w:t>35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_Toc180</w:instrText>
          </w:r>
          <w:r>
            <w:rPr>
              <w:rFonts w:hint="eastAsia" w:ascii="Times New Roman" w:hAnsi="Times New Roman"/>
              <w:szCs w:val="32"/>
            </w:rPr>
            <w:fldChar w:fldCharType="separate"/>
          </w:r>
          <w:r>
            <w:rPr>
              <w:rFonts w:hint="eastAsia" w:ascii="Times New Roman" w:hAnsi="Times New Roman" w:eastAsia="方正楷体_GBK"/>
            </w:rPr>
            <w:t>（二）加快推进长江上游航运中心建设</w:t>
          </w:r>
          <w:r>
            <w:rPr/>
            <w:tab/>
          </w:r>
          <w:r>
            <w:rPr/>
            <w:fldChar w:fldCharType="begin"/>
          </w:r>
          <w:r>
            <w:rPr/>
            <w:instrText xml:space="preserve">PAGEREF _Toc180</w:instrText>
          </w:r>
          <w:r>
            <w:rPr/>
            <w:fldChar w:fldCharType="separate"/>
          </w:r>
          <w:r>
            <w:t>37</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_Toc28847</w:instrText>
          </w:r>
          <w:r>
            <w:rPr>
              <w:rFonts w:hint="eastAsia" w:ascii="Times New Roman" w:hAnsi="Times New Roman"/>
              <w:szCs w:val="32"/>
            </w:rPr>
            <w:fldChar w:fldCharType="separate"/>
          </w:r>
          <w:r>
            <w:rPr>
              <w:rFonts w:hint="eastAsia" w:ascii="Times New Roman" w:hAnsi="Times New Roman" w:eastAsia="方正楷体_GBK"/>
            </w:rPr>
            <w:t>（三）提升亚欧国际物流大通道运营组织水平</w:t>
          </w:r>
          <w:r>
            <w:rPr/>
            <w:tab/>
          </w:r>
          <w:r>
            <w:rPr/>
            <w:fldChar w:fldCharType="begin"/>
          </w:r>
          <w:r>
            <w:rPr/>
            <w:instrText xml:space="preserve">PAGEREF _Toc28847</w:instrText>
          </w:r>
          <w:r>
            <w:rPr/>
            <w:fldChar w:fldCharType="separate"/>
          </w:r>
          <w:r>
            <w:t>38</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_Toc13915</w:instrText>
          </w:r>
          <w:r>
            <w:rPr>
              <w:rFonts w:hint="eastAsia" w:ascii="Times New Roman" w:hAnsi="Times New Roman"/>
              <w:szCs w:val="32"/>
            </w:rPr>
            <w:fldChar w:fldCharType="separate"/>
          </w:r>
          <w:r>
            <w:rPr>
              <w:rFonts w:hint="eastAsia" w:ascii="Times New Roman" w:hAnsi="Times New Roman" w:eastAsia="方正楷体_GBK"/>
            </w:rPr>
            <w:t>（四）培育发展航空物流枢纽运营平台</w:t>
          </w:r>
          <w:r>
            <w:rPr/>
            <w:tab/>
          </w:r>
          <w:r>
            <w:rPr/>
            <w:fldChar w:fldCharType="begin"/>
          </w:r>
          <w:r>
            <w:rPr/>
            <w:instrText xml:space="preserve">PAGEREF _Toc13915</w:instrText>
          </w:r>
          <w:r>
            <w:rPr/>
            <w:fldChar w:fldCharType="separate"/>
          </w:r>
          <w:r>
            <w:t>39</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_Toc1964</w:instrText>
          </w:r>
          <w:r>
            <w:rPr>
              <w:rFonts w:hint="eastAsia" w:ascii="Times New Roman" w:hAnsi="Times New Roman"/>
              <w:szCs w:val="32"/>
            </w:rPr>
            <w:fldChar w:fldCharType="separate"/>
          </w:r>
          <w:r>
            <w:rPr>
              <w:rFonts w:hint="eastAsia" w:ascii="Times New Roman" w:hAnsi="Times New Roman" w:eastAsia="方正黑体_GBK"/>
            </w:rPr>
            <w:t>七、构建支撑产业高质量发展的供应链服务体系</w:t>
          </w:r>
          <w:r>
            <w:rPr/>
            <w:tab/>
          </w:r>
          <w:r>
            <w:rPr/>
            <w:fldChar w:fldCharType="begin"/>
          </w:r>
          <w:r>
            <w:rPr/>
            <w:instrText xml:space="preserve">PAGEREF _Toc1964</w:instrText>
          </w:r>
          <w:r>
            <w:rPr/>
            <w:fldChar w:fldCharType="separate"/>
          </w:r>
          <w:r>
            <w:t>40</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_Toc17201</w:instrText>
          </w:r>
          <w:r>
            <w:rPr>
              <w:rFonts w:hint="eastAsia" w:ascii="Times New Roman" w:hAnsi="Times New Roman"/>
              <w:szCs w:val="32"/>
            </w:rPr>
            <w:fldChar w:fldCharType="separate"/>
          </w:r>
          <w:r>
            <w:rPr>
              <w:rFonts w:hint="eastAsia" w:ascii="Times New Roman" w:hAnsi="Times New Roman" w:eastAsia="方正楷体_GBK"/>
            </w:rPr>
            <w:t>（一）创建制造业供应链物流服务体系</w:t>
          </w:r>
          <w:r>
            <w:rPr/>
            <w:tab/>
          </w:r>
          <w:r>
            <w:rPr/>
            <w:fldChar w:fldCharType="begin"/>
          </w:r>
          <w:r>
            <w:rPr/>
            <w:instrText xml:space="preserve">PAGEREF _Toc17201</w:instrText>
          </w:r>
          <w:r>
            <w:rPr/>
            <w:fldChar w:fldCharType="separate"/>
          </w:r>
          <w:r>
            <w:t>41</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_Toc32491</w:instrText>
          </w:r>
          <w:r>
            <w:rPr>
              <w:rFonts w:hint="eastAsia" w:ascii="Times New Roman" w:hAnsi="Times New Roman"/>
              <w:szCs w:val="32"/>
            </w:rPr>
            <w:fldChar w:fldCharType="separate"/>
          </w:r>
          <w:r>
            <w:rPr>
              <w:rFonts w:hint="eastAsia" w:ascii="Times New Roman" w:hAnsi="Times New Roman" w:eastAsia="方正楷体_GBK"/>
            </w:rPr>
            <w:t>（二）打造大宗商品物流供应链服务体系</w:t>
          </w:r>
          <w:r>
            <w:rPr/>
            <w:tab/>
          </w:r>
          <w:r>
            <w:rPr/>
            <w:fldChar w:fldCharType="begin"/>
          </w:r>
          <w:r>
            <w:rPr/>
            <w:instrText xml:space="preserve">PAGEREF _Toc32491</w:instrText>
          </w:r>
          <w:r>
            <w:rPr/>
            <w:fldChar w:fldCharType="separate"/>
          </w:r>
          <w:r>
            <w:t>42</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_Toc19151</w:instrText>
          </w:r>
          <w:r>
            <w:rPr>
              <w:rFonts w:hint="eastAsia" w:ascii="Times New Roman" w:hAnsi="Times New Roman"/>
              <w:szCs w:val="32"/>
            </w:rPr>
            <w:fldChar w:fldCharType="separate"/>
          </w:r>
          <w:r>
            <w:rPr>
              <w:rFonts w:hint="eastAsia" w:ascii="Times New Roman" w:hAnsi="Times New Roman" w:eastAsia="方正楷体_GBK"/>
            </w:rPr>
            <w:t>（三）赋能商贸与电商物流供应链服务体系</w:t>
          </w:r>
          <w:r>
            <w:rPr/>
            <w:tab/>
          </w:r>
          <w:r>
            <w:rPr/>
            <w:fldChar w:fldCharType="begin"/>
          </w:r>
          <w:r>
            <w:rPr/>
            <w:instrText xml:space="preserve">PAGEREF _Toc19151</w:instrText>
          </w:r>
          <w:r>
            <w:rPr/>
            <w:fldChar w:fldCharType="separate"/>
          </w:r>
          <w:r>
            <w:t>43</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_Toc19482</w:instrText>
          </w:r>
          <w:r>
            <w:rPr>
              <w:rFonts w:hint="eastAsia" w:ascii="Times New Roman" w:hAnsi="Times New Roman"/>
              <w:szCs w:val="32"/>
            </w:rPr>
            <w:fldChar w:fldCharType="separate"/>
          </w:r>
          <w:r>
            <w:rPr>
              <w:rFonts w:hint="eastAsia" w:ascii="Times New Roman" w:hAnsi="Times New Roman" w:eastAsia="方正黑体_GBK"/>
            </w:rPr>
            <w:t>八、推动重点领域物流加快发展</w:t>
          </w:r>
          <w:r>
            <w:rPr/>
            <w:tab/>
          </w:r>
          <w:r>
            <w:rPr/>
            <w:fldChar w:fldCharType="begin"/>
          </w:r>
          <w:r>
            <w:rPr/>
            <w:instrText xml:space="preserve">PAGEREF _Toc19482</w:instrText>
          </w:r>
          <w:r>
            <w:rPr/>
            <w:fldChar w:fldCharType="separate"/>
          </w:r>
          <w:r>
            <w:t>44</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_Toc12995</w:instrText>
          </w:r>
          <w:r>
            <w:rPr>
              <w:rFonts w:hint="eastAsia" w:ascii="Times New Roman" w:hAnsi="Times New Roman"/>
              <w:szCs w:val="32"/>
            </w:rPr>
            <w:fldChar w:fldCharType="separate"/>
          </w:r>
          <w:r>
            <w:rPr>
              <w:rFonts w:hint="eastAsia" w:ascii="Times New Roman" w:hAnsi="Times New Roman" w:eastAsia="方正楷体_GBK"/>
            </w:rPr>
            <w:t>（一）大力发展多式联运</w:t>
          </w:r>
          <w:r>
            <w:rPr/>
            <w:tab/>
          </w:r>
          <w:r>
            <w:rPr/>
            <w:fldChar w:fldCharType="begin"/>
          </w:r>
          <w:r>
            <w:rPr/>
            <w:instrText xml:space="preserve">PAGEREF _Toc12995</w:instrText>
          </w:r>
          <w:r>
            <w:rPr/>
            <w:fldChar w:fldCharType="separate"/>
          </w:r>
          <w:r>
            <w:t>45</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_Toc13021</w:instrText>
          </w:r>
          <w:r>
            <w:rPr>
              <w:rFonts w:hint="eastAsia" w:ascii="Times New Roman" w:hAnsi="Times New Roman"/>
              <w:szCs w:val="32"/>
            </w:rPr>
            <w:fldChar w:fldCharType="separate"/>
          </w:r>
          <w:r>
            <w:rPr>
              <w:rFonts w:hint="eastAsia" w:ascii="Times New Roman" w:hAnsi="Times New Roman" w:eastAsia="方正楷体_GBK"/>
            </w:rPr>
            <w:t>（二）加快发展冷链物流</w:t>
          </w:r>
          <w:r>
            <w:rPr/>
            <w:tab/>
          </w:r>
          <w:r>
            <w:rPr/>
            <w:fldChar w:fldCharType="begin"/>
          </w:r>
          <w:r>
            <w:rPr/>
            <w:instrText xml:space="preserve">PAGEREF _Toc13021</w:instrText>
          </w:r>
          <w:r>
            <w:rPr/>
            <w:fldChar w:fldCharType="separate"/>
          </w:r>
          <w:r>
            <w:t>46</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_Toc31552</w:instrText>
          </w:r>
          <w:r>
            <w:rPr>
              <w:rFonts w:hint="eastAsia" w:ascii="Times New Roman" w:hAnsi="Times New Roman"/>
              <w:szCs w:val="32"/>
            </w:rPr>
            <w:fldChar w:fldCharType="separate"/>
          </w:r>
          <w:r>
            <w:rPr>
              <w:rFonts w:hint="eastAsia" w:ascii="Times New Roman" w:hAnsi="Times New Roman" w:eastAsia="方正楷体_GBK"/>
            </w:rPr>
            <w:t>（三）推进城乡物流发展</w:t>
          </w:r>
          <w:r>
            <w:rPr/>
            <w:tab/>
          </w:r>
          <w:r>
            <w:rPr/>
            <w:fldChar w:fldCharType="begin"/>
          </w:r>
          <w:r>
            <w:rPr/>
            <w:instrText xml:space="preserve">PAGEREF _Toc31552</w:instrText>
          </w:r>
          <w:r>
            <w:rPr/>
            <w:fldChar w:fldCharType="separate"/>
          </w:r>
          <w:r>
            <w:t>48</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_Toc22832</w:instrText>
          </w:r>
          <w:r>
            <w:rPr>
              <w:rFonts w:hint="eastAsia" w:ascii="Times New Roman" w:hAnsi="Times New Roman"/>
              <w:szCs w:val="32"/>
            </w:rPr>
            <w:fldChar w:fldCharType="separate"/>
          </w:r>
          <w:r>
            <w:rPr>
              <w:rFonts w:hint="eastAsia" w:ascii="Times New Roman" w:hAnsi="Times New Roman" w:eastAsia="方正楷体_GBK"/>
            </w:rPr>
            <w:t>（四）挖掘库区物流潜力</w:t>
          </w:r>
          <w:r>
            <w:rPr/>
            <w:tab/>
          </w:r>
          <w:r>
            <w:rPr/>
            <w:fldChar w:fldCharType="begin"/>
          </w:r>
          <w:r>
            <w:rPr/>
            <w:instrText xml:space="preserve">PAGEREF _Toc22832</w:instrText>
          </w:r>
          <w:r>
            <w:rPr/>
            <w:fldChar w:fldCharType="separate"/>
          </w:r>
          <w:r>
            <w:t>50</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_Toc9863</w:instrText>
          </w:r>
          <w:r>
            <w:rPr>
              <w:rFonts w:hint="eastAsia" w:ascii="Times New Roman" w:hAnsi="Times New Roman"/>
              <w:szCs w:val="32"/>
            </w:rPr>
            <w:fldChar w:fldCharType="separate"/>
          </w:r>
          <w:r>
            <w:rPr>
              <w:rFonts w:hint="eastAsia" w:ascii="Times New Roman" w:hAnsi="Times New Roman" w:eastAsia="方正楷体_GBK"/>
            </w:rPr>
            <w:t>（五）创新应急物流发展</w:t>
          </w:r>
          <w:r>
            <w:rPr/>
            <w:tab/>
          </w:r>
          <w:r>
            <w:rPr/>
            <w:fldChar w:fldCharType="begin"/>
          </w:r>
          <w:r>
            <w:rPr/>
            <w:instrText xml:space="preserve">PAGEREF _Toc9863</w:instrText>
          </w:r>
          <w:r>
            <w:rPr/>
            <w:fldChar w:fldCharType="separate"/>
          </w:r>
          <w:r>
            <w:t>51</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_Toc9149</w:instrText>
          </w:r>
          <w:r>
            <w:rPr>
              <w:rFonts w:hint="eastAsia" w:ascii="Times New Roman" w:hAnsi="Times New Roman"/>
              <w:szCs w:val="32"/>
            </w:rPr>
            <w:fldChar w:fldCharType="separate"/>
          </w:r>
          <w:r>
            <w:rPr>
              <w:rFonts w:hint="eastAsia" w:ascii="Times New Roman" w:hAnsi="Times New Roman" w:eastAsia="方正楷体_GBK"/>
            </w:rPr>
            <w:t>（六）优先发展智慧物流</w:t>
          </w:r>
          <w:r>
            <w:rPr/>
            <w:tab/>
          </w:r>
          <w:r>
            <w:rPr/>
            <w:fldChar w:fldCharType="begin"/>
          </w:r>
          <w:r>
            <w:rPr/>
            <w:instrText xml:space="preserve">PAGEREF _Toc9149</w:instrText>
          </w:r>
          <w:r>
            <w:rPr/>
            <w:fldChar w:fldCharType="separate"/>
          </w:r>
          <w:r>
            <w:t>52</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_Toc27738</w:instrText>
          </w:r>
          <w:r>
            <w:rPr>
              <w:rFonts w:hint="eastAsia" w:ascii="Times New Roman" w:hAnsi="Times New Roman"/>
              <w:szCs w:val="32"/>
            </w:rPr>
            <w:fldChar w:fldCharType="separate"/>
          </w:r>
          <w:r>
            <w:rPr>
              <w:rFonts w:hint="eastAsia" w:ascii="Times New Roman" w:hAnsi="Times New Roman" w:eastAsia="方正楷体_GBK"/>
            </w:rPr>
            <w:t>（七）促进物流绿色发展</w:t>
          </w:r>
          <w:r>
            <w:rPr/>
            <w:tab/>
          </w:r>
          <w:r>
            <w:rPr/>
            <w:fldChar w:fldCharType="begin"/>
          </w:r>
          <w:r>
            <w:rPr/>
            <w:instrText xml:space="preserve">PAGEREF _Toc27738</w:instrText>
          </w:r>
          <w:r>
            <w:rPr/>
            <w:fldChar w:fldCharType="separate"/>
          </w:r>
          <w:r>
            <w:t>54</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_Toc16886</w:instrText>
          </w:r>
          <w:r>
            <w:rPr>
              <w:rFonts w:hint="eastAsia" w:ascii="Times New Roman" w:hAnsi="Times New Roman"/>
              <w:szCs w:val="32"/>
            </w:rPr>
            <w:fldChar w:fldCharType="separate"/>
          </w:r>
          <w:r>
            <w:rPr>
              <w:rFonts w:hint="eastAsia" w:ascii="Times New Roman" w:hAnsi="Times New Roman" w:eastAsia="方正楷体_GBK"/>
            </w:rPr>
            <w:t>（八）拓展物流金融服务</w:t>
          </w:r>
          <w:r>
            <w:rPr/>
            <w:tab/>
          </w:r>
          <w:r>
            <w:rPr/>
            <w:fldChar w:fldCharType="begin"/>
          </w:r>
          <w:r>
            <w:rPr/>
            <w:instrText xml:space="preserve">PAGEREF _Toc16886</w:instrText>
          </w:r>
          <w:r>
            <w:rPr/>
            <w:fldChar w:fldCharType="separate"/>
          </w:r>
          <w:r>
            <w:t>56</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_Toc8755</w:instrText>
          </w:r>
          <w:r>
            <w:rPr>
              <w:rFonts w:hint="eastAsia" w:ascii="Times New Roman" w:hAnsi="Times New Roman"/>
              <w:szCs w:val="32"/>
            </w:rPr>
            <w:fldChar w:fldCharType="separate"/>
          </w:r>
          <w:r>
            <w:rPr>
              <w:rFonts w:hint="eastAsia" w:ascii="Times New Roman" w:hAnsi="Times New Roman" w:eastAsia="方正楷体_GBK"/>
            </w:rPr>
            <w:t>（九）培育物流市场主体</w:t>
          </w:r>
          <w:r>
            <w:rPr/>
            <w:tab/>
          </w:r>
          <w:r>
            <w:rPr/>
            <w:fldChar w:fldCharType="begin"/>
          </w:r>
          <w:r>
            <w:rPr/>
            <w:instrText xml:space="preserve">PAGEREF _Toc8755</w:instrText>
          </w:r>
          <w:r>
            <w:rPr/>
            <w:fldChar w:fldCharType="separate"/>
          </w:r>
          <w:r>
            <w:t>57</w:t>
          </w:r>
          <w:r>
            <w:rPr/>
            <w:fldChar w:fldCharType="end"/>
          </w:r>
          <w:r>
            <w:rPr>
              <w:rFonts w:hint="eastAsia" w:ascii="Times New Roman" w:hAnsi="Times New Roman"/>
              <w:szCs w:val="32"/>
            </w:rPr>
            <w:fldChar w:fldCharType="end"/>
          </w:r>
        </w:p>
        <w:p>
          <w:pPr>
            <w:pStyle w:val="31"/>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_Toc20474</w:instrText>
          </w:r>
          <w:r>
            <w:rPr>
              <w:rFonts w:hint="eastAsia" w:ascii="Times New Roman" w:hAnsi="Times New Roman"/>
              <w:szCs w:val="32"/>
            </w:rPr>
            <w:fldChar w:fldCharType="separate"/>
          </w:r>
          <w:r>
            <w:rPr>
              <w:rFonts w:hint="eastAsia" w:ascii="Times New Roman" w:hAnsi="Times New Roman" w:eastAsia="方正黑体_GBK"/>
            </w:rPr>
            <w:t>九、保障措施</w:t>
          </w:r>
          <w:r>
            <w:rPr/>
            <w:tab/>
          </w:r>
          <w:r>
            <w:rPr/>
            <w:fldChar w:fldCharType="begin"/>
          </w:r>
          <w:r>
            <w:rPr/>
            <w:instrText xml:space="preserve">PAGEREF _Toc20474</w:instrText>
          </w:r>
          <w:r>
            <w:rPr/>
            <w:fldChar w:fldCharType="separate"/>
          </w:r>
          <w:r>
            <w:t>59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_Toc17949</w:instrText>
          </w:r>
          <w:r>
            <w:rPr>
              <w:rFonts w:hint="eastAsia" w:ascii="Times New Roman" w:hAnsi="Times New Roman"/>
              <w:szCs w:val="32"/>
            </w:rPr>
            <w:fldChar w:fldCharType="separate"/>
          </w:r>
          <w:r>
            <w:rPr>
              <w:rFonts w:hint="eastAsia" w:ascii="Times New Roman" w:hAnsi="Times New Roman" w:eastAsia="方正楷体_GBK"/>
            </w:rPr>
            <w:t>（一）构建高效物流管理体制与机制</w:t>
          </w:r>
          <w:r>
            <w:rPr/>
            <w:tab/>
          </w:r>
          <w:r>
            <w:rPr/>
            <w:fldChar w:fldCharType="begin"/>
          </w:r>
          <w:r>
            <w:rPr/>
            <w:instrText xml:space="preserve">PAGEREF _Toc17949</w:instrText>
          </w:r>
          <w:r>
            <w:rPr/>
            <w:fldChar w:fldCharType="separate"/>
          </w:r>
          <w:r>
            <w:t>59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_Toc25730</w:instrText>
          </w:r>
          <w:r>
            <w:rPr>
              <w:rFonts w:hint="eastAsia" w:ascii="Times New Roman" w:hAnsi="Times New Roman"/>
              <w:szCs w:val="32"/>
            </w:rPr>
            <w:fldChar w:fldCharType="separate"/>
          </w:r>
          <w:r>
            <w:rPr>
              <w:rFonts w:hint="eastAsia" w:ascii="Times New Roman" w:hAnsi="Times New Roman" w:eastAsia="方正楷体_GBK"/>
            </w:rPr>
            <w:t>（二）营造物流高质量发展政策环境</w:t>
          </w:r>
          <w:r>
            <w:rPr/>
            <w:tab/>
          </w:r>
          <w:r>
            <w:rPr/>
            <w:fldChar w:fldCharType="begin"/>
          </w:r>
          <w:r>
            <w:rPr/>
            <w:instrText xml:space="preserve">PAGEREF _Toc25730</w:instrText>
          </w:r>
          <w:r>
            <w:rPr/>
            <w:fldChar w:fldCharType="separate"/>
          </w:r>
          <w:r>
            <w:t>59</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_Toc18776</w:instrText>
          </w:r>
          <w:r>
            <w:rPr>
              <w:rFonts w:hint="eastAsia" w:ascii="Times New Roman" w:hAnsi="Times New Roman"/>
              <w:szCs w:val="32"/>
            </w:rPr>
            <w:fldChar w:fldCharType="separate"/>
          </w:r>
          <w:r>
            <w:rPr>
              <w:rFonts w:hint="eastAsia" w:ascii="Times New Roman" w:hAnsi="Times New Roman" w:eastAsia="方正楷体_GBK"/>
            </w:rPr>
            <w:t>（三）加快完善重点领域物流业政策</w:t>
          </w:r>
          <w:r>
            <w:rPr/>
            <w:tab/>
          </w:r>
          <w:r>
            <w:rPr/>
            <w:fldChar w:fldCharType="begin"/>
          </w:r>
          <w:r>
            <w:rPr/>
            <w:instrText xml:space="preserve">PAGEREF _Toc18776</w:instrText>
          </w:r>
          <w:r>
            <w:rPr/>
            <w:fldChar w:fldCharType="separate"/>
          </w:r>
          <w:r>
            <w:t>60</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_Toc21364</w:instrText>
          </w:r>
          <w:r>
            <w:rPr>
              <w:rFonts w:hint="eastAsia" w:ascii="Times New Roman" w:hAnsi="Times New Roman"/>
              <w:szCs w:val="32"/>
            </w:rPr>
            <w:fldChar w:fldCharType="separate"/>
          </w:r>
          <w:r>
            <w:rPr>
              <w:rFonts w:hint="eastAsia" w:ascii="Times New Roman" w:hAnsi="Times New Roman" w:eastAsia="方正楷体_GBK"/>
            </w:rPr>
            <w:t>（四）创新物流资源要素聚集与整合</w:t>
          </w:r>
          <w:r>
            <w:rPr/>
            <w:tab/>
          </w:r>
          <w:r>
            <w:rPr/>
            <w:fldChar w:fldCharType="begin"/>
          </w:r>
          <w:r>
            <w:rPr/>
            <w:instrText xml:space="preserve">PAGEREF _Toc21364</w:instrText>
          </w:r>
          <w:r>
            <w:rPr/>
            <w:fldChar w:fldCharType="separate"/>
          </w:r>
          <w:r>
            <w:t>61</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_Toc24890</w:instrText>
          </w:r>
          <w:r>
            <w:rPr>
              <w:rFonts w:hint="eastAsia" w:ascii="Times New Roman" w:hAnsi="Times New Roman"/>
              <w:szCs w:val="32"/>
            </w:rPr>
            <w:fldChar w:fldCharType="separate"/>
          </w:r>
          <w:r>
            <w:rPr>
              <w:rFonts w:hint="eastAsia" w:ascii="Times New Roman" w:hAnsi="Times New Roman" w:eastAsia="方正楷体_GBK"/>
            </w:rPr>
            <w:t>（五）强化组织实施与落实主体责任</w:t>
          </w:r>
          <w:r>
            <w:rPr/>
            <w:tab/>
          </w:r>
          <w:r>
            <w:rPr/>
            <w:fldChar w:fldCharType="begin"/>
          </w:r>
          <w:r>
            <w:rPr/>
            <w:instrText xml:space="preserve">PAGEREF _Toc24890</w:instrText>
          </w:r>
          <w:r>
            <w:rPr/>
            <w:fldChar w:fldCharType="separate"/>
          </w:r>
          <w:r>
            <w:t>61</w:t>
          </w:r>
          <w:r>
            <w:rPr/>
            <w:fldChar w:fldCharType="end"/>
          </w:r>
          <w:r>
            <w:rPr>
              <w:rFonts w:hint="eastAsia" w:ascii="Times New Roman" w:hAnsi="Times New Roman"/>
              <w:szCs w:val="32"/>
            </w:rPr>
            <w:fldChar w:fldCharType="end"/>
          </w:r>
        </w:p>
        <w:p>
          <w:pPr>
            <w:ind w:left="632"/>
            <w:pStyle w:val="32"/>
            <w:tabs>
              <w:tab w:val="right" w:pos="8844" w:leader="dot"/>
            </w:tabs>
          </w:pPr>
          <w:r>
            <w:rPr>
              <w:rFonts w:hint="eastAsia" w:ascii="Times New Roman" w:hAnsi="Times New Roman"/>
              <w:szCs w:val="32"/>
            </w:rPr>
            <w:fldChar w:fldCharType="begin"/>
          </w:r>
          <w:r>
            <w:rPr>
              <w:rFonts w:hint="eastAsia" w:ascii="Times New Roman" w:hAnsi="Times New Roman"/>
              <w:szCs w:val="32"/>
            </w:rPr>
            <w:instrText xml:space="preserve">HYPERLINK \l _Toc29129</w:instrText>
          </w:r>
          <w:r>
            <w:rPr>
              <w:rFonts w:hint="eastAsia" w:ascii="Times New Roman" w:hAnsi="Times New Roman"/>
              <w:szCs w:val="32"/>
            </w:rPr>
            <w:fldChar w:fldCharType="separate"/>
          </w:r>
          <w:r>
            <w:rPr>
              <w:rFonts w:hint="eastAsia" w:ascii="Times New Roman" w:hAnsi="Times New Roman" w:eastAsia="方正楷体_GBK"/>
            </w:rPr>
            <w:t>（六）确保实现重庆物流发展战略定位</w:t>
          </w:r>
          <w:r>
            <w:rPr/>
            <w:tab/>
          </w:r>
          <w:r>
            <w:rPr/>
            <w:fldChar w:fldCharType="begin"/>
          </w:r>
          <w:r>
            <w:rPr/>
            <w:instrText xml:space="preserve">PAGEREF _Toc29129</w:instrText>
          </w:r>
          <w:r>
            <w:rPr/>
            <w:fldChar w:fldCharType="separate"/>
          </w:r>
          <w:r>
            <w:t>62</w:t>
          </w:r>
          <w:r>
            <w:rPr/>
            <w:fldChar w:fldCharType="end"/>
          </w:r>
          <w:r>
            <w:rPr>
              <w:rFonts w:hint="eastAsia" w:ascii="Times New Roman" w:hAnsi="Times New Roman"/>
              <w:szCs w:val="32"/>
            </w:rPr>
            <w:fldChar w:fldCharType="end"/>
          </w:r>
        </w:p>
        <w:p>
          <w:pPr>
            <w:ind w:firstLine="632" w:firstLineChars="200"/>
            <w:jc w:val="both"/>
            <w:pStyle w:val="16"/>
            <w:snapToGrid w:val="0"/>
            <w:spacing w:afterAutospacing="0" w:beforeAutospacing="0" w:line="600" w:lineRule="exact"/>
            <w:sectPr>
              <w:footerReference r:id="rId4" w:type="default"/>
              <w:footerReference r:id="rId5" w:type="even"/>
              <w:docGrid w:charSpace="-849" w:linePitch="579" w:type="linesAndChars"/>
              <w:pgMar w:top="2098" w:right="1531" w:bottom="1985" w:left="1531" w:header="851" w:footer="1474" w:gutter="0"/>
              <w:pgNumType w:start="1"/>
              <w:pgSz w:h="16838" w:w="11906"/>
            </w:sectPr>
          </w:pPr>
          <w:r>
            <w:rPr>
              <w:b w:val="1"/>
              <w:rFonts w:hint="eastAsia" w:ascii="Times New Roman" w:hAnsi="Times New Roman" w:eastAsia="方正仿宋_GBK"/>
              <w:sz w:val="32"/>
              <w:szCs w:val="32"/>
            </w:rPr>
            <w:fldChar w:fldCharType="end"/>
          </w:r>
          <w:bookmarkStart w:id="0" w:name="_Toc61863731"/>
          <w:bookmarkStart w:id="1" w:name="_Toc30516"/>
          <w:bookmarkStart w:id="2" w:name="_Toc2660"/>
          <w:bookmarkStart w:id="3" w:name="_Toc7235"/>
          <w:bookmarkStart w:id="4" w:name="_Toc6869"/>
        </w:p>
      </w:sdtContent>
    </w:sdt>
    <w:p>
      <w:pPr>
        <w:jc w:val="center"/>
        <w:outlineLvl w:val="0"/>
        <w:pStyle w:val="16"/>
        <w:spacing w:afterAutospacing="0" w:beforeAutospacing="0" w:line="590" w:lineRule="exact"/>
        <w:rPr>
          <w:rFonts w:hint="eastAsia" w:ascii="Times New Roman" w:hAnsi="Times New Roman" w:eastAsia="方正黑体_GBK"/>
          <w:sz w:val="44"/>
          <w:szCs w:val="44"/>
        </w:rPr>
      </w:pPr>
      <w:r>
        <w:rPr>
          <w:rFonts w:hint="eastAsia" w:ascii="Times New Roman" w:hAnsi="Times New Roman" w:eastAsia="方正黑体_GBK"/>
          <w:sz w:val="44"/>
          <w:szCs w:val="44"/>
        </w:rPr>
        <w:t xml:space="preserve">前  言</w:t>
      </w:r>
    </w:p>
    <w:p>
      <w:pPr>
        <w:ind w:firstLine="632" w:firstLineChars="200"/>
        <w:rPr>
          <w:rFonts w:hint="eastAsia" w:ascii="Times New Roman" w:hAnsi="Times New Roman"/>
        </w:rPr>
      </w:pPr>
      <w:r>
        <w:rPr>
          <w:rFonts w:hint="eastAsia" w:ascii="Times New Roman" w:hAnsi="Times New Roman"/>
        </w:rPr>
        <w:t>物流业是融合运输、仓储、货代、信息等产业的复合型服务业，是支撑国民经济发展的基础性、战略性、先导性产业。加快现代物流高质量发展，畅通国民经济循环，支撑构建新发展格局，推动全面建成社会主义现代化具有重要意义。</w:t>
      </w:r>
    </w:p>
    <w:p>
      <w:pPr>
        <w:ind w:firstLine="632" w:firstLineChars="200"/>
        <w:rPr>
          <w:rFonts w:hint="eastAsia" w:ascii="Times New Roman" w:hAnsi="Times New Roman"/>
          <w:szCs w:val="32"/>
        </w:rPr>
      </w:pPr>
      <w:r>
        <w:rPr>
          <w:rFonts w:hint="eastAsia" w:ascii="Times New Roman" w:hAnsi="Times New Roman"/>
        </w:rPr>
        <w:t>重庆是我国中西部地区唯一的直辖市，区位优势突出，战略地位重要，深入贯彻习近平总书记对重庆提出的营造良好政治生态，坚持“两点”定位、“两地”“两高”目标，发挥“三个作用”和推动成渝地区双城经济圈建设等重要指示要求，积极培育战略级的现代物流产业，打造全市国民经济支柱性产业，服务制造、商贸等产业高质量扩张发展，是重庆经济和产业发展的重要战略任务，也是重庆实现对东部沿海地区后发赶超的创新发展路径。立足推进西部大开发形成</w:t>
      </w:r>
      <w:r>
        <w:rPr>
          <w:rFonts w:ascii="Times New Roman" w:hAnsi="Times New Roman"/>
        </w:rPr>
        <w:t>新格局，</w:t>
      </w:r>
      <w:r>
        <w:rPr>
          <w:rFonts w:hint="eastAsia" w:ascii="Times New Roman" w:hAnsi="Times New Roman"/>
        </w:rPr>
        <w:t>积极对接和实施“一带一路”建设、长江经济带发展以及西部陆海新通道、成渝地区双城经济圈建设等国家战略，加快构建高质量的现代物流产业体系，支撑</w:t>
      </w:r>
      <w:r>
        <w:rPr>
          <w:rFonts w:ascii="Times New Roman" w:hAnsi="Times New Roman"/>
        </w:rPr>
        <w:t>内陆开放</w:t>
      </w:r>
      <w:r>
        <w:rPr>
          <w:rFonts w:hint="eastAsia" w:ascii="Times New Roman" w:hAnsi="Times New Roman"/>
        </w:rPr>
        <w:t>高地</w:t>
      </w:r>
      <w:r>
        <w:rPr>
          <w:rFonts w:ascii="Times New Roman" w:hAnsi="Times New Roman"/>
        </w:rPr>
        <w:t>建设，实现带头开放、带动发展，</w:t>
      </w:r>
      <w:r>
        <w:rPr>
          <w:rFonts w:hint="eastAsia" w:ascii="Times New Roman" w:hAnsi="Times New Roman"/>
          <w:szCs w:val="32"/>
        </w:rPr>
        <w:t>对重庆及西部地区具有重要的战略价值和示范意义。</w:t>
      </w:r>
    </w:p>
    <w:p>
      <w:pPr>
        <w:ind w:firstLine="632" w:firstLineChars="200"/>
        <w:jc w:val="both"/>
        <w:pStyle w:val="16"/>
        <w:sectPr>
          <w:docGrid w:charSpace="-849" w:linePitch="579" w:type="linesAndChars"/>
          <w:pgMar w:top="2098" w:right="1531" w:bottom="1985" w:left="1531" w:header="851" w:footer="1474" w:gutter="0"/>
          <w:pgNumType w:start="1"/>
          <w:pgSz w:h="16838" w:w="11906"/>
        </w:sectPr>
      </w:pPr>
      <w:r>
        <w:rPr>
          <w:rFonts w:hint="eastAsia" w:ascii="Times New Roman" w:hAnsi="Times New Roman" w:eastAsia="方正仿宋_GBK"/>
          <w:sz w:val="32"/>
          <w:szCs w:val="32"/>
        </w:rPr>
        <w:t>根据国家《交通强国建设纲要》《国家综合立体交通网规划纲要》《国家物流枢纽布局和建设规划》《成渝地区双城经济圈建设规划纲要》和《中共重庆市委关于制定重庆市国民经济和社会发展第十四个五年规划和二〇三五年远景目标的建议》《重庆市人民政府关于印发重庆市国民经济和社会发展第十四个五年规划和</w:t>
      </w:r>
      <w:r>
        <w:rPr>
          <w:rFonts w:hint="default" w:ascii="Times New Roman" w:hAnsi="Times New Roman" w:eastAsia="方正仿宋_GBK"/>
          <w:sz w:val="32"/>
          <w:szCs w:val="32"/>
        </w:rPr>
        <w:t>二〇三五年远景目标</w:t>
      </w:r>
      <w:r>
        <w:rPr>
          <w:rFonts w:hint="eastAsia" w:ascii="Times New Roman" w:hAnsi="Times New Roman" w:eastAsia="方正仿宋_GBK"/>
          <w:sz w:val="32"/>
          <w:szCs w:val="32"/>
        </w:rPr>
        <w:t>纲要》《重庆市国土空间总体规划（2020-2035年）》等，制定本规划，规划期为2021-2035年。</w:t>
      </w:r>
    </w:p>
    <w:p>
      <w:pPr>
        <w:ind w:firstLine="632" w:firstLineChars="200"/>
        <w:outlineLvl w:val="0"/>
        <w:rPr>
          <w:rFonts w:hint="eastAsia" w:ascii="Times New Roman" w:hAnsi="Times New Roman" w:eastAsia="方正黑体_GBK"/>
        </w:rPr>
      </w:pPr>
      <w:bookmarkStart w:id="5" w:name="_Toc24240"/>
      <w:bookmarkStart w:id="6" w:name="_Toc23164"/>
      <w:bookmarkStart w:id="7" w:name="_Toc61863732"/>
      <w:bookmarkStart w:id="8" w:name="_Toc28088"/>
      <w:bookmarkStart w:id="9" w:name="_Toc9341"/>
      <w:r>
        <w:rPr>
          <w:rFonts w:hint="eastAsia" w:ascii="Times New Roman" w:hAnsi="Times New Roman" w:eastAsia="方正黑体_GBK"/>
        </w:rPr>
        <w:t>一、发展环境</w:t>
      </w:r>
      <w:bookmarkEnd w:id="5"/>
      <w:bookmarkEnd w:id="6"/>
      <w:bookmarkEnd w:id="7"/>
      <w:bookmarkEnd w:id="8"/>
      <w:bookmarkEnd w:id="9"/>
    </w:p>
    <w:p>
      <w:pPr>
        <w:ind w:firstLine="632" w:firstLineChars="200"/>
        <w:outlineLvl w:val="1"/>
        <w:rPr>
          <w:rFonts w:hint="eastAsia" w:ascii="Times New Roman" w:hAnsi="Times New Roman" w:eastAsia="方正楷体_GBK"/>
        </w:rPr>
      </w:pPr>
      <w:bookmarkStart w:id="10" w:name="_Toc2909"/>
      <w:bookmarkStart w:id="11" w:name="_Toc19150"/>
      <w:bookmarkStart w:id="12" w:name="_Toc61863733"/>
      <w:bookmarkStart w:id="13" w:name="_Toc27375"/>
      <w:bookmarkStart w:id="14" w:name="_Toc4051"/>
      <w:r>
        <w:rPr>
          <w:rFonts w:hint="eastAsia" w:ascii="Times New Roman" w:hAnsi="Times New Roman" w:eastAsia="方正楷体_GBK"/>
        </w:rPr>
        <w:t>（一）形势要求</w:t>
      </w:r>
      <w:bookmarkEnd w:id="10"/>
      <w:bookmarkEnd w:id="11"/>
      <w:bookmarkEnd w:id="12"/>
      <w:bookmarkEnd w:id="13"/>
      <w:bookmarkEnd w:id="14"/>
    </w:p>
    <w:p>
      <w:pPr>
        <w:ind w:firstLine="632" w:firstLineChars="200"/>
        <w:rPr>
          <w:rFonts w:hint="eastAsia" w:ascii="Times New Roman" w:hAnsi="Times New Roman"/>
        </w:rPr>
      </w:pPr>
      <w:r>
        <w:rPr>
          <w:rFonts w:hint="eastAsia" w:ascii="Times New Roman" w:hAnsi="Times New Roman"/>
        </w:rPr>
        <w:t>国际产业分工与合作呈现新趋势，要求重庆提升全球供应链稳定和价值链创造能力。国际金融危机后，世界经济复苏缓慢，贸易保护主义、单边主义势力抬头，新冠肺炎疫情加速百年</w:t>
      </w:r>
      <w:r>
        <w:rPr>
          <w:rFonts w:ascii="Times New Roman" w:hAnsi="Times New Roman"/>
        </w:rPr>
        <w:t>未有之大</w:t>
      </w:r>
      <w:r>
        <w:rPr>
          <w:rFonts w:hint="eastAsia" w:ascii="Times New Roman" w:hAnsi="Times New Roman"/>
        </w:rPr>
        <w:t>变局变化</w:t>
      </w:r>
      <w:r>
        <w:rPr>
          <w:rFonts w:ascii="Times New Roman" w:hAnsi="Times New Roman"/>
        </w:rPr>
        <w:t>，</w:t>
      </w:r>
      <w:r>
        <w:rPr>
          <w:rFonts w:hint="eastAsia" w:ascii="Times New Roman" w:hAnsi="Times New Roman"/>
        </w:rPr>
        <w:t>国际产业分工</w:t>
      </w:r>
      <w:r>
        <w:rPr>
          <w:rFonts w:ascii="Times New Roman" w:hAnsi="Times New Roman"/>
        </w:rPr>
        <w:t>格局面临新一轮调整，</w:t>
      </w:r>
      <w:r>
        <w:rPr>
          <w:rFonts w:hint="eastAsia" w:ascii="Times New Roman" w:hAnsi="Times New Roman"/>
        </w:rPr>
        <w:t>全球经济运行风险加剧。面对复杂多变的国际形势，中国作为全球贸易大国和制造业大国，坚持推动</w:t>
      </w:r>
      <w:r>
        <w:rPr>
          <w:rFonts w:ascii="Times New Roman" w:hAnsi="Times New Roman"/>
        </w:rPr>
        <w:t>高水平对外开放</w:t>
      </w:r>
      <w:r>
        <w:rPr>
          <w:rFonts w:hint="eastAsia" w:ascii="Times New Roman" w:hAnsi="Times New Roman"/>
        </w:rPr>
        <w:t>，利用自身市场和经济规模优势，积极参与全球产业链、供应链和价值链分工，加快</w:t>
      </w:r>
      <w:r>
        <w:rPr>
          <w:rFonts w:ascii="Times New Roman" w:hAnsi="Times New Roman"/>
        </w:rPr>
        <w:t>构建</w:t>
      </w:r>
      <w:r>
        <w:rPr>
          <w:rFonts w:hint="eastAsia" w:ascii="Times New Roman" w:hAnsi="Times New Roman"/>
        </w:rPr>
        <w:t>以国内大循环为主体、国内国际双循环相互促进的新发展格局。重庆作为我国西部地区制造业高地和外向型经济中心，应顺应全球经济发展新趋势，立足新发展格局，建设国际物流枢纽和口岸高地，畅通出海出境大通道，搭建国际物流运营组织平台，建立大循环</w:t>
      </w:r>
      <w:r>
        <w:rPr>
          <w:rFonts w:ascii="Times New Roman" w:hAnsi="Times New Roman"/>
        </w:rPr>
        <w:t>与</w:t>
      </w:r>
      <w:r>
        <w:rPr>
          <w:rFonts w:hint="eastAsia" w:ascii="Times New Roman" w:hAnsi="Times New Roman"/>
        </w:rPr>
        <w:t>双</w:t>
      </w:r>
      <w:r>
        <w:rPr>
          <w:rFonts w:ascii="Times New Roman" w:hAnsi="Times New Roman"/>
        </w:rPr>
        <w:t>循环</w:t>
      </w:r>
      <w:r>
        <w:rPr>
          <w:rFonts w:hint="eastAsia" w:ascii="Times New Roman" w:hAnsi="Times New Roman"/>
        </w:rPr>
        <w:t>现代流通体</w:t>
      </w:r>
      <w:r>
        <w:rPr>
          <w:rFonts w:ascii="Times New Roman" w:hAnsi="Times New Roman"/>
        </w:rPr>
        <w:t>系，</w:t>
      </w:r>
      <w:r>
        <w:rPr>
          <w:rFonts w:hint="eastAsia" w:ascii="Times New Roman" w:hAnsi="Times New Roman"/>
        </w:rPr>
        <w:t>提供面向</w:t>
      </w:r>
      <w:r>
        <w:rPr>
          <w:rFonts w:ascii="Times New Roman" w:hAnsi="Times New Roman"/>
        </w:rPr>
        <w:t>全球的物流</w:t>
      </w:r>
      <w:r>
        <w:rPr>
          <w:rFonts w:hint="eastAsia" w:ascii="Times New Roman" w:hAnsi="Times New Roman"/>
        </w:rPr>
        <w:t>供应链服务，提高承接产业布局的竞争力，促进重庆产业迈向全球价值链中高端。</w:t>
      </w:r>
    </w:p>
    <w:p>
      <w:pPr>
        <w:ind w:firstLine="632" w:firstLineChars="200"/>
        <w:rPr>
          <w:rFonts w:hint="eastAsia" w:ascii="Times New Roman" w:hAnsi="Times New Roman"/>
        </w:rPr>
      </w:pPr>
      <w:r>
        <w:rPr>
          <w:rFonts w:hint="eastAsia" w:ascii="Times New Roman" w:hAnsi="Times New Roman"/>
        </w:rPr>
        <w:t>国家区域发展战略在重庆嵌套叠加，要求重庆打造西部型态丰富的国家物流枢纽系统。重庆是国家中心</w:t>
      </w:r>
      <w:r>
        <w:rPr>
          <w:rFonts w:ascii="Times New Roman" w:hAnsi="Times New Roman"/>
        </w:rPr>
        <w:t>城市，</w:t>
      </w:r>
      <w:r>
        <w:rPr>
          <w:rFonts w:hint="eastAsia" w:ascii="Times New Roman" w:hAnsi="Times New Roman"/>
        </w:rPr>
        <w:t>承载着新时代推进西部大开发形成</w:t>
      </w:r>
      <w:r>
        <w:rPr>
          <w:rFonts w:ascii="Times New Roman" w:hAnsi="Times New Roman"/>
        </w:rPr>
        <w:t>新格局</w:t>
      </w:r>
      <w:r>
        <w:rPr>
          <w:rFonts w:hint="eastAsia" w:ascii="Times New Roman" w:hAnsi="Times New Roman"/>
        </w:rPr>
        <w:t>、“一带一路”建设、长江经济带发展以及成渝地区双城经济圈建设、西部陆海新通道等多重国家战略，肩负</w:t>
      </w:r>
      <w:r>
        <w:rPr>
          <w:rFonts w:ascii="Times New Roman" w:hAnsi="Times New Roman"/>
        </w:rPr>
        <w:t>重大</w:t>
      </w:r>
      <w:r>
        <w:rPr>
          <w:rFonts w:hint="eastAsia" w:ascii="Times New Roman" w:hAnsi="Times New Roman"/>
        </w:rPr>
        <w:t>使命。作为</w:t>
      </w:r>
      <w:r>
        <w:rPr>
          <w:rFonts w:ascii="Times New Roman" w:hAnsi="Times New Roman"/>
        </w:rPr>
        <w:t>五种类型</w:t>
      </w:r>
      <w:r>
        <w:rPr>
          <w:rFonts w:hint="eastAsia" w:ascii="Times New Roman" w:hAnsi="Times New Roman"/>
        </w:rPr>
        <w:t>国家</w:t>
      </w:r>
      <w:r>
        <w:rPr>
          <w:rFonts w:ascii="Times New Roman" w:hAnsi="Times New Roman"/>
        </w:rPr>
        <w:t>物流枢纽布局城市，</w:t>
      </w:r>
      <w:r>
        <w:rPr>
          <w:rFonts w:hint="eastAsia" w:ascii="Times New Roman" w:hAnsi="Times New Roman"/>
        </w:rPr>
        <w:t>重庆应依托长江上游良好库区航运条件、产业基础和区位优势，强化国内国际物流资源双向整合和要素配置能力，增强多层级物流网络覆盖和辐射能级，构建功能齐全、布局合理、带动力强、辐射高效的国家物流枢纽设施和服务骨干网络系统，打造新发展格局下的现代流通战略支点，为重庆经济产业规模发展和带动西部地区加快实现现代化提供强大物流服务保障。</w:t>
      </w:r>
    </w:p>
    <w:p>
      <w:pPr>
        <w:ind w:firstLine="632" w:firstLineChars="200"/>
        <w:rPr>
          <w:rFonts w:hint="eastAsia" w:ascii="Times New Roman" w:hAnsi="Times New Roman"/>
        </w:rPr>
      </w:pPr>
      <w:r>
        <w:rPr>
          <w:rFonts w:hint="eastAsia" w:ascii="Times New Roman" w:hAnsi="Times New Roman"/>
        </w:rPr>
        <w:t>区域物流降本增效和产业发展模式创新，要求重庆提升物流组织地位和服务创新能力。重庆地处内陆，物流</w:t>
      </w:r>
      <w:r>
        <w:rPr>
          <w:rFonts w:ascii="Times New Roman" w:hAnsi="Times New Roman"/>
        </w:rPr>
        <w:t>成本与效率</w:t>
      </w:r>
      <w:r>
        <w:rPr>
          <w:rFonts w:hint="eastAsia" w:ascii="Times New Roman" w:hAnsi="Times New Roman"/>
        </w:rPr>
        <w:t>是影响经济产业发展竞争力的</w:t>
      </w:r>
      <w:r>
        <w:rPr>
          <w:rFonts w:ascii="Times New Roman" w:hAnsi="Times New Roman"/>
        </w:rPr>
        <w:t>重要因素</w:t>
      </w:r>
      <w:r>
        <w:rPr>
          <w:rFonts w:hint="eastAsia" w:ascii="Times New Roman" w:hAnsi="Times New Roman"/>
        </w:rPr>
        <w:t>，物流</w:t>
      </w:r>
      <w:r>
        <w:rPr>
          <w:rFonts w:ascii="Times New Roman" w:hAnsi="Times New Roman"/>
        </w:rPr>
        <w:t>服务创新能力</w:t>
      </w:r>
      <w:r>
        <w:rPr>
          <w:rFonts w:hint="eastAsia" w:ascii="Times New Roman" w:hAnsi="Times New Roman"/>
        </w:rPr>
        <w:t>是制约中高端</w:t>
      </w:r>
      <w:r>
        <w:rPr>
          <w:rFonts w:ascii="Times New Roman" w:hAnsi="Times New Roman"/>
        </w:rPr>
        <w:t>产业集聚发展的突出瓶颈。</w:t>
      </w:r>
      <w:r>
        <w:rPr>
          <w:rFonts w:hint="eastAsia" w:ascii="Times New Roman" w:hAnsi="Times New Roman"/>
        </w:rPr>
        <w:t>依托国家物流枢纽建设、交通强国建设试点等，提升重庆国际国内区域物流组织地位，加快融入各层级物流服务网络，形成对周边地区物流需求的引力场，提升内陆中心城市产业服务功能和物流辐射分拨的成本和效率优势。在内需规模扩张和消费升级已成为我国经济发展主要动能和经济增长重要潜力的背景下，聚集更高质量和更大规模物流服务资源，打造区域物流组织平台，创新服务模式业态，紧抓扩大内需战略基点，加快构建面向内需产业的供应链服务体系和商贸物流体系，提升物流供给体系适配性，支撑新发展格局。</w:t>
      </w:r>
    </w:p>
    <w:p>
      <w:pPr>
        <w:ind w:firstLine="632" w:firstLineChars="200"/>
        <w:rPr>
          <w:rFonts w:hint="eastAsia" w:ascii="Times New Roman" w:hAnsi="Times New Roman"/>
        </w:rPr>
      </w:pPr>
      <w:r>
        <w:rPr>
          <w:rFonts w:hint="eastAsia" w:ascii="Times New Roman" w:hAnsi="Times New Roman"/>
        </w:rPr>
        <w:t>新一代科技革命和产业变革，以及产业技术、生态、模式加快创新，要求重庆加快推动面向未来的智慧物流发展。随着现代</w:t>
      </w:r>
      <w:r>
        <w:rPr>
          <w:rFonts w:ascii="Times New Roman" w:hAnsi="Times New Roman"/>
        </w:rPr>
        <w:t>信息技术</w:t>
      </w:r>
      <w:r>
        <w:rPr>
          <w:rFonts w:hint="eastAsia" w:ascii="Times New Roman" w:hAnsi="Times New Roman"/>
        </w:rPr>
        <w:t>、新能源装备和人工智能等新技术在物流领域广泛应用，以及新零售与跨境电商、共同配送、众包物流等新模式新业态纷纷兴起，生产</w:t>
      </w:r>
      <w:r>
        <w:rPr>
          <w:rFonts w:ascii="Times New Roman" w:hAnsi="Times New Roman"/>
        </w:rPr>
        <w:t>方式与</w:t>
      </w:r>
      <w:r>
        <w:rPr>
          <w:rFonts w:hint="eastAsia" w:ascii="Times New Roman" w:hAnsi="Times New Roman"/>
        </w:rPr>
        <w:t>物流组织发生深刻变革。应把握机遇，加快对物流资源聚集、整合和服务创新、价值创造、产业链延伸具有引领作用的智慧物流发展，推动平台型、组织型物流业态创新，形成技术含量高，产业链、供应链、价值链整合能力强的智慧物流体系，支撑、引领和加快重庆经济产业现代化发展，抓住强大国内市场、超级经济规模、扩大对外开放的产业布局重构机遇实现</w:t>
      </w:r>
      <w:r>
        <w:rPr>
          <w:rFonts w:ascii="Times New Roman" w:hAnsi="Times New Roman"/>
        </w:rPr>
        <w:t>后发赶超</w:t>
      </w:r>
      <w:r>
        <w:rPr>
          <w:rFonts w:hint="eastAsia" w:ascii="Times New Roman" w:hAnsi="Times New Roman"/>
        </w:rPr>
        <w:t>。</w:t>
      </w:r>
    </w:p>
    <w:p>
      <w:pPr>
        <w:ind w:firstLine="632" w:firstLineChars="200"/>
        <w:outlineLvl w:val="1"/>
        <w:rPr>
          <w:rFonts w:hint="eastAsia" w:ascii="Times New Roman" w:hAnsi="Times New Roman" w:eastAsia="方正楷体_GBK"/>
        </w:rPr>
      </w:pPr>
      <w:bookmarkStart w:id="15" w:name="_Toc11504"/>
      <w:bookmarkStart w:id="16" w:name="_Toc19826"/>
      <w:bookmarkStart w:id="17" w:name="_Toc61863734"/>
      <w:bookmarkStart w:id="18" w:name="_Toc21094"/>
      <w:bookmarkStart w:id="19" w:name="_Toc1635"/>
      <w:r>
        <w:rPr>
          <w:rFonts w:hint="eastAsia" w:ascii="Times New Roman" w:hAnsi="Times New Roman" w:eastAsia="方正楷体_GBK"/>
        </w:rPr>
        <w:t>（二）现实基础</w:t>
      </w:r>
      <w:bookmarkEnd w:id="15"/>
      <w:bookmarkEnd w:id="16"/>
      <w:bookmarkEnd w:id="17"/>
      <w:bookmarkEnd w:id="18"/>
      <w:bookmarkEnd w:id="19"/>
    </w:p>
    <w:p>
      <w:pPr>
        <w:ind w:firstLine="632" w:firstLineChars="200"/>
        <w:rPr>
          <w:rFonts w:hint="eastAsia" w:ascii="Times New Roman" w:hAnsi="Times New Roman"/>
        </w:rPr>
      </w:pPr>
      <w:r>
        <w:rPr>
          <w:rFonts w:hint="eastAsia" w:ascii="Times New Roman" w:hAnsi="Times New Roman"/>
        </w:rPr>
        <w:t>近年来，重庆紧紧围绕建设内陆国际物流枢纽和口岸高地，现代物流业发展取得积极成效，口岸物流领域改革取得重大突破，出海出境大通道建设成果丰硕，国际物流枢纽网络体系建设基本成型，口岸开放与物流创新深度融合，口岸物流营商环境明显优化，现代物流业繁荣发展，服务质量效益明显提升，内陆国际物流枢纽和口岸高地建设取得显著成效，对重庆经济社会高质量发展的支撑保障作用显著增强。</w:t>
      </w:r>
    </w:p>
    <w:p>
      <w:pPr>
        <w:ind w:firstLine="632" w:firstLineChars="200"/>
        <w:rPr>
          <w:rFonts w:hint="eastAsia" w:ascii="Times New Roman" w:hAnsi="Times New Roman"/>
        </w:rPr>
      </w:pPr>
      <w:r>
        <w:rPr>
          <w:rFonts w:hint="eastAsia" w:ascii="Times New Roman" w:hAnsi="Times New Roman"/>
        </w:rPr>
        <w:t>物流产业规模效益显著提升。全市社会物流总额保持稳定增长，2020年约3万亿元，物流业增加值超1100亿元。全市货运量12.1亿吨，稳居中西部城市第一位，其中铁路1878.5万吨、公路10亿吨、水运2亿吨。</w:t>
      </w:r>
      <w:r>
        <w:rPr>
          <w:rFonts w:hint="eastAsia" w:ascii="Times New Roman" w:hAnsi="Times New Roman"/>
          <w:szCs w:val="32"/>
        </w:rPr>
        <w:t>全市完成集装箱吞吐量约197万标箱，其中，港口约115万标箱、铁路约82万标箱；开放通道集装箱运输量约159万标箱，占全市集装箱吞吐量的81%。</w:t>
      </w:r>
      <w:r>
        <w:rPr>
          <w:rFonts w:hint="eastAsia" w:ascii="Times New Roman" w:hAnsi="Times New Roman"/>
        </w:rPr>
        <w:t>航空货邮吞吐量41.4万吨，其中国际货邮吞吐量15.1万吨、居西部第一。物流企业规模进一步扩大，吸引一批国内外知名物流企业入驻，A级物流企业已达50家，其中5A级物流企业</w:t>
      </w:r>
      <w:r>
        <w:rPr>
          <w:rFonts w:ascii="Times New Roman" w:hAnsi="Times New Roman"/>
        </w:rPr>
        <w:t>5</w:t>
      </w:r>
      <w:r>
        <w:rPr>
          <w:rFonts w:hint="eastAsia" w:ascii="Times New Roman" w:hAnsi="Times New Roman"/>
        </w:rPr>
        <w:t>家。社会物流成本水平稳步下降，2020年社会物流总费用与国内生产总值的比率降至14.5%。</w:t>
      </w:r>
    </w:p>
    <w:p>
      <w:pPr>
        <w:ind w:firstLine="615"/>
        <w:jc w:val="left"/>
        <w:rPr>
          <w:rFonts w:hint="eastAsia" w:ascii="Times New Roman" w:hAnsi="Times New Roman"/>
        </w:rPr>
      </w:pPr>
      <w:r>
        <w:rPr>
          <w:rFonts w:hint="eastAsia" w:ascii="Times New Roman" w:hAnsi="Times New Roman"/>
        </w:rPr>
        <w:t>区域物流组织地位明显提升。我市初步建成以重庆为中心，立足西部、辐射全国，东南西北四个方向互联互通、铁公水空多式联运的国际物流通道体</w:t>
      </w:r>
      <w:r>
        <w:rPr>
          <w:rFonts w:hint="eastAsia" w:ascii="Times New Roman" w:hAnsi="Times New Roman"/>
          <w:szCs w:val="22"/>
        </w:rPr>
        <w:t>系。中欧班列（渝新欧）开行规模持续扩大，</w:t>
      </w:r>
      <w:r>
        <w:rPr>
          <w:rFonts w:hint="eastAsia" w:ascii="Times New Roman" w:hAnsi="Times New Roman"/>
          <w:szCs w:val="32"/>
        </w:rPr>
        <w:t>累计开行突破7000列</w:t>
      </w:r>
      <w:r>
        <w:rPr>
          <w:rFonts w:hint="eastAsia" w:ascii="Times New Roman" w:hAnsi="Times New Roman"/>
          <w:szCs w:val="22"/>
        </w:rPr>
        <w:t>。</w:t>
      </w:r>
      <w:r>
        <w:rPr>
          <w:rFonts w:hint="eastAsia" w:ascii="Times New Roman" w:hAnsi="Times New Roman"/>
        </w:rPr>
        <w:t>西部陆海新通道</w:t>
      </w:r>
      <w:r>
        <w:rPr>
          <w:rFonts w:ascii="Times New Roman" w:hAnsi="Times New Roman"/>
          <w:szCs w:val="32"/>
        </w:rPr>
        <w:t>铁海联运班列</w:t>
      </w:r>
      <w:r>
        <w:rPr>
          <w:rFonts w:hint="eastAsia" w:ascii="Times New Roman" w:hAnsi="Times New Roman"/>
          <w:szCs w:val="32"/>
        </w:rPr>
        <w:t>、国际铁路联运班列、跨境公路班车分别累计开行2877列、286列、4998车。</w:t>
      </w:r>
      <w:r>
        <w:rPr>
          <w:rFonts w:hint="eastAsia" w:ascii="Times New Roman" w:hAnsi="Times New Roman"/>
          <w:szCs w:val="22"/>
        </w:rPr>
        <w:t>重庆长江上游航运中心加快建设，港口年吞吐量近2亿吨。</w:t>
      </w:r>
      <w:r>
        <w:rPr>
          <w:rFonts w:hint="eastAsia" w:ascii="Times New Roman" w:hAnsi="Times New Roman"/>
        </w:rPr>
        <w:t>重庆港口型、陆港型国家物流枢纽获国家批复，对“一带一路”、</w:t>
      </w:r>
      <w:r>
        <w:rPr>
          <w:rFonts w:ascii="Times New Roman" w:hAnsi="Times New Roman"/>
        </w:rPr>
        <w:t>长江经济带和西部陆海新通道</w:t>
      </w:r>
      <w:r>
        <w:rPr>
          <w:rFonts w:hint="eastAsia" w:ascii="Times New Roman" w:hAnsi="Times New Roman"/>
        </w:rPr>
        <w:t>等</w:t>
      </w:r>
      <w:r>
        <w:rPr>
          <w:rFonts w:ascii="Times New Roman" w:hAnsi="Times New Roman"/>
        </w:rPr>
        <w:t>国家战略的衔接和支撑作用显著增强</w:t>
      </w:r>
      <w:r>
        <w:rPr>
          <w:rFonts w:hint="eastAsia" w:ascii="Times New Roman" w:hAnsi="Times New Roman"/>
        </w:rPr>
        <w:t>。</w:t>
      </w:r>
    </w:p>
    <w:p>
      <w:pPr>
        <w:ind w:firstLine="632" w:firstLineChars="200"/>
        <w:rPr>
          <w:rFonts w:hint="eastAsia" w:ascii="Times New Roman" w:hAnsi="Times New Roman"/>
        </w:rPr>
      </w:pPr>
      <w:r>
        <w:rPr>
          <w:rFonts w:hint="eastAsia" w:ascii="Times New Roman" w:hAnsi="Times New Roman"/>
        </w:rPr>
        <w:t>物流设施空间布局逐步优化。全市已建成中心城区、万州、涪陵等3个核心港区，沙坪坝</w:t>
      </w:r>
      <w:r>
        <w:rPr>
          <w:rFonts w:ascii="Times New Roman" w:hAnsi="Times New Roman"/>
        </w:rPr>
        <w:t>团结村</w:t>
      </w:r>
      <w:r>
        <w:rPr>
          <w:rFonts w:hint="eastAsia" w:ascii="Times New Roman" w:hAnsi="Times New Roman"/>
        </w:rPr>
        <w:t>、江津小南垭、两江新区鱼嘴等核心铁路物流枢纽运营良好，重庆国际物流枢纽园区、重庆果园港国家物流枢纽、重庆航空物流园、南彭物流基地、秀山武陵现代物流园区等主要物流节点成为全市物流资源聚集的重要载体。</w:t>
      </w:r>
      <w:r>
        <w:rPr>
          <w:rFonts w:ascii="Times New Roman" w:hAnsi="Times New Roman"/>
          <w:szCs w:val="32"/>
        </w:rPr>
        <w:t>城乡三级配送网络不断优化，区县级物流节点与乡镇配送站覆盖率达97%。</w:t>
      </w:r>
    </w:p>
    <w:p>
      <w:pPr>
        <w:ind w:firstLine="632" w:firstLineChars="200"/>
        <w:rPr>
          <w:rFonts w:hint="eastAsia" w:ascii="Times New Roman" w:hAnsi="Times New Roman"/>
        </w:rPr>
      </w:pPr>
      <w:r>
        <w:rPr>
          <w:rFonts w:hint="eastAsia" w:ascii="Times New Roman" w:hAnsi="Times New Roman"/>
        </w:rPr>
        <w:t>开放平台体系不断完善，国际物流加快发展。全市形成1个自贸区、4个国家开放口岸、5个综合保税区、4个保税物流中心、9类口岸功能的发展格局，航空、水运、铁路和万州机场口岸等规模不断壮大，为重庆国家物流枢纽建设和国际物流发展创造良好开放环境。</w:t>
      </w:r>
      <w:r>
        <w:rPr>
          <w:rFonts w:hint="eastAsia" w:ascii="Times New Roman" w:hAnsi="Times New Roman"/>
          <w:szCs w:val="32"/>
        </w:rPr>
        <w:t>国际航线网络持续拓展，航线总量达到101条，通达33个国家74个城市，基本构建起覆盖全球的国际航线网络。</w:t>
      </w:r>
      <w:r>
        <w:rPr>
          <w:rFonts w:hint="eastAsia" w:ascii="Times New Roman" w:hAnsi="Times New Roman"/>
        </w:rPr>
        <w:t>重庆</w:t>
      </w:r>
      <w:r>
        <w:rPr>
          <w:rFonts w:hint="eastAsia" w:ascii="Times New Roman" w:hAnsi="Times New Roman"/>
          <w:szCs w:val="32"/>
        </w:rPr>
        <w:t>江北国际机场完成旅客吞吐量3493.8万人次、居全国第四，</w:t>
      </w:r>
      <w:r>
        <w:rPr>
          <w:rFonts w:hint="eastAsia" w:ascii="Times New Roman" w:hAnsi="Times New Roman"/>
        </w:rPr>
        <w:t>国际货邮吞吐量15.1万吨</w:t>
      </w:r>
      <w:r>
        <w:rPr>
          <w:rFonts w:hint="eastAsia" w:ascii="Times New Roman" w:hAnsi="Times New Roman"/>
          <w:szCs w:val="32"/>
        </w:rPr>
        <w:t>、居西部第一，国际航空枢纽建设迈上新台阶。</w:t>
      </w:r>
    </w:p>
    <w:p>
      <w:pPr>
        <w:ind w:firstLine="632" w:firstLineChars="200"/>
        <w:rPr>
          <w:rFonts w:hint="eastAsia" w:ascii="Times New Roman" w:hAnsi="Times New Roman"/>
        </w:rPr>
      </w:pPr>
      <w:r>
        <w:rPr>
          <w:rFonts w:hint="eastAsia" w:ascii="Times New Roman" w:hAnsi="Times New Roman"/>
        </w:rPr>
        <w:t>多式联运、电商物流等服务业态不断丰富。2020年完成铁水联运、水水中转集装箱吞吐量分别达11万标箱和15.7万标箱。电商快递高速发展，2020年快递业务量7.3亿件，</w:t>
      </w:r>
      <w:r>
        <w:rPr>
          <w:rFonts w:ascii="Times New Roman" w:hAnsi="Times New Roman"/>
        </w:rPr>
        <w:t>其中国际</w:t>
      </w:r>
      <w:r>
        <w:rPr>
          <w:rFonts w:hint="eastAsia" w:ascii="Times New Roman" w:hAnsi="Times New Roman"/>
        </w:rPr>
        <w:t>及港澳台快递业务</w:t>
      </w:r>
      <w:r>
        <w:rPr>
          <w:rFonts w:ascii="Times New Roman" w:hAnsi="Times New Roman"/>
        </w:rPr>
        <w:t>量</w:t>
      </w:r>
      <w:r>
        <w:rPr>
          <w:rFonts w:hint="eastAsia" w:ascii="Times New Roman" w:hAnsi="Times New Roman"/>
        </w:rPr>
        <w:t>161.5</w:t>
      </w:r>
      <w:r>
        <w:rPr>
          <w:rFonts w:ascii="Times New Roman" w:hAnsi="Times New Roman"/>
        </w:rPr>
        <w:t>万件</w:t>
      </w:r>
      <w:r>
        <w:rPr>
          <w:rFonts w:hint="eastAsia" w:ascii="Times New Roman" w:hAnsi="Times New Roman"/>
        </w:rPr>
        <w:t>。物流平台经济发展迅速，2020年，重庆国际贸易“单一窗口”累计业务量超过5500万票，主要业务应用率达100%；</w:t>
      </w:r>
      <w:r>
        <w:rPr>
          <w:rFonts w:hint="eastAsia" w:ascii="Times New Roman" w:hAnsi="Times New Roman"/>
          <w:szCs w:val="32"/>
        </w:rPr>
        <w:t>重庆跨境电商公共服务平台实现交易额66.53亿元</w:t>
      </w:r>
      <w:r>
        <w:rPr>
          <w:rFonts w:hint="eastAsia" w:ascii="Times New Roman" w:hAnsi="Times New Roman"/>
        </w:rPr>
        <w:t>。</w:t>
      </w:r>
    </w:p>
    <w:p>
      <w:pPr>
        <w:ind w:firstLine="632" w:firstLineChars="200"/>
        <w:rPr>
          <w:rFonts w:hint="eastAsia" w:ascii="Times New Roman" w:hAnsi="Times New Roman"/>
        </w:rPr>
      </w:pPr>
      <w:r>
        <w:rPr>
          <w:rFonts w:hint="eastAsia" w:ascii="Times New Roman" w:hAnsi="Times New Roman"/>
        </w:rPr>
        <w:t>口</w:t>
      </w:r>
      <w:r>
        <w:rPr>
          <w:rFonts w:hint="eastAsia" w:ascii="Times New Roman" w:hAnsi="Times New Roman"/>
          <w:szCs w:val="22"/>
        </w:rPr>
        <w:t>岸开放与物流创新深度融合。开创性设立重庆市人民政府口岸和物流办公室，理顺相关部门职能职责，推动口岸和物流快速发展、联动发展、协同发展，口岸经济和物流国际化水平显著提升，为推进内陆国际物流枢纽和口岸高地建设，营造了良好体制机制环境，也为全国口岸物流深度融合树立新典范。出台一系列政策方案措施，特别是物流降本增效综合改革试点持续深入推进，简政减税降费取得实效，</w:t>
      </w:r>
      <w:r>
        <w:rPr>
          <w:rFonts w:hint="eastAsia" w:ascii="Times New Roman" w:hAnsi="Times New Roman"/>
        </w:rPr>
        <w:t>物流营商环境和制度性建设持续改善。</w:t>
      </w:r>
      <w:r>
        <w:rPr>
          <w:rFonts w:ascii="Times New Roman" w:hAnsi="Times New Roman"/>
        </w:rPr>
        <w:t>口岸</w:t>
      </w:r>
      <w:r>
        <w:rPr>
          <w:rFonts w:hint="eastAsia" w:ascii="Times New Roman" w:hAnsi="Times New Roman"/>
        </w:rPr>
        <w:t>营商环境持续优化</w:t>
      </w:r>
      <w:r>
        <w:rPr>
          <w:rFonts w:ascii="Times New Roman" w:hAnsi="Times New Roman"/>
        </w:rPr>
        <w:t>，</w:t>
      </w:r>
      <w:r>
        <w:rPr>
          <w:rFonts w:hint="eastAsia" w:ascii="Times New Roman" w:hAnsi="Times New Roman"/>
          <w:szCs w:val="22"/>
        </w:rPr>
        <w:t>进出口整体通关时间较2017年均压缩60%以上，跨境贸易</w:t>
      </w:r>
      <w:r>
        <w:rPr>
          <w:rFonts w:ascii="Times New Roman" w:hAnsi="Times New Roman"/>
        </w:rPr>
        <w:t>便利化水平</w:t>
      </w:r>
      <w:r>
        <w:rPr>
          <w:rFonts w:hint="eastAsia" w:ascii="Times New Roman" w:hAnsi="Times New Roman"/>
        </w:rPr>
        <w:t>显著提升。</w:t>
      </w:r>
    </w:p>
    <w:p>
      <w:pPr>
        <w:ind w:firstLine="632" w:firstLineChars="200"/>
        <w:rPr>
          <w:rFonts w:hint="eastAsia" w:ascii="Times New Roman" w:hAnsi="Times New Roman"/>
        </w:rPr>
      </w:pPr>
      <w:r>
        <w:rPr>
          <w:rFonts w:hint="eastAsia" w:ascii="Times New Roman" w:hAnsi="Times New Roman"/>
        </w:rPr>
        <w:t>尽管取得了突出成绩，但与构建新发展格局，在西部地区率先实现现代化的使命要求相比，重庆现代</w:t>
      </w:r>
      <w:r>
        <w:rPr>
          <w:rFonts w:ascii="Times New Roman" w:hAnsi="Times New Roman"/>
        </w:rPr>
        <w:t>物流业发展</w:t>
      </w:r>
      <w:r>
        <w:rPr>
          <w:rFonts w:hint="eastAsia" w:ascii="Times New Roman" w:hAnsi="Times New Roman"/>
        </w:rPr>
        <w:t>还存在一些短板。一是物流产业定位不够清晰，引领全市经济高质量规模扩张的战略性作用</w:t>
      </w:r>
      <w:r>
        <w:rPr>
          <w:rFonts w:ascii="Times New Roman" w:hAnsi="Times New Roman"/>
        </w:rPr>
        <w:t>不突出，</w:t>
      </w:r>
      <w:r>
        <w:rPr>
          <w:rFonts w:hint="eastAsia" w:ascii="Times New Roman" w:hAnsi="Times New Roman"/>
        </w:rPr>
        <w:t>功能不匹配。二是物流需求增长动能不足，供需对接不精准，区域物流服务能力亟待</w:t>
      </w:r>
      <w:r>
        <w:rPr>
          <w:rFonts w:ascii="Times New Roman" w:hAnsi="Times New Roman"/>
        </w:rPr>
        <w:t>提升</w:t>
      </w:r>
      <w:r>
        <w:rPr>
          <w:rFonts w:hint="eastAsia" w:ascii="Times New Roman" w:hAnsi="Times New Roman"/>
        </w:rPr>
        <w:t>。三是物流成本仍然较高，运输结构不尽合理，公路运输占比较高，水运优势发挥不充分，铁路干线运输能力不足，多式联运</w:t>
      </w:r>
      <w:r>
        <w:rPr>
          <w:rFonts w:ascii="Times New Roman" w:hAnsi="Times New Roman"/>
        </w:rPr>
        <w:t>等先进物流组织方式作用发挥</w:t>
      </w:r>
      <w:r>
        <w:rPr>
          <w:rFonts w:hint="eastAsia" w:ascii="Times New Roman" w:hAnsi="Times New Roman"/>
        </w:rPr>
        <w:t>受到</w:t>
      </w:r>
      <w:r>
        <w:rPr>
          <w:rFonts w:ascii="Times New Roman" w:hAnsi="Times New Roman"/>
        </w:rPr>
        <w:t>限制</w:t>
      </w:r>
      <w:r>
        <w:rPr>
          <w:rFonts w:hint="eastAsia" w:ascii="Times New Roman" w:hAnsi="Times New Roman"/>
        </w:rPr>
        <w:t>。四是物流设施体系建设网络分散，通道与枢纽衔接不畅，引导产业布局优化和空间重构能力不强。五是区域、市域物流组织能力偏弱，业务联系不够紧密，物流要素集聚和服务集约发展不够，阻碍物流产业高质量规模化和服务创新发展。六是政策法规体系仍待健全，物流设施和服务标准化推进不够</w:t>
      </w:r>
      <w:r>
        <w:rPr>
          <w:rFonts w:ascii="Times New Roman" w:hAnsi="Times New Roman"/>
        </w:rPr>
        <w:t>深入</w:t>
      </w:r>
      <w:r>
        <w:rPr>
          <w:rFonts w:hint="eastAsia" w:ascii="Times New Roman" w:hAnsi="Times New Roman"/>
        </w:rPr>
        <w:t>，市场集中度低，龙头物流企业引领</w:t>
      </w:r>
      <w:r>
        <w:rPr>
          <w:rFonts w:ascii="Times New Roman" w:hAnsi="Times New Roman"/>
        </w:rPr>
        <w:t>作用不强</w:t>
      </w:r>
      <w:r>
        <w:rPr>
          <w:rFonts w:hint="eastAsia" w:ascii="Times New Roman" w:hAnsi="Times New Roman"/>
        </w:rPr>
        <w:t>，发展软环境仍有较大改善空间。</w:t>
      </w:r>
    </w:p>
    <w:p>
      <w:pPr>
        <w:ind w:firstLine="632" w:firstLineChars="200"/>
        <w:outlineLvl w:val="0"/>
        <w:rPr>
          <w:rFonts w:hint="eastAsia" w:ascii="Times New Roman" w:hAnsi="Times New Roman" w:eastAsia="方正黑体_GBK"/>
        </w:rPr>
      </w:pPr>
      <w:bookmarkStart w:id="20" w:name="_Toc6796"/>
      <w:bookmarkStart w:id="21" w:name="_Toc13508"/>
      <w:bookmarkStart w:id="22" w:name="_Toc3329"/>
      <w:bookmarkStart w:id="23" w:name="_Toc61863735"/>
      <w:bookmarkStart w:id="24" w:name="_Toc21567"/>
      <w:r>
        <w:rPr>
          <w:rFonts w:hint="eastAsia" w:ascii="Times New Roman" w:hAnsi="Times New Roman" w:eastAsia="方正黑体_GBK"/>
        </w:rPr>
        <w:t>二、总体要求</w:t>
      </w:r>
      <w:bookmarkEnd w:id="20"/>
      <w:bookmarkEnd w:id="21"/>
      <w:bookmarkEnd w:id="22"/>
      <w:bookmarkEnd w:id="23"/>
      <w:bookmarkEnd w:id="24"/>
    </w:p>
    <w:p>
      <w:pPr>
        <w:ind w:firstLine="632" w:firstLineChars="200"/>
        <w:outlineLvl w:val="1"/>
        <w:rPr>
          <w:rFonts w:hint="eastAsia" w:ascii="Times New Roman" w:hAnsi="Times New Roman" w:eastAsia="方正楷体_GBK"/>
        </w:rPr>
      </w:pPr>
      <w:bookmarkStart w:id="25" w:name="_Toc10224"/>
      <w:bookmarkStart w:id="26" w:name="_Toc1932"/>
      <w:bookmarkStart w:id="27" w:name="_Toc61863736"/>
      <w:bookmarkStart w:id="28" w:name="_Toc948"/>
      <w:bookmarkStart w:id="29" w:name="_Toc25235"/>
      <w:r>
        <w:rPr>
          <w:rFonts w:hint="eastAsia" w:ascii="Times New Roman" w:hAnsi="Times New Roman" w:eastAsia="方正楷体_GBK"/>
        </w:rPr>
        <w:t>（一）指导思想</w:t>
      </w:r>
      <w:bookmarkEnd w:id="25"/>
      <w:bookmarkEnd w:id="26"/>
      <w:bookmarkEnd w:id="27"/>
      <w:bookmarkEnd w:id="28"/>
      <w:bookmarkEnd w:id="29"/>
    </w:p>
    <w:p>
      <w:pPr>
        <w:ind w:firstLine="632" w:firstLineChars="200"/>
        <w:rPr>
          <w:rFonts w:ascii="Times New Roman" w:hAnsi="Times New Roman"/>
        </w:rPr>
      </w:pPr>
      <w:r>
        <w:rPr>
          <w:rFonts w:hint="eastAsia" w:ascii="Times New Roman" w:hAnsi="Times New Roman"/>
        </w:rPr>
        <w:t>以习近平新时代中国特色社会主义思想为指导，全面贯彻党的十九大和十九届二中、三中、四中、</w:t>
      </w:r>
      <w:r>
        <w:rPr>
          <w:rFonts w:ascii="Times New Roman" w:hAnsi="Times New Roman"/>
        </w:rPr>
        <w:t>五中</w:t>
      </w:r>
      <w:r>
        <w:rPr>
          <w:rFonts w:hint="eastAsia" w:ascii="Times New Roman" w:hAnsi="Times New Roman"/>
        </w:rPr>
        <w:t>全会精神，深入贯彻习近平总书记对重庆提出的营造良好政治生态，坚持“两点”定位、“两地”“两高”目标，发挥“三个作用”和推动成渝地区双城经济圈建设等重要指示要求，立足新发展阶段，贯彻新发展理念，以推动现代物流高质量发展、支持构建新发展格局为主题，以深化物流领域供给侧结构性改革为主线，围绕强大国内市场建设和国际市场空间拓展，</w:t>
      </w:r>
      <w:r>
        <w:rPr>
          <w:rFonts w:ascii="Times New Roman" w:hAnsi="Times New Roman"/>
        </w:rPr>
        <w:t>明确</w:t>
      </w:r>
      <w:r>
        <w:rPr>
          <w:rFonts w:hint="eastAsia" w:ascii="Times New Roman" w:hAnsi="Times New Roman"/>
        </w:rPr>
        <w:t>战略</w:t>
      </w:r>
      <w:r>
        <w:rPr>
          <w:rFonts w:ascii="Times New Roman" w:hAnsi="Times New Roman"/>
        </w:rPr>
        <w:t>定位，</w:t>
      </w:r>
      <w:r>
        <w:rPr>
          <w:rFonts w:hint="eastAsia" w:ascii="Times New Roman" w:hAnsi="Times New Roman"/>
        </w:rPr>
        <w:t>以出海出境通道和国家物流枢纽为核心载体，打造内陆国际物流枢纽和口岸高地、国际物流要素组织创新中心、国家物流业高质量发展示范高地、现代化国际供应链智慧中枢，织就立足西部、辐射全国、畅联全球的现代化大都市圈“圈层辐射型”高效物流组织网络，打通现代产业链、供应链、价值链，提升全市经济要素聚集能力、产业辐射能力和应急保障能力，更好发挥重庆努力在推进新时代西部大开发中发挥支撑作用、在推进共建“一带一路”中发挥带动作用、在推进长江经济带绿色发展中发挥示范作用，以及成渝</w:t>
      </w:r>
      <w:r>
        <w:rPr>
          <w:rFonts w:ascii="Times New Roman" w:hAnsi="Times New Roman"/>
        </w:rPr>
        <w:t>地区双城经济圈建设中的引擎作用、西部陆海新通道建设中的</w:t>
      </w:r>
      <w:r>
        <w:rPr>
          <w:rFonts w:hint="eastAsia" w:ascii="Times New Roman" w:hAnsi="Times New Roman"/>
        </w:rPr>
        <w:t>物流</w:t>
      </w:r>
      <w:r>
        <w:rPr>
          <w:rFonts w:ascii="Times New Roman" w:hAnsi="Times New Roman"/>
        </w:rPr>
        <w:t>和运营组织</w:t>
      </w:r>
      <w:r>
        <w:rPr>
          <w:rFonts w:hint="eastAsia" w:ascii="Times New Roman" w:hAnsi="Times New Roman"/>
        </w:rPr>
        <w:t>中心</w:t>
      </w:r>
      <w:r>
        <w:rPr>
          <w:rFonts w:ascii="Times New Roman" w:hAnsi="Times New Roman"/>
        </w:rPr>
        <w:t>作用</w:t>
      </w:r>
      <w:r>
        <w:rPr>
          <w:rFonts w:hint="eastAsia" w:ascii="Times New Roman" w:hAnsi="Times New Roman"/>
        </w:rPr>
        <w:t>，支撑引领国家中心城市和内陆开放高地建设，更好服务国家战略和区域经济发展，更好支撑以国内</w:t>
      </w:r>
      <w:r>
        <w:rPr>
          <w:rFonts w:ascii="Times New Roman" w:hAnsi="Times New Roman"/>
        </w:rPr>
        <w:t>大循环为主体、</w:t>
      </w:r>
      <w:r>
        <w:rPr>
          <w:rFonts w:hint="eastAsia" w:ascii="Times New Roman" w:hAnsi="Times New Roman"/>
        </w:rPr>
        <w:t>国内</w:t>
      </w:r>
      <w:r>
        <w:rPr>
          <w:rFonts w:ascii="Times New Roman" w:hAnsi="Times New Roman"/>
        </w:rPr>
        <w:t>国际双循环相互促进的新发展格局</w:t>
      </w:r>
      <w:r>
        <w:rPr>
          <w:rFonts w:hint="eastAsia" w:ascii="Times New Roman" w:hAnsi="Times New Roman"/>
        </w:rPr>
        <w:t>。</w:t>
      </w:r>
    </w:p>
    <w:p>
      <w:pPr>
        <w:ind w:firstLine="632" w:firstLineChars="200"/>
        <w:outlineLvl w:val="1"/>
        <w:rPr>
          <w:rFonts w:hint="eastAsia" w:ascii="Times New Roman" w:hAnsi="Times New Roman" w:eastAsia="方正楷体_GBK"/>
        </w:rPr>
      </w:pPr>
      <w:bookmarkStart w:id="30" w:name="_Toc61863737"/>
      <w:bookmarkStart w:id="31" w:name="_Toc3014"/>
      <w:bookmarkStart w:id="32" w:name="_Toc9488"/>
      <w:bookmarkStart w:id="33" w:name="_Toc17002"/>
      <w:r>
        <w:rPr>
          <w:rFonts w:hint="eastAsia" w:ascii="Times New Roman" w:hAnsi="Times New Roman" w:eastAsia="方正楷体_GBK"/>
        </w:rPr>
        <w:t>（二）战略</w:t>
      </w:r>
      <w:r>
        <w:rPr>
          <w:rFonts w:ascii="Times New Roman" w:hAnsi="Times New Roman" w:eastAsia="方正楷体_GBK"/>
        </w:rPr>
        <w:t>定位</w:t>
      </w:r>
      <w:bookmarkEnd w:id="30"/>
      <w:bookmarkEnd w:id="31"/>
      <w:bookmarkEnd w:id="32"/>
      <w:bookmarkEnd w:id="33"/>
    </w:p>
    <w:p>
      <w:pPr>
        <w:ind w:firstLine="632" w:firstLineChars="200"/>
        <w:jc w:val="both"/>
        <w:pStyle w:val="16"/>
        <w:rPr>
          <w:kern w:val="2"/>
          <w:rFonts w:hint="eastAsia" w:ascii="Times New Roman" w:hAnsi="Times New Roman" w:eastAsia="方正仿宋_GBK"/>
          <w:sz w:val="32"/>
          <w:szCs w:val="20"/>
        </w:rPr>
      </w:pPr>
      <w:r>
        <w:rPr>
          <w:kern w:val="2"/>
          <w:rFonts w:hint="eastAsia" w:ascii="Times New Roman" w:hAnsi="Times New Roman" w:eastAsia="方正黑体_GBK"/>
          <w:sz w:val="32"/>
          <w:szCs w:val="20"/>
        </w:rPr>
        <w:t>内陆国际物流枢纽和口岸高地。</w:t>
      </w:r>
      <w:r>
        <w:rPr>
          <w:kern w:val="2"/>
          <w:rFonts w:hint="eastAsia" w:ascii="Times New Roman" w:hAnsi="Times New Roman" w:eastAsia="方正仿宋_GBK"/>
          <w:sz w:val="32"/>
          <w:szCs w:val="20"/>
        </w:rPr>
        <w:t>把握新时代</w:t>
      </w:r>
      <w:r>
        <w:rPr>
          <w:kern w:val="2"/>
          <w:rFonts w:ascii="Times New Roman" w:hAnsi="Times New Roman" w:eastAsia="方正仿宋_GBK"/>
          <w:sz w:val="32"/>
          <w:szCs w:val="20"/>
        </w:rPr>
        <w:t>西部大开发、“</w:t>
      </w:r>
      <w:r>
        <w:rPr>
          <w:kern w:val="2"/>
          <w:rFonts w:hint="eastAsia" w:ascii="Times New Roman" w:hAnsi="Times New Roman" w:eastAsia="方正仿宋_GBK"/>
          <w:sz w:val="32"/>
          <w:szCs w:val="20"/>
        </w:rPr>
        <w:t>一带一路</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建设</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长江经济带</w:t>
      </w:r>
      <w:r>
        <w:rPr>
          <w:kern w:val="2"/>
          <w:rFonts w:ascii="Times New Roman" w:hAnsi="Times New Roman" w:eastAsia="方正仿宋_GBK"/>
          <w:sz w:val="32"/>
          <w:szCs w:val="20"/>
        </w:rPr>
        <w:t>发展、西部陆海新通道建设</w:t>
      </w:r>
      <w:r>
        <w:rPr>
          <w:kern w:val="2"/>
          <w:rFonts w:hint="eastAsia" w:ascii="Times New Roman" w:hAnsi="Times New Roman" w:eastAsia="方正仿宋_GBK"/>
          <w:sz w:val="32"/>
          <w:szCs w:val="20"/>
        </w:rPr>
        <w:t>契机</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加快</w:t>
      </w:r>
      <w:r>
        <w:rPr>
          <w:kern w:val="2"/>
          <w:rFonts w:ascii="Times New Roman" w:hAnsi="Times New Roman" w:eastAsia="方正仿宋_GBK"/>
          <w:sz w:val="32"/>
          <w:szCs w:val="20"/>
        </w:rPr>
        <w:t>推进物流大通道</w:t>
      </w:r>
      <w:r>
        <w:rPr>
          <w:kern w:val="2"/>
          <w:rFonts w:hint="eastAsia" w:ascii="Times New Roman" w:hAnsi="Times New Roman" w:eastAsia="方正仿宋_GBK"/>
          <w:sz w:val="32"/>
          <w:szCs w:val="20"/>
        </w:rPr>
        <w:t>布局</w:t>
      </w:r>
      <w:r>
        <w:rPr>
          <w:kern w:val="2"/>
          <w:rFonts w:ascii="Times New Roman" w:hAnsi="Times New Roman" w:eastAsia="方正仿宋_GBK"/>
          <w:sz w:val="32"/>
          <w:szCs w:val="20"/>
        </w:rPr>
        <w:t>和枢纽</w:t>
      </w:r>
      <w:r>
        <w:rPr>
          <w:kern w:val="2"/>
          <w:rFonts w:hint="eastAsia" w:ascii="Times New Roman" w:hAnsi="Times New Roman" w:eastAsia="方正仿宋_GBK"/>
          <w:sz w:val="32"/>
          <w:szCs w:val="20"/>
        </w:rPr>
        <w:t>建设，优化</w:t>
      </w:r>
      <w:r>
        <w:rPr>
          <w:kern w:val="2"/>
          <w:rFonts w:ascii="Times New Roman" w:hAnsi="Times New Roman" w:eastAsia="方正仿宋_GBK"/>
          <w:sz w:val="32"/>
          <w:szCs w:val="20"/>
        </w:rPr>
        <w:t>口岸布局</w:t>
      </w:r>
      <w:r>
        <w:rPr>
          <w:kern w:val="2"/>
          <w:rFonts w:hint="eastAsia" w:ascii="Times New Roman" w:hAnsi="Times New Roman" w:eastAsia="方正仿宋_GBK"/>
          <w:sz w:val="32"/>
          <w:szCs w:val="20"/>
        </w:rPr>
        <w:t>，</w:t>
      </w:r>
      <w:r>
        <w:rPr>
          <w:kern w:val="2"/>
          <w:rFonts w:ascii="Times New Roman" w:hAnsi="Times New Roman" w:eastAsia="方正仿宋_GBK"/>
          <w:sz w:val="32"/>
          <w:szCs w:val="20"/>
        </w:rPr>
        <w:t>完善口岸</w:t>
      </w:r>
      <w:r>
        <w:rPr>
          <w:kern w:val="2"/>
          <w:rFonts w:hint="eastAsia" w:ascii="Times New Roman" w:hAnsi="Times New Roman" w:eastAsia="方正仿宋_GBK"/>
          <w:sz w:val="32"/>
          <w:szCs w:val="20"/>
        </w:rPr>
        <w:t>功能</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加快</w:t>
      </w:r>
      <w:r>
        <w:rPr>
          <w:kern w:val="2"/>
          <w:rFonts w:ascii="Times New Roman" w:hAnsi="Times New Roman" w:eastAsia="方正仿宋_GBK"/>
          <w:sz w:val="32"/>
          <w:szCs w:val="20"/>
        </w:rPr>
        <w:t>国际物流发展</w:t>
      </w:r>
      <w:r>
        <w:rPr>
          <w:kern w:val="2"/>
          <w:rFonts w:hint="eastAsia" w:ascii="Times New Roman" w:hAnsi="Times New Roman" w:eastAsia="方正仿宋_GBK"/>
          <w:sz w:val="32"/>
          <w:szCs w:val="20"/>
        </w:rPr>
        <w:t>，实现</w:t>
      </w:r>
      <w:r>
        <w:rPr>
          <w:kern w:val="2"/>
          <w:rFonts w:ascii="Times New Roman" w:hAnsi="Times New Roman" w:eastAsia="方正仿宋_GBK"/>
          <w:sz w:val="32"/>
          <w:szCs w:val="20"/>
        </w:rPr>
        <w:t>口岸</w:t>
      </w:r>
      <w:r>
        <w:rPr>
          <w:kern w:val="2"/>
          <w:rFonts w:hint="eastAsia" w:ascii="Times New Roman" w:hAnsi="Times New Roman" w:eastAsia="方正仿宋_GBK"/>
          <w:sz w:val="32"/>
          <w:szCs w:val="20"/>
        </w:rPr>
        <w:t>和</w:t>
      </w:r>
      <w:r>
        <w:rPr>
          <w:kern w:val="2"/>
          <w:rFonts w:ascii="Times New Roman" w:hAnsi="Times New Roman" w:eastAsia="方正仿宋_GBK"/>
          <w:sz w:val="32"/>
          <w:szCs w:val="20"/>
        </w:rPr>
        <w:t>物流</w:t>
      </w:r>
      <w:r>
        <w:rPr>
          <w:kern w:val="2"/>
          <w:rFonts w:hint="eastAsia" w:ascii="Times New Roman" w:hAnsi="Times New Roman" w:eastAsia="方正仿宋_GBK"/>
          <w:sz w:val="32"/>
          <w:szCs w:val="20"/>
        </w:rPr>
        <w:t>的深度</w:t>
      </w:r>
      <w:r>
        <w:rPr>
          <w:kern w:val="2"/>
          <w:rFonts w:ascii="Times New Roman" w:hAnsi="Times New Roman" w:eastAsia="方正仿宋_GBK"/>
          <w:sz w:val="32"/>
          <w:szCs w:val="20"/>
        </w:rPr>
        <w:t>融合</w:t>
      </w:r>
      <w:r>
        <w:rPr>
          <w:kern w:val="2"/>
          <w:rFonts w:hint="eastAsia" w:ascii="Times New Roman" w:hAnsi="Times New Roman" w:eastAsia="方正仿宋_GBK"/>
          <w:sz w:val="32"/>
          <w:szCs w:val="20"/>
        </w:rPr>
        <w:t>互嵌。</w:t>
      </w:r>
    </w:p>
    <w:p>
      <w:pPr>
        <w:ind w:firstLine="632" w:firstLineChars="200"/>
        <w:jc w:val="both"/>
        <w:pStyle w:val="16"/>
        <w:rPr>
          <w:kern w:val="2"/>
          <w:rFonts w:hint="eastAsia" w:ascii="Times New Roman" w:hAnsi="Times New Roman" w:eastAsia="方正仿宋_GBK"/>
          <w:sz w:val="32"/>
          <w:szCs w:val="20"/>
        </w:rPr>
      </w:pPr>
      <w:r>
        <w:rPr>
          <w:kern w:val="2"/>
          <w:rFonts w:hint="eastAsia" w:ascii="Times New Roman" w:hAnsi="Times New Roman" w:eastAsia="方正黑体_GBK"/>
          <w:sz w:val="32"/>
          <w:szCs w:val="20"/>
        </w:rPr>
        <w:t>国际物流要素组织创新中心。</w:t>
      </w:r>
      <w:r>
        <w:rPr>
          <w:kern w:val="2"/>
          <w:rFonts w:hint="eastAsia" w:ascii="Times New Roman" w:hAnsi="Times New Roman" w:eastAsia="方正仿宋_GBK"/>
          <w:sz w:val="32"/>
          <w:szCs w:val="20"/>
        </w:rPr>
        <w:t>依托</w:t>
      </w:r>
      <w:r>
        <w:rPr>
          <w:kern w:val="2"/>
          <w:rFonts w:ascii="Times New Roman" w:hAnsi="Times New Roman" w:eastAsia="方正仿宋_GBK"/>
          <w:sz w:val="32"/>
          <w:szCs w:val="20"/>
        </w:rPr>
        <w:t>长江黄金水道、</w:t>
      </w:r>
      <w:r>
        <w:rPr>
          <w:kern w:val="2"/>
          <w:rFonts w:hint="eastAsia" w:ascii="Times New Roman" w:hAnsi="Times New Roman" w:eastAsia="方正仿宋_GBK"/>
          <w:sz w:val="32"/>
          <w:szCs w:val="20"/>
        </w:rPr>
        <w:t>中欧班列（成渝）通道</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西部陆海</w:t>
      </w:r>
      <w:r>
        <w:rPr>
          <w:kern w:val="2"/>
          <w:rFonts w:ascii="Times New Roman" w:hAnsi="Times New Roman" w:eastAsia="方正仿宋_GBK"/>
          <w:sz w:val="32"/>
          <w:szCs w:val="20"/>
        </w:rPr>
        <w:t>新通道</w:t>
      </w:r>
      <w:r>
        <w:rPr>
          <w:kern w:val="2"/>
          <w:rFonts w:hint="eastAsia" w:ascii="Times New Roman" w:hAnsi="Times New Roman" w:eastAsia="方正仿宋_GBK"/>
          <w:sz w:val="32"/>
          <w:szCs w:val="20"/>
        </w:rPr>
        <w:t>和国际航空物流大通道</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强化与</w:t>
      </w:r>
      <w:r>
        <w:rPr>
          <w:kern w:val="2"/>
          <w:rFonts w:ascii="Times New Roman" w:hAnsi="Times New Roman" w:eastAsia="方正仿宋_GBK"/>
          <w:sz w:val="32"/>
          <w:szCs w:val="20"/>
        </w:rPr>
        <w:t>国际市场的</w:t>
      </w:r>
      <w:r>
        <w:rPr>
          <w:kern w:val="2"/>
          <w:rFonts w:hint="eastAsia" w:ascii="Times New Roman" w:hAnsi="Times New Roman" w:eastAsia="方正仿宋_GBK"/>
          <w:sz w:val="32"/>
          <w:szCs w:val="20"/>
        </w:rPr>
        <w:t>链接和对</w:t>
      </w:r>
      <w:r>
        <w:rPr>
          <w:kern w:val="2"/>
          <w:rFonts w:ascii="Times New Roman" w:hAnsi="Times New Roman" w:eastAsia="方正仿宋_GBK"/>
          <w:sz w:val="32"/>
          <w:szCs w:val="20"/>
        </w:rPr>
        <w:t>国内市场的覆盖，</w:t>
      </w:r>
      <w:r>
        <w:rPr>
          <w:kern w:val="2"/>
          <w:rFonts w:hint="eastAsia" w:ascii="Times New Roman" w:hAnsi="Times New Roman" w:eastAsia="方正仿宋_GBK"/>
          <w:sz w:val="32"/>
          <w:szCs w:val="20"/>
        </w:rPr>
        <w:t>优化创新</w:t>
      </w:r>
      <w:r>
        <w:rPr>
          <w:kern w:val="2"/>
          <w:rFonts w:ascii="Times New Roman" w:hAnsi="Times New Roman" w:eastAsia="方正仿宋_GBK"/>
          <w:sz w:val="32"/>
          <w:szCs w:val="20"/>
        </w:rPr>
        <w:t>物流</w:t>
      </w:r>
      <w:r>
        <w:rPr>
          <w:kern w:val="2"/>
          <w:rFonts w:hint="eastAsia" w:ascii="Times New Roman" w:hAnsi="Times New Roman" w:eastAsia="方正仿宋_GBK"/>
          <w:sz w:val="32"/>
          <w:szCs w:val="20"/>
        </w:rPr>
        <w:t>运营</w:t>
      </w:r>
      <w:r>
        <w:rPr>
          <w:kern w:val="2"/>
          <w:rFonts w:ascii="Times New Roman" w:hAnsi="Times New Roman" w:eastAsia="方正仿宋_GBK"/>
          <w:sz w:val="32"/>
          <w:szCs w:val="20"/>
        </w:rPr>
        <w:t>组织模式，</w:t>
      </w:r>
      <w:r>
        <w:rPr>
          <w:kern w:val="2"/>
          <w:rFonts w:hint="eastAsia" w:ascii="Times New Roman" w:hAnsi="Times New Roman" w:eastAsia="方正仿宋_GBK"/>
          <w:sz w:val="32"/>
          <w:szCs w:val="20"/>
        </w:rPr>
        <w:t>实现资源</w:t>
      </w:r>
      <w:r>
        <w:rPr>
          <w:kern w:val="2"/>
          <w:rFonts w:ascii="Times New Roman" w:hAnsi="Times New Roman" w:eastAsia="方正仿宋_GBK"/>
          <w:sz w:val="32"/>
          <w:szCs w:val="20"/>
        </w:rPr>
        <w:t>要素的</w:t>
      </w:r>
      <w:r>
        <w:rPr>
          <w:kern w:val="2"/>
          <w:rFonts w:hint="eastAsia" w:ascii="Times New Roman" w:hAnsi="Times New Roman" w:eastAsia="方正仿宋_GBK"/>
          <w:sz w:val="32"/>
          <w:szCs w:val="20"/>
        </w:rPr>
        <w:t>规模化聚集</w:t>
      </w:r>
      <w:r>
        <w:rPr>
          <w:kern w:val="2"/>
          <w:rFonts w:ascii="Times New Roman" w:hAnsi="Times New Roman" w:eastAsia="方正仿宋_GBK"/>
          <w:sz w:val="32"/>
          <w:szCs w:val="20"/>
        </w:rPr>
        <w:t>、高效率配置和</w:t>
      </w:r>
      <w:r>
        <w:rPr>
          <w:kern w:val="2"/>
          <w:rFonts w:hint="eastAsia" w:ascii="Times New Roman" w:hAnsi="Times New Roman" w:eastAsia="方正仿宋_GBK"/>
          <w:sz w:val="32"/>
          <w:szCs w:val="20"/>
        </w:rPr>
        <w:t>大范围流转</w:t>
      </w:r>
      <w:r>
        <w:rPr>
          <w:kern w:val="2"/>
          <w:rFonts w:ascii="Times New Roman" w:hAnsi="Times New Roman" w:eastAsia="方正仿宋_GBK"/>
          <w:sz w:val="32"/>
          <w:szCs w:val="20"/>
        </w:rPr>
        <w:t>。</w:t>
      </w:r>
    </w:p>
    <w:p>
      <w:pPr>
        <w:ind w:firstLine="632" w:firstLineChars="200"/>
        <w:jc w:val="both"/>
        <w:pStyle w:val="16"/>
        <w:rPr>
          <w:kern w:val="2"/>
          <w:rFonts w:ascii="Times New Roman" w:hAnsi="Times New Roman" w:eastAsia="方正仿宋_GBK"/>
          <w:sz w:val="32"/>
          <w:szCs w:val="20"/>
        </w:rPr>
      </w:pPr>
      <w:r>
        <w:rPr>
          <w:kern w:val="2"/>
          <w:rFonts w:hint="eastAsia" w:ascii="Times New Roman" w:hAnsi="Times New Roman" w:eastAsia="方正黑体_GBK"/>
          <w:sz w:val="32"/>
          <w:szCs w:val="20"/>
        </w:rPr>
        <w:t>国家物流业高质量发展示范高地。</w:t>
      </w:r>
      <w:r>
        <w:rPr>
          <w:kern w:val="2"/>
          <w:rFonts w:hint="eastAsia" w:ascii="Times New Roman" w:hAnsi="Times New Roman" w:eastAsia="方正仿宋_GBK"/>
          <w:sz w:val="32"/>
          <w:szCs w:val="20"/>
        </w:rPr>
        <w:t>稳步推进陆港型、港口型、空港型、生产服务型和商贸服务型国家物流枢纽建设，积极融入国家物流枢纽网络，推动物流与产业深度融合发展，拓展</w:t>
      </w:r>
      <w:r>
        <w:rPr>
          <w:kern w:val="2"/>
          <w:rFonts w:ascii="Times New Roman" w:hAnsi="Times New Roman" w:eastAsia="方正仿宋_GBK"/>
          <w:sz w:val="32"/>
          <w:szCs w:val="20"/>
        </w:rPr>
        <w:t>物流设施</w:t>
      </w:r>
      <w:r>
        <w:rPr>
          <w:kern w:val="2"/>
          <w:rFonts w:hint="eastAsia" w:ascii="Times New Roman" w:hAnsi="Times New Roman" w:eastAsia="方正仿宋_GBK"/>
          <w:sz w:val="32"/>
          <w:szCs w:val="20"/>
        </w:rPr>
        <w:t>覆盖范围、提升物流服务质量、培育</w:t>
      </w:r>
      <w:r>
        <w:rPr>
          <w:kern w:val="2"/>
          <w:rFonts w:ascii="Times New Roman" w:hAnsi="Times New Roman" w:eastAsia="方正仿宋_GBK"/>
          <w:sz w:val="32"/>
          <w:szCs w:val="20"/>
        </w:rPr>
        <w:t>壮大</w:t>
      </w:r>
      <w:r>
        <w:rPr>
          <w:kern w:val="2"/>
          <w:rFonts w:hint="eastAsia" w:ascii="Times New Roman" w:hAnsi="Times New Roman" w:eastAsia="方正仿宋_GBK"/>
          <w:sz w:val="32"/>
          <w:szCs w:val="20"/>
        </w:rPr>
        <w:t>市场主体、优化营商环境、降低社会物流成本，打造内陆国际物流分拨中心，为物流</w:t>
      </w:r>
      <w:r>
        <w:rPr>
          <w:kern w:val="2"/>
          <w:rFonts w:ascii="Times New Roman" w:hAnsi="Times New Roman" w:eastAsia="方正仿宋_GBK"/>
          <w:sz w:val="32"/>
          <w:szCs w:val="20"/>
        </w:rPr>
        <w:t>支撑</w:t>
      </w:r>
      <w:r>
        <w:rPr>
          <w:kern w:val="2"/>
          <w:rFonts w:hint="eastAsia" w:ascii="Times New Roman" w:hAnsi="Times New Roman" w:eastAsia="方正仿宋_GBK"/>
          <w:sz w:val="32"/>
          <w:szCs w:val="20"/>
        </w:rPr>
        <w:t>现代化经济体系建设</w:t>
      </w:r>
      <w:r>
        <w:rPr>
          <w:kern w:val="2"/>
          <w:rFonts w:ascii="Times New Roman" w:hAnsi="Times New Roman" w:eastAsia="方正仿宋_GBK"/>
          <w:sz w:val="32"/>
          <w:szCs w:val="20"/>
        </w:rPr>
        <w:t>开展先行先试</w:t>
      </w:r>
      <w:r>
        <w:rPr>
          <w:kern w:val="2"/>
          <w:rFonts w:hint="eastAsia" w:ascii="Times New Roman" w:hAnsi="Times New Roman" w:eastAsia="方正仿宋_GBK"/>
          <w:sz w:val="32"/>
          <w:szCs w:val="20"/>
        </w:rPr>
        <w:t>。</w:t>
      </w:r>
    </w:p>
    <w:p>
      <w:pPr>
        <w:ind w:firstLine="632" w:firstLineChars="200"/>
        <w:jc w:val="both"/>
        <w:pStyle w:val="16"/>
        <w:rPr>
          <w:rFonts w:hint="eastAsia" w:ascii="Times New Roman" w:hAnsi="Times New Roman"/>
        </w:rPr>
      </w:pPr>
      <w:r>
        <w:rPr>
          <w:kern w:val="2"/>
          <w:rFonts w:hint="eastAsia" w:ascii="Times New Roman" w:hAnsi="Times New Roman" w:eastAsia="方正黑体_GBK"/>
          <w:sz w:val="32"/>
          <w:szCs w:val="20"/>
        </w:rPr>
        <w:t>现代化国际供应链智慧中枢。</w:t>
      </w:r>
      <w:r>
        <w:rPr>
          <w:kern w:val="2"/>
          <w:rFonts w:hint="eastAsia" w:ascii="Times New Roman" w:hAnsi="Times New Roman" w:eastAsia="方正仿宋_GBK"/>
          <w:sz w:val="32"/>
          <w:szCs w:val="20"/>
        </w:rPr>
        <w:t>加快推进新一代</w:t>
      </w:r>
      <w:r>
        <w:rPr>
          <w:kern w:val="2"/>
          <w:rFonts w:ascii="Times New Roman" w:hAnsi="Times New Roman" w:eastAsia="方正仿宋_GBK"/>
          <w:sz w:val="32"/>
          <w:szCs w:val="20"/>
        </w:rPr>
        <w:t>信息技术</w:t>
      </w:r>
      <w:r>
        <w:rPr>
          <w:kern w:val="2"/>
          <w:rFonts w:hint="eastAsia" w:ascii="Times New Roman" w:hAnsi="Times New Roman" w:eastAsia="方正仿宋_GBK"/>
          <w:sz w:val="32"/>
          <w:szCs w:val="20"/>
        </w:rPr>
        <w:t>、</w:t>
      </w:r>
      <w:r>
        <w:rPr>
          <w:kern w:val="2"/>
          <w:rFonts w:ascii="Times New Roman" w:hAnsi="Times New Roman" w:eastAsia="方正仿宋_GBK"/>
          <w:sz w:val="32"/>
          <w:szCs w:val="20"/>
        </w:rPr>
        <w:t>智能</w:t>
      </w:r>
      <w:r>
        <w:rPr>
          <w:kern w:val="2"/>
          <w:rFonts w:hint="eastAsia" w:ascii="Times New Roman" w:hAnsi="Times New Roman" w:eastAsia="方正仿宋_GBK"/>
          <w:sz w:val="32"/>
          <w:szCs w:val="20"/>
        </w:rPr>
        <w:t>化</w:t>
      </w:r>
      <w:r>
        <w:rPr>
          <w:kern w:val="2"/>
          <w:rFonts w:ascii="Times New Roman" w:hAnsi="Times New Roman" w:eastAsia="方正仿宋_GBK"/>
          <w:sz w:val="32"/>
          <w:szCs w:val="20"/>
        </w:rPr>
        <w:t>设施设备</w:t>
      </w:r>
      <w:r>
        <w:rPr>
          <w:kern w:val="2"/>
          <w:rFonts w:hint="eastAsia" w:ascii="Times New Roman" w:hAnsi="Times New Roman" w:eastAsia="方正仿宋_GBK"/>
          <w:sz w:val="32"/>
          <w:szCs w:val="20"/>
        </w:rPr>
        <w:t>在</w:t>
      </w:r>
      <w:r>
        <w:rPr>
          <w:kern w:val="2"/>
          <w:rFonts w:ascii="Times New Roman" w:hAnsi="Times New Roman" w:eastAsia="方正仿宋_GBK"/>
          <w:sz w:val="32"/>
          <w:szCs w:val="20"/>
        </w:rPr>
        <w:t>物流领域的应用</w:t>
      </w:r>
      <w:r>
        <w:rPr>
          <w:kern w:val="2"/>
          <w:rFonts w:hint="eastAsia" w:ascii="Times New Roman" w:hAnsi="Times New Roman" w:eastAsia="方正仿宋_GBK"/>
          <w:sz w:val="32"/>
          <w:szCs w:val="20"/>
        </w:rPr>
        <w:t>，推进数据信息</w:t>
      </w:r>
      <w:r>
        <w:rPr>
          <w:kern w:val="2"/>
          <w:rFonts w:ascii="Times New Roman" w:hAnsi="Times New Roman" w:eastAsia="方正仿宋_GBK"/>
          <w:sz w:val="32"/>
          <w:szCs w:val="20"/>
        </w:rPr>
        <w:t>共享和标准体系对接</w:t>
      </w:r>
      <w:r>
        <w:rPr>
          <w:kern w:val="2"/>
          <w:rFonts w:hint="eastAsia" w:ascii="Times New Roman" w:hAnsi="Times New Roman" w:eastAsia="方正仿宋_GBK"/>
          <w:sz w:val="32"/>
          <w:szCs w:val="20"/>
        </w:rPr>
        <w:t>，积极融入全球供应链网络，重点围绕特色农业、</w:t>
      </w:r>
      <w:r>
        <w:rPr>
          <w:kern w:val="2"/>
          <w:rFonts w:ascii="Times New Roman" w:hAnsi="Times New Roman" w:eastAsia="方正仿宋_GBK"/>
          <w:sz w:val="32"/>
          <w:szCs w:val="20"/>
        </w:rPr>
        <w:t>制造业和商贸业，推进</w:t>
      </w:r>
      <w:r>
        <w:rPr>
          <w:kern w:val="2"/>
          <w:rFonts w:hint="eastAsia" w:ascii="Times New Roman" w:hAnsi="Times New Roman" w:eastAsia="方正仿宋_GBK"/>
          <w:sz w:val="32"/>
          <w:szCs w:val="20"/>
        </w:rPr>
        <w:t>供应链物流组织平台和</w:t>
      </w:r>
      <w:r>
        <w:rPr>
          <w:kern w:val="2"/>
          <w:rFonts w:ascii="Times New Roman" w:hAnsi="Times New Roman" w:eastAsia="方正仿宋_GBK"/>
          <w:sz w:val="32"/>
          <w:szCs w:val="20"/>
        </w:rPr>
        <w:t>服务体系</w:t>
      </w:r>
      <w:r>
        <w:rPr>
          <w:kern w:val="2"/>
          <w:rFonts w:hint="eastAsia" w:ascii="Times New Roman" w:hAnsi="Times New Roman" w:eastAsia="方正仿宋_GBK"/>
          <w:sz w:val="32"/>
          <w:szCs w:val="20"/>
        </w:rPr>
        <w:t>建设</w:t>
      </w:r>
      <w:r>
        <w:rPr>
          <w:kern w:val="2"/>
          <w:rFonts w:ascii="Times New Roman" w:hAnsi="Times New Roman" w:eastAsia="方正仿宋_GBK"/>
          <w:sz w:val="32"/>
          <w:szCs w:val="20"/>
        </w:rPr>
        <w:t>，</w:t>
      </w:r>
      <w:r>
        <w:rPr>
          <w:kern w:val="2"/>
          <w:rFonts w:hint="eastAsia" w:ascii="Times New Roman" w:hAnsi="Times New Roman" w:eastAsia="方正仿宋_GBK"/>
          <w:sz w:val="32"/>
          <w:szCs w:val="20"/>
        </w:rPr>
        <w:t>提高</w:t>
      </w:r>
      <w:r>
        <w:rPr>
          <w:kern w:val="2"/>
          <w:rFonts w:ascii="Times New Roman" w:hAnsi="Times New Roman" w:eastAsia="方正仿宋_GBK"/>
          <w:sz w:val="32"/>
          <w:szCs w:val="20"/>
        </w:rPr>
        <w:t>物流产业运营组织能力</w:t>
      </w:r>
      <w:r>
        <w:rPr>
          <w:kern w:val="2"/>
          <w:rFonts w:hint="eastAsia" w:ascii="Times New Roman" w:hAnsi="Times New Roman" w:eastAsia="方正仿宋_GBK"/>
          <w:sz w:val="32"/>
          <w:szCs w:val="20"/>
        </w:rPr>
        <w:t>，实现以物流带产业、以产业促经济。</w:t>
      </w:r>
    </w:p>
    <w:p>
      <w:pPr>
        <w:ind w:firstLine="632" w:firstLineChars="200"/>
        <w:outlineLvl w:val="1"/>
        <w:rPr>
          <w:rFonts w:hint="eastAsia" w:ascii="Times New Roman" w:hAnsi="Times New Roman" w:eastAsia="方正楷体_GBK"/>
        </w:rPr>
      </w:pPr>
      <w:bookmarkStart w:id="34" w:name="_Toc25140"/>
      <w:bookmarkStart w:id="35" w:name="_Toc61863738"/>
      <w:bookmarkStart w:id="36" w:name="_Toc19364"/>
      <w:bookmarkStart w:id="37" w:name="_Toc21553"/>
      <w:bookmarkStart w:id="38" w:name="_Toc32134"/>
      <w:r>
        <w:rPr>
          <w:rFonts w:hint="eastAsia" w:ascii="Times New Roman" w:hAnsi="Times New Roman" w:eastAsia="方正楷体_GBK"/>
        </w:rPr>
        <w:t>（三）基本原则</w:t>
      </w:r>
      <w:bookmarkEnd w:id="34"/>
      <w:bookmarkEnd w:id="35"/>
      <w:bookmarkEnd w:id="36"/>
      <w:bookmarkEnd w:id="37"/>
      <w:bookmarkEnd w:id="38"/>
    </w:p>
    <w:p>
      <w:pPr>
        <w:ind w:firstLine="632" w:firstLineChars="200"/>
        <w:rPr>
          <w:rFonts w:hint="eastAsia" w:ascii="Times New Roman" w:hAnsi="Times New Roman"/>
        </w:rPr>
      </w:pPr>
      <w:r>
        <w:rPr>
          <w:rFonts w:hint="eastAsia" w:ascii="Times New Roman" w:hAnsi="Times New Roman"/>
        </w:rPr>
        <w:t>战略牵引、统筹布局。突出多项战略叠加优势，以服务国家战略为主方向，以成渝地区双城经济圈建设为依托，强化国际物流组织、区域物流辐射、产业供应链服务能力，形成战略牵引下的物流发展新局面。按照全市一盘棋，物流一张网，统筹基础设施建设、服务平台搭建、服务体系构建，实现</w:t>
      </w:r>
      <w:r>
        <w:rPr>
          <w:rFonts w:ascii="Times New Roman" w:hAnsi="Times New Roman"/>
        </w:rPr>
        <w:t>“</w:t>
      </w:r>
      <w:r>
        <w:rPr>
          <w:rFonts w:hint="eastAsia" w:ascii="Times New Roman" w:hAnsi="Times New Roman"/>
        </w:rPr>
        <w:t>一区两群</w:t>
      </w:r>
      <w:r>
        <w:rPr>
          <w:rFonts w:ascii="Times New Roman" w:hAnsi="Times New Roman"/>
        </w:rPr>
        <w:t>”</w:t>
      </w:r>
      <w:r>
        <w:rPr>
          <w:rFonts w:hint="eastAsia" w:ascii="Times New Roman" w:hAnsi="Times New Roman"/>
        </w:rPr>
        <w:t>物流协调发展、</w:t>
      </w:r>
      <w:r>
        <w:rPr>
          <w:rFonts w:ascii="Times New Roman" w:hAnsi="Times New Roman"/>
        </w:rPr>
        <w:t>供应链一体建设、产业链协同互补</w:t>
      </w:r>
      <w:r>
        <w:rPr>
          <w:rFonts w:hint="eastAsia" w:ascii="Times New Roman" w:hAnsi="Times New Roman"/>
        </w:rPr>
        <w:t>。</w:t>
      </w:r>
    </w:p>
    <w:p>
      <w:pPr>
        <w:ind w:firstLine="632" w:firstLineChars="200"/>
        <w:rPr>
          <w:rFonts w:hint="eastAsia" w:ascii="Times New Roman" w:hAnsi="Times New Roman"/>
        </w:rPr>
      </w:pPr>
      <w:r>
        <w:rPr>
          <w:rFonts w:hint="eastAsia" w:ascii="Times New Roman" w:hAnsi="Times New Roman"/>
        </w:rPr>
        <w:t>市场运作，政府引导。发挥市场在资源配置中的决定性作用，强化物流企业市场主体地位，激发全社会创造力和市场活力，畅通物流要素流动渠道，实现要素配置效益最大化和效率最优化。更好发挥政府作用，健全物流市场运行机制，做到放活与管好有机结合，提升监管和服务能力，创造良好营商环境。</w:t>
      </w:r>
    </w:p>
    <w:p>
      <w:pPr>
        <w:ind w:firstLine="632" w:firstLineChars="200"/>
        <w:rPr>
          <w:rFonts w:hint="eastAsia" w:ascii="Times New Roman" w:hAnsi="Times New Roman"/>
        </w:rPr>
      </w:pPr>
      <w:r>
        <w:rPr>
          <w:rFonts w:hint="eastAsia" w:ascii="Times New Roman" w:hAnsi="Times New Roman"/>
        </w:rPr>
        <w:t>超前谋划、一体组织。顺应国际产业分工和经贸格局调整趋势，充分发挥现代物流对经济发展方式转变、城市能级提升、区域要素聚集辐射的基础支撑和战略引领作用，适度超前布局建设和整体提升物流设施，优化创新一体化物流服务组织模式和营造良好物流运行条件，全面加速物流服务品质、效率提升步伐。</w:t>
      </w:r>
    </w:p>
    <w:p>
      <w:pPr>
        <w:ind w:firstLine="632" w:firstLineChars="200"/>
        <w:rPr>
          <w:rFonts w:hint="eastAsia" w:ascii="Times New Roman" w:hAnsi="Times New Roman"/>
        </w:rPr>
      </w:pPr>
      <w:r>
        <w:rPr>
          <w:rFonts w:hint="eastAsia" w:ascii="Times New Roman" w:hAnsi="Times New Roman"/>
        </w:rPr>
        <w:t>网络融合、产业协同。统筹国际国内市场，以国家物流枢纽为主要载体，整合各领域物流信息平台，全面实现信息网络融合。构建分类化、专业化、联动化、平台化、</w:t>
      </w:r>
      <w:r>
        <w:rPr>
          <w:rFonts w:ascii="Times New Roman" w:hAnsi="Times New Roman"/>
        </w:rPr>
        <w:t>特色化</w:t>
      </w:r>
      <w:r>
        <w:rPr>
          <w:rFonts w:hint="eastAsia" w:ascii="Times New Roman" w:hAnsi="Times New Roman"/>
        </w:rPr>
        <w:t>物流服务网络格局，加强枢纽分工协作，优化整合拓展对外物流通道，打造“通道+枢纽+网络”的</w:t>
      </w:r>
      <w:r>
        <w:rPr>
          <w:rFonts w:ascii="Times New Roman" w:hAnsi="Times New Roman"/>
        </w:rPr>
        <w:t>物流</w:t>
      </w:r>
      <w:r>
        <w:rPr>
          <w:rFonts w:hint="eastAsia" w:ascii="Times New Roman" w:hAnsi="Times New Roman"/>
        </w:rPr>
        <w:t>运行体系。围绕现代产业规模化聚集化发展和区域协调发展需要，加强物流与交通、制造、商贸等产业融合，探索通道经济、枢纽经济新范式，培育城市和区域经济发展新动能。</w:t>
      </w:r>
    </w:p>
    <w:p>
      <w:pPr>
        <w:ind w:firstLine="632" w:firstLineChars="200"/>
        <w:rPr>
          <w:rFonts w:hint="eastAsia" w:ascii="Times New Roman" w:hAnsi="Times New Roman"/>
        </w:rPr>
      </w:pPr>
      <w:r>
        <w:rPr>
          <w:rFonts w:hint="eastAsia" w:ascii="Times New Roman" w:hAnsi="Times New Roman"/>
        </w:rPr>
        <w:t>品质提升、绿色智能。积极推广使用互联网、物联网、大数据、云计算、人工智能、区块链、</w:t>
      </w:r>
      <w:r>
        <w:rPr>
          <w:rFonts w:ascii="Times New Roman" w:hAnsi="Times New Roman"/>
        </w:rPr>
        <w:t>5G</w:t>
      </w:r>
      <w:r>
        <w:rPr>
          <w:rFonts w:hint="eastAsia" w:ascii="Times New Roman" w:hAnsi="Times New Roman"/>
        </w:rPr>
        <w:t>等新一代信息技术，以数字化、智能化、信息化为牵引，</w:t>
      </w:r>
      <w:r>
        <w:rPr>
          <w:rFonts w:ascii="Times New Roman" w:hAnsi="Times New Roman"/>
        </w:rPr>
        <w:t>推动</w:t>
      </w:r>
      <w:r>
        <w:rPr>
          <w:rFonts w:hint="eastAsia" w:ascii="Times New Roman" w:hAnsi="Times New Roman"/>
        </w:rPr>
        <w:t>现代物流高端化、高效化发展。加强绿色低碳技术与装备应用，统筹存量与增量需求培育、硬件设施与软环境建设，打造常态与应急统筹发展的绿色智慧物流体系，提升物流产业全生命周期智能发展能力和可持续发展水平。</w:t>
      </w:r>
    </w:p>
    <w:p>
      <w:pPr>
        <w:ind w:firstLine="632" w:firstLineChars="200"/>
        <w:outlineLvl w:val="1"/>
        <w:rPr>
          <w:rFonts w:hint="eastAsia" w:ascii="Times New Roman" w:hAnsi="Times New Roman" w:eastAsia="方正楷体_GBK"/>
        </w:rPr>
      </w:pPr>
      <w:bookmarkStart w:id="39" w:name="_Toc23481"/>
      <w:bookmarkStart w:id="40" w:name="_Toc25202"/>
      <w:bookmarkStart w:id="41" w:name="_Toc26008"/>
      <w:bookmarkStart w:id="42" w:name="_Toc61863739"/>
      <w:bookmarkStart w:id="43" w:name="_Toc13729"/>
      <w:r>
        <w:rPr>
          <w:rFonts w:hint="eastAsia" w:ascii="Times New Roman" w:hAnsi="Times New Roman" w:eastAsia="方正楷体_GBK"/>
        </w:rPr>
        <w:t>（四）发展目标</w:t>
      </w:r>
      <w:bookmarkEnd w:id="39"/>
      <w:bookmarkEnd w:id="40"/>
      <w:bookmarkEnd w:id="41"/>
      <w:bookmarkEnd w:id="42"/>
      <w:bookmarkEnd w:id="43"/>
    </w:p>
    <w:p>
      <w:pPr>
        <w:ind w:firstLine="632" w:firstLineChars="200"/>
        <w:rPr>
          <w:rFonts w:hint="eastAsia" w:ascii="Times New Roman" w:hAnsi="Times New Roman"/>
        </w:rPr>
      </w:pPr>
      <w:r>
        <w:rPr>
          <w:rFonts w:hint="eastAsia" w:ascii="Times New Roman" w:hAnsi="Times New Roman"/>
        </w:rPr>
        <w:t>到2025年，基本建成布局合理、功能完备、内通外畅、多极辐射、多圈网联、智慧高效、绿色安全的现代物流体系，基本建成内陆国际物流枢纽和口岸高地，国际物流要素组织创新中心、国家物流业高质量发展示范高地和现代化国际供应链智慧中枢建设取得重大进展，对现代化经济体系和西部地区高质量发展的支撑引领能力显著增强。</w:t>
      </w:r>
    </w:p>
    <w:p>
      <w:pPr>
        <w:ind w:firstLine="632" w:firstLineChars="200"/>
        <w:rPr>
          <w:rFonts w:hint="eastAsia" w:ascii="Times New Roman" w:hAnsi="Times New Roman"/>
        </w:rPr>
      </w:pPr>
      <w:r>
        <w:rPr>
          <w:rFonts w:hint="eastAsia" w:ascii="Times New Roman" w:hAnsi="Times New Roman"/>
        </w:rPr>
        <w:t>——辐射国际国内的物流设施网络基本完善。</w:t>
      </w:r>
      <w:r>
        <w:rPr>
          <w:rFonts w:hint="eastAsia" w:ascii="Times New Roman" w:hAnsi="Times New Roman"/>
          <w:shd w:val="clear" w:color="auto" w:fill="FFFFFF"/>
          <w:spacing w:val="8"/>
          <w:szCs w:val="32"/>
        </w:rPr>
        <w:t>出海出境大通道体系更加完善，</w:t>
      </w:r>
      <w:r>
        <w:rPr>
          <w:rFonts w:hint="eastAsia" w:ascii="Times New Roman" w:hAnsi="Times New Roman"/>
        </w:rPr>
        <w:t>陆港型、港口型、空港型、生产服务型和商贸服务型国家物流枢纽建设稳步推进，制约长江黄金水道、中欧班列（成渝）通道、西部陆海新通道的发展瓶颈明显</w:t>
      </w:r>
      <w:r>
        <w:rPr>
          <w:rFonts w:ascii="Times New Roman" w:hAnsi="Times New Roman"/>
        </w:rPr>
        <w:t>缓解</w:t>
      </w:r>
      <w:r>
        <w:rPr>
          <w:rFonts w:hint="eastAsia" w:ascii="Times New Roman" w:hAnsi="Times New Roman"/>
        </w:rPr>
        <w:t>，国际航空物流大通道稳步拓展，</w:t>
      </w:r>
      <w:r>
        <w:rPr>
          <w:rFonts w:ascii="Times New Roman" w:hAnsi="Times New Roman"/>
          <w:szCs w:val="32"/>
        </w:rPr>
        <w:t>城乡商贸</w:t>
      </w:r>
      <w:r>
        <w:rPr>
          <w:rFonts w:hint="eastAsia" w:ascii="Times New Roman" w:hAnsi="Times New Roman"/>
          <w:szCs w:val="32"/>
        </w:rPr>
        <w:t>流通</w:t>
      </w:r>
      <w:r>
        <w:rPr>
          <w:rFonts w:ascii="Times New Roman" w:hAnsi="Times New Roman"/>
          <w:szCs w:val="32"/>
        </w:rPr>
        <w:t>设施</w:t>
      </w:r>
      <w:r>
        <w:rPr>
          <w:rFonts w:hint="eastAsia" w:ascii="Times New Roman" w:hAnsi="Times New Roman"/>
          <w:szCs w:val="32"/>
        </w:rPr>
        <w:t>加快升级，</w:t>
      </w:r>
      <w:r>
        <w:rPr>
          <w:rFonts w:hint="eastAsia" w:ascii="Times New Roman" w:hAnsi="Times New Roman"/>
        </w:rPr>
        <w:t>成渝地区双城经济圈物流网络协同发展，“多极驱动、多向畅通”的物流基础网络基本完善。</w:t>
      </w:r>
    </w:p>
    <w:p>
      <w:pPr>
        <w:ind w:firstLine="632" w:firstLineChars="200"/>
        <w:rPr>
          <w:rFonts w:hint="eastAsia" w:ascii="Times New Roman" w:hAnsi="Times New Roman"/>
        </w:rPr>
      </w:pPr>
      <w:r>
        <w:rPr>
          <w:rFonts w:hint="eastAsia" w:ascii="Times New Roman" w:hAnsi="Times New Roman"/>
        </w:rPr>
        <w:t>——现代都市区多层次物流服务体系初步形成。服务主城都市区、渝东北三峡库区城镇群、渝东南武陵山区城镇群的分级物流网络建设取得积极成效，现代物流运营组织中枢、制造和商贸物流中心、长江上游</w:t>
      </w:r>
      <w:r>
        <w:rPr>
          <w:rFonts w:ascii="Times New Roman" w:hAnsi="Times New Roman"/>
        </w:rPr>
        <w:t>航运</w:t>
      </w:r>
      <w:r>
        <w:rPr>
          <w:rFonts w:hint="eastAsia" w:ascii="Times New Roman" w:hAnsi="Times New Roman"/>
        </w:rPr>
        <w:t>中心、生态物流中心基本建成，多层次多元化的现代都市区物流服务体系初步形成。</w:t>
      </w:r>
      <w:r>
        <w:rPr>
          <w:rFonts w:ascii="Times New Roman" w:hAnsi="Times New Roman"/>
          <w:szCs w:val="32"/>
        </w:rPr>
        <w:t>区域性特色化商贸物流产业集群生态体系更加完善成熟</w:t>
      </w:r>
      <w:r>
        <w:rPr>
          <w:rFonts w:hint="eastAsia" w:ascii="Times New Roman" w:hAnsi="Times New Roman"/>
          <w:szCs w:val="32"/>
        </w:rPr>
        <w:t>。</w:t>
      </w:r>
      <w:r>
        <w:rPr>
          <w:rFonts w:ascii="Times New Roman" w:hAnsi="Times New Roman"/>
          <w:szCs w:val="32"/>
        </w:rPr>
        <w:t>覆盖</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的城乡高效配送模式有效推进</w:t>
      </w:r>
      <w:r>
        <w:rPr>
          <w:rFonts w:hint="eastAsia" w:ascii="Times New Roman" w:hAnsi="Times New Roman"/>
        </w:rPr>
        <w:t>，服务时效大幅提高，成本显著降低。</w:t>
      </w:r>
    </w:p>
    <w:p>
      <w:pPr>
        <w:ind w:firstLine="632" w:firstLineChars="200"/>
        <w:rPr>
          <w:rFonts w:hint="eastAsia" w:ascii="Times New Roman" w:hAnsi="Times New Roman"/>
        </w:rPr>
      </w:pPr>
      <w:r>
        <w:rPr>
          <w:rFonts w:hint="eastAsia" w:ascii="Times New Roman" w:hAnsi="Times New Roman"/>
        </w:rPr>
        <w:t>——现代物流服务效率和品质大幅提升。社会物流总额稳步提高，社会物流总费用与地区生产总值的比率下降到12%左右，物流业增加值占地区生产总值的比重超6%。物流运营组织水平和通关便利化程度大幅提升，营商环境持续改善，跨境贸易便利化达到全国一流水平。培育形成重庆国家物流枢纽运营标杆企业，形成可推广、可复制的经验。物流全程“一单制”稳步推进，集装化水平显著提升。</w:t>
      </w:r>
    </w:p>
    <w:p>
      <w:pPr>
        <w:ind w:firstLine="632" w:firstLineChars="200"/>
        <w:rPr>
          <w:rFonts w:hint="eastAsia" w:ascii="Times New Roman" w:hAnsi="Times New Roman"/>
        </w:rPr>
      </w:pPr>
      <w:r>
        <w:rPr>
          <w:rFonts w:hint="eastAsia" w:ascii="Times New Roman" w:hAnsi="Times New Roman"/>
        </w:rPr>
        <w:t>——应急物流、智慧物流和绿色物流发展成效显著。应急物流、城市配送、网点快递组织保障能力和技术含量显著提升。智慧运营组织水平明显提高，重庆市物流信息平台体系基本建成，智能仓储、高位货架、自动分拣等应用范围不断扩大，物流仓储设施设备的机械化、自动化、智能化水平不断提升，以物联网</w:t>
      </w:r>
      <w:r>
        <w:rPr>
          <w:rFonts w:ascii="Times New Roman" w:hAnsi="Times New Roman"/>
        </w:rPr>
        <w:t>、</w:t>
      </w:r>
      <w:r>
        <w:rPr>
          <w:rFonts w:hint="eastAsia" w:ascii="Times New Roman" w:hAnsi="Times New Roman"/>
        </w:rPr>
        <w:t>大数据、人工智能、5G等新一代</w:t>
      </w:r>
      <w:r>
        <w:rPr>
          <w:rFonts w:ascii="Times New Roman" w:hAnsi="Times New Roman"/>
        </w:rPr>
        <w:t>信息</w:t>
      </w:r>
      <w:r>
        <w:rPr>
          <w:rFonts w:hint="eastAsia" w:ascii="Times New Roman" w:hAnsi="Times New Roman"/>
        </w:rPr>
        <w:t>技术为支撑的智慧物流应用场景</w:t>
      </w:r>
      <w:r>
        <w:rPr>
          <w:rFonts w:ascii="Times New Roman" w:hAnsi="Times New Roman"/>
        </w:rPr>
        <w:t>更加丰富</w:t>
      </w:r>
      <w:r>
        <w:rPr>
          <w:rFonts w:hint="eastAsia" w:ascii="Times New Roman" w:hAnsi="Times New Roman"/>
        </w:rPr>
        <w:t>。主要污染物排放强度持续下降，逆向物流体系稳步推进，资源集约利用和节能减排取得显著成效。</w:t>
      </w:r>
    </w:p>
    <w:p>
      <w:pPr>
        <w:ind w:firstLine="632" w:firstLineChars="200"/>
        <w:rPr>
          <w:rFonts w:hint="eastAsia" w:ascii="Times New Roman" w:hAnsi="Times New Roman"/>
        </w:rPr>
      </w:pPr>
      <w:r>
        <w:rPr>
          <w:rFonts w:hint="eastAsia" w:ascii="Times New Roman" w:hAnsi="Times New Roman"/>
        </w:rPr>
        <w:t>——现代物流治理体系与调控机制更趋完善。物流与经济社会融合发展体制机制初步建立，物流领域行政审批改革不断深化，与国家物流管理体制机制形成良好对接，与周边区域综合协调机制进一步深化，综合治理能力朝着现代化不断迈进。物流信用体系逐步完善，“红黑名单”制度建立实施。</w:t>
      </w:r>
      <w:r>
        <w:rPr>
          <w:rFonts w:ascii="Times New Roman" w:hAnsi="Times New Roman"/>
          <w:szCs w:val="32"/>
        </w:rPr>
        <w:t>物流标准化建设与管理制度不断健全，新能源货车扶持政策、城乡配送通行保障体系、网络货运经营行业准入</w:t>
      </w:r>
      <w:r>
        <w:rPr>
          <w:rFonts w:hint="eastAsia" w:ascii="Times New Roman" w:hAnsi="Times New Roman"/>
        </w:rPr>
        <w:t>、应急物流标准体系建设和运营监管制度不断完善。铁路、民航、多式联运等领域市场化改革取得明显突破。应急物流保障与响应机制、运行协调机制基本建立。</w:t>
      </w:r>
    </w:p>
    <w:p>
      <w:pPr>
        <w:ind w:firstLine="632" w:firstLineChars="200"/>
        <w:rPr>
          <w:rFonts w:hint="eastAsia" w:ascii="Times New Roman" w:hAnsi="Times New Roman"/>
        </w:rPr>
      </w:pPr>
      <w:r>
        <w:rPr>
          <w:rFonts w:hint="eastAsia" w:ascii="Times New Roman" w:hAnsi="Times New Roman"/>
        </w:rPr>
        <w:t>到2035年，全面建成内陆国际物流枢纽和口岸高地、国际物流要素组织创新中心、国家物流业高质量发展示范高地和现代化国际供应链智慧中枢，更加有力支撑重庆突出发挥“三个作用”。国际物流大通道多向畅通</w:t>
      </w:r>
      <w:r>
        <w:rPr>
          <w:rFonts w:ascii="Times New Roman" w:hAnsi="Times New Roman"/>
        </w:rPr>
        <w:t>，</w:t>
      </w:r>
      <w:r>
        <w:rPr>
          <w:rFonts w:hint="eastAsia" w:ascii="Times New Roman" w:hAnsi="Times New Roman"/>
        </w:rPr>
        <w:t>国家</w:t>
      </w:r>
      <w:r>
        <w:rPr>
          <w:rFonts w:ascii="Times New Roman" w:hAnsi="Times New Roman"/>
        </w:rPr>
        <w:t>物流</w:t>
      </w:r>
      <w:r>
        <w:rPr>
          <w:rFonts w:hint="eastAsia" w:ascii="Times New Roman" w:hAnsi="Times New Roman"/>
        </w:rPr>
        <w:t>枢纽功能完善，口岸</w:t>
      </w:r>
      <w:r>
        <w:rPr>
          <w:rFonts w:ascii="Times New Roman" w:hAnsi="Times New Roman"/>
        </w:rPr>
        <w:t>布局</w:t>
      </w:r>
      <w:r>
        <w:rPr>
          <w:rFonts w:hint="eastAsia" w:ascii="Times New Roman" w:hAnsi="Times New Roman"/>
        </w:rPr>
        <w:t>不断</w:t>
      </w:r>
      <w:r>
        <w:rPr>
          <w:rFonts w:ascii="Times New Roman" w:hAnsi="Times New Roman"/>
        </w:rPr>
        <w:t>优化，</w:t>
      </w:r>
      <w:r>
        <w:rPr>
          <w:rFonts w:hint="eastAsia" w:ascii="Times New Roman" w:hAnsi="Times New Roman"/>
        </w:rPr>
        <w:t>资源要素聚集辐射能力显著增强</w:t>
      </w:r>
      <w:r>
        <w:rPr>
          <w:rFonts w:ascii="Times New Roman" w:hAnsi="Times New Roman"/>
        </w:rPr>
        <w:t>，</w:t>
      </w:r>
      <w:r>
        <w:rPr>
          <w:rFonts w:hint="eastAsia" w:ascii="Times New Roman" w:hAnsi="Times New Roman"/>
        </w:rPr>
        <w:t>服务质量全面升级，物流成本大幅下降，智慧</w:t>
      </w:r>
      <w:r>
        <w:rPr>
          <w:rFonts w:ascii="Times New Roman" w:hAnsi="Times New Roman"/>
        </w:rPr>
        <w:t>物流</w:t>
      </w:r>
      <w:r>
        <w:rPr>
          <w:rFonts w:hint="eastAsia" w:ascii="Times New Roman" w:hAnsi="Times New Roman"/>
        </w:rPr>
        <w:t>快速发展，内陆型枢纽经济发展形成</w:t>
      </w:r>
      <w:r>
        <w:rPr>
          <w:rFonts w:ascii="Times New Roman" w:hAnsi="Times New Roman"/>
        </w:rPr>
        <w:t>可推广</w:t>
      </w:r>
      <w:r>
        <w:rPr>
          <w:rFonts w:hint="eastAsia" w:ascii="Times New Roman" w:hAnsi="Times New Roman"/>
        </w:rPr>
        <w:t>范式，物流与经济社会深度融合发展，成为引领型支柱产业。国际国内资源配置、产业聚集、空间拓展功能显著增强，城乡商贸物流供需互动、双向互通、信息互联能力明显提升，为建设现代化经济体系奠定坚实基础。</w:t>
      </w:r>
    </w:p>
    <w:p>
      <w:pPr>
        <w:jc w:val="center"/>
        <w:rPr>
          <w:rFonts w:hint="eastAsia" w:ascii="Times New Roman" w:hAnsi="Times New Roman" w:eastAsia="方正黑体_GBK"/>
          <w:sz w:val="28"/>
          <w:szCs w:val="28"/>
        </w:rPr>
      </w:pPr>
      <w:r>
        <w:rPr>
          <w:rFonts w:hint="eastAsia" w:ascii="Times New Roman" w:hAnsi="Times New Roman" w:eastAsia="方正黑体_GBK"/>
          <w:sz w:val="28"/>
          <w:szCs w:val="28"/>
        </w:rPr>
        <w:t>表2-</w:t>
      </w:r>
      <w:r>
        <w:rPr>
          <w:rFonts w:ascii="Times New Roman" w:hAnsi="Times New Roman"/>
          <w:sz w:val="28"/>
          <w:szCs w:val="28"/>
        </w:rPr>
        <w:t xml:space="preserve">1  </w:t>
      </w:r>
      <w:r>
        <w:rPr>
          <w:rFonts w:hint="eastAsia" w:ascii="Times New Roman" w:hAnsi="Times New Roman" w:eastAsia="方正黑体_GBK"/>
          <w:sz w:val="28"/>
          <w:szCs w:val="28"/>
        </w:rPr>
        <w:t>重庆现代物流发展主要指标</w:t>
      </w:r>
    </w:p>
    <w:tbl>
      <w:tblPr>
        <w:tblStyle w:val="12"/>
        <w:tblW w:w="5130" w:type="pct"/>
        <w:tblLayout w:type="autofit"/>
        <w:tblCellMar>
          <w:right w:w="15" w:type="dxa"/>
        </w:tblCellMar>
      </w:tblPr>
      <w:tblGrid>
        <w:gridCol w:w="706"/>
        <w:gridCol w:w="709"/>
        <w:gridCol w:w="3349"/>
        <w:gridCol w:w="853"/>
        <w:gridCol w:w="875"/>
        <w:gridCol w:w="1037"/>
        <w:gridCol w:w="1576"/>
      </w:tblGrid>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tcPr>
          <w:p>
            <w:pPr>
              <w:jc w:val="center"/>
              <w:widowControl w:val="1"/>
              <w:rPr>
                <w:b w:val="1"/>
                <w:color w:val="000000"/>
                <w:rFonts w:hint="eastAsia" w:ascii="Times New Roman" w:hAnsi="Times New Roman" w:eastAsia="宋体"/>
                <w:sz w:val="24"/>
                <w:szCs w:val="24"/>
              </w:rPr>
            </w:pPr>
            <w:r>
              <w:rPr>
                <w:b w:val="1"/>
                <w:color w:val="000000"/>
                <w:kern w:val="0"/>
                <w:rFonts w:hint="eastAsia" w:ascii="Times New Roman" w:hAnsi="Times New Roman" w:eastAsia="宋体"/>
                <w:sz w:val="24"/>
                <w:szCs w:val="24"/>
              </w:rPr>
              <w:t>类别</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b w:val="1"/>
                <w:color w:val="000000"/>
                <w:rFonts w:hint="eastAsia" w:ascii="Times New Roman" w:hAnsi="Times New Roman" w:eastAsia="宋体"/>
                <w:sz w:val="24"/>
                <w:szCs w:val="24"/>
              </w:rPr>
            </w:pPr>
            <w:r>
              <w:rPr>
                <w:b w:val="1"/>
                <w:color w:val="000000"/>
                <w:kern w:val="0"/>
                <w:rFonts w:hint="eastAsia" w:ascii="Times New Roman" w:hAnsi="Times New Roman" w:eastAsia="宋体"/>
                <w:sz w:val="24"/>
                <w:szCs w:val="24"/>
              </w:rPr>
              <w:t>序号</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b w:val="1"/>
                <w:color w:val="000000"/>
                <w:rFonts w:hint="eastAsia" w:ascii="Times New Roman" w:hAnsi="Times New Roman" w:eastAsia="宋体"/>
                <w:sz w:val="24"/>
                <w:szCs w:val="24"/>
              </w:rPr>
            </w:pPr>
            <w:r>
              <w:rPr>
                <w:b w:val="1"/>
                <w:color w:val="000000"/>
                <w:kern w:val="0"/>
                <w:rFonts w:hint="eastAsia" w:ascii="Times New Roman" w:hAnsi="Times New Roman" w:eastAsia="宋体"/>
                <w:sz w:val="24"/>
                <w:szCs w:val="24"/>
              </w:rPr>
              <w:t>名称</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b w:val="1"/>
                <w:color w:val="000000"/>
                <w:rFonts w:hint="eastAsia" w:ascii="Times New Roman" w:hAnsi="Times New Roman" w:eastAsia="宋体"/>
                <w:sz w:val="24"/>
                <w:szCs w:val="24"/>
              </w:rPr>
            </w:pPr>
            <w:r>
              <w:rPr>
                <w:b w:val="1"/>
                <w:color w:val="000000"/>
                <w:kern w:val="0"/>
                <w:rFonts w:hint="eastAsia" w:ascii="Times New Roman" w:hAnsi="Times New Roman" w:eastAsia="宋体"/>
                <w:sz w:val="24"/>
                <w:szCs w:val="24"/>
              </w:rPr>
              <w:t>单位</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b w:val="1"/>
                <w:color w:val="000000"/>
                <w:rFonts w:ascii="Times New Roman" w:hAnsi="Times New Roman" w:eastAsia="宋体"/>
                <w:sz w:val="24"/>
                <w:szCs w:val="24"/>
              </w:rPr>
            </w:pPr>
            <w:r>
              <w:rPr>
                <w:b w:val="1"/>
                <w:color w:val="000000"/>
                <w:kern w:val="0"/>
                <w:rFonts w:ascii="Times New Roman" w:hAnsi="Times New Roman" w:eastAsia="宋体"/>
                <w:sz w:val="24"/>
                <w:szCs w:val="24"/>
              </w:rPr>
              <w:t>20</w:t>
            </w:r>
            <w:r>
              <w:rPr>
                <w:b w:val="1"/>
                <w:color w:val="000000"/>
                <w:kern w:val="0"/>
                <w:rFonts w:hint="eastAsia" w:ascii="Times New Roman" w:hAnsi="Times New Roman" w:eastAsia="宋体"/>
                <w:sz w:val="24"/>
                <w:szCs w:val="24"/>
              </w:rPr>
              <w:t>20</w:t>
            </w:r>
            <w:r>
              <w:rPr>
                <w:rFonts w:ascii="Times New Roman" w:hAnsi="Times New Roman"/>
                <w:rStyle w:val="64"/>
              </w:rPr>
              <w:t>年</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b w:val="1"/>
                <w:color w:val="000000"/>
                <w:rFonts w:ascii="Times New Roman" w:hAnsi="Times New Roman" w:eastAsia="宋体"/>
                <w:sz w:val="24"/>
                <w:szCs w:val="24"/>
              </w:rPr>
            </w:pPr>
            <w:r>
              <w:rPr>
                <w:b w:val="1"/>
                <w:color w:val="000000"/>
                <w:kern w:val="0"/>
                <w:rFonts w:ascii="Times New Roman" w:hAnsi="Times New Roman" w:eastAsia="宋体"/>
                <w:sz w:val="24"/>
                <w:szCs w:val="24"/>
              </w:rPr>
              <w:t>2025</w:t>
            </w:r>
            <w:r>
              <w:rPr>
                <w:rFonts w:ascii="Times New Roman" w:hAnsi="Times New Roman"/>
                <w:rStyle w:val="64"/>
              </w:rPr>
              <w:t>年</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b w:val="1"/>
                <w:color w:val="000000"/>
                <w:rFonts w:ascii="Times New Roman" w:hAnsi="Times New Roman" w:eastAsia="宋体"/>
                <w:sz w:val="24"/>
                <w:szCs w:val="24"/>
              </w:rPr>
            </w:pPr>
            <w:r>
              <w:rPr>
                <w:b w:val="1"/>
                <w:color w:val="000000"/>
                <w:kern w:val="0"/>
                <w:rFonts w:ascii="Times New Roman" w:hAnsi="Times New Roman" w:eastAsia="宋体"/>
                <w:sz w:val="24"/>
                <w:szCs w:val="24"/>
              </w:rPr>
              <w:t>2035</w:t>
            </w:r>
            <w:r>
              <w:rPr>
                <w:rFonts w:ascii="Times New Roman" w:hAnsi="Times New Roman"/>
                <w:rStyle w:val="64"/>
              </w:rPr>
              <w:t>年</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restart"/>
          </w:tcPr>
          <w:p>
            <w:pPr>
              <w:jc w:val="center"/>
              <w:widowControl w:val="1"/>
              <w:rPr>
                <w:color w:val="000000"/>
                <w:kern w:val="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综合</w:t>
            </w:r>
          </w:p>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水平</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ascii="Times New Roman" w:hAnsi="Times New Roman"/>
                <w:sz w:val="24"/>
                <w:szCs w:val="24"/>
              </w:rPr>
            </w:pPr>
            <w:r>
              <w:rPr>
                <w:color w:val="000000"/>
                <w:kern w:val="0"/>
                <w:rFonts w:hint="eastAsia" w:ascii="Times New Roman" w:hAnsi="Times New Roman"/>
                <w:sz w:val="24"/>
                <w:szCs w:val="24"/>
              </w:rPr>
              <w:t>社会物流总额</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万亿元</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2.9</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3</w:t>
            </w: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5</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4</w:t>
            </w: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5</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2</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社会物流总费用与地区生产总值的比率</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14.5</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12</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hint="eastAsia" w:ascii="Times New Roman" w:hAnsi="Times New Roman" w:eastAsia="宋体"/>
                <w:sz w:val="24"/>
                <w:szCs w:val="24"/>
              </w:rPr>
              <w:t>10</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3</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物流业增加值占地区生产总值的比重</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4.9</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hint="eastAsia"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hint="eastAsia" w:ascii="Times New Roman" w:hAnsi="Times New Roman" w:eastAsia="宋体"/>
                <w:sz w:val="24"/>
                <w:szCs w:val="24"/>
              </w:rPr>
              <w:t>6</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9</w:t>
            </w:r>
          </w:p>
        </w:tc>
      </w:tr>
      <w:tr>
        <w:trPr>
          <w:trHeight w:val="330" w:hRule="atLeast"/>
          <w:wAfter w:w="0" w:type="auto"/>
          <w:wBefore w:w="0" w:type="auto"/>
        </w:trPr>
        <w:tc>
          <w:tcPr>
            <w:tcBorders>
              <w:top w:val="single" w:color="000000" w:sz="4" w:space="0"/>
              <w:left w:val="single" w:color="000000" w:sz="4" w:space="0"/>
              <w:right w:val="single" w:color="000000" w:sz="4" w:space="0"/>
            </w:tcBorders>
            <w:tcMar>
              <w:right w:w="15" w:type="dxa"/>
            </w:tcMar>
            <w:tcW w:w="706" w:type="dxa"/>
            <w:vAlign w:val="center"/>
            <w:vMerge w:val="restart"/>
          </w:tcPr>
          <w:p>
            <w:pPr>
              <w:jc w:val="center"/>
              <w:widowControl w:val="1"/>
              <w:rPr>
                <w:color w:val="000000"/>
                <w:kern w:val="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物流</w:t>
            </w:r>
          </w:p>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服务</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4</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货物运输总量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亿吨</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rPr>
                <w:color w:val="000000"/>
                <w:rFonts w:ascii="Times New Roman" w:hAnsi="Times New Roman" w:eastAsia="宋体"/>
                <w:sz w:val="24"/>
                <w:szCs w:val="24"/>
              </w:rPr>
            </w:pPr>
            <w:r>
              <w:rPr>
                <w:color w:val="000000"/>
                <w:rFonts w:hint="eastAsia" w:ascii="Times New Roman" w:hAnsi="Times New Roman" w:eastAsia="宋体"/>
                <w:sz w:val="24"/>
                <w:szCs w:val="24"/>
              </w:rPr>
              <w:t>12.1</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rPr>
                <w:color w:val="000000"/>
                <w:rFonts w:ascii="Times New Roman" w:hAnsi="Times New Roman" w:eastAsia="宋体"/>
                <w:sz w:val="24"/>
                <w:szCs w:val="24"/>
              </w:rPr>
            </w:pPr>
            <w:r>
              <w:rPr>
                <w:color w:val="000000"/>
                <w:rFonts w:hint="eastAsia" w:ascii="Times New Roman" w:hAnsi="Times New Roman" w:eastAsia="宋体"/>
                <w:sz w:val="24"/>
                <w:szCs w:val="24"/>
              </w:rPr>
              <w:t>16</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rPr>
                <w:color w:val="000000"/>
                <w:rFonts w:ascii="Times New Roman" w:hAnsi="Times New Roman" w:eastAsia="宋体"/>
                <w:sz w:val="24"/>
                <w:szCs w:val="24"/>
              </w:rPr>
            </w:pPr>
            <w:r>
              <w:rPr>
                <w:color w:val="000000"/>
                <w:rFonts w:hint="eastAsia" w:ascii="Times New Roman" w:hAnsi="Times New Roman" w:eastAsia="宋体"/>
                <w:sz w:val="24"/>
                <w:szCs w:val="24"/>
              </w:rPr>
              <w:t>29</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5</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国际标准集装箱吞吐量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万标箱</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rPr>
                <w:color w:val="000000"/>
                <w:rFonts w:ascii="Times New Roman" w:hAnsi="Times New Roman" w:eastAsia="宋体"/>
                <w:sz w:val="24"/>
                <w:szCs w:val="24"/>
              </w:rPr>
            </w:pPr>
            <w:r>
              <w:rPr>
                <w:color w:val="000000"/>
                <w:rFonts w:hint="eastAsia" w:ascii="Times New Roman" w:hAnsi="Times New Roman" w:eastAsia="宋体"/>
                <w:sz w:val="24"/>
                <w:szCs w:val="24"/>
              </w:rPr>
              <w:t>146.5</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rPr>
                <w:color w:val="000000"/>
                <w:rFonts w:ascii="Times New Roman" w:hAnsi="Times New Roman" w:eastAsia="宋体"/>
                <w:sz w:val="24"/>
                <w:szCs w:val="24"/>
              </w:rPr>
            </w:pPr>
            <w:r>
              <w:rPr>
                <w:color w:val="000000"/>
                <w:rFonts w:hint="eastAsia" w:ascii="Times New Roman" w:hAnsi="Times New Roman" w:eastAsia="宋体"/>
                <w:sz w:val="24"/>
                <w:szCs w:val="24"/>
              </w:rPr>
              <w:t>200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rPr>
                <w:color w:val="000000"/>
                <w:rFonts w:hint="eastAsia" w:ascii="Times New Roman" w:hAnsi="Times New Roman" w:eastAsia="宋体"/>
                <w:sz w:val="24"/>
                <w:szCs w:val="24"/>
              </w:rPr>
            </w:pPr>
            <w:r>
              <w:rPr>
                <w:color w:val="000000"/>
                <w:kern w:val="0"/>
                <w:rFonts w:hint="eastAsia" w:ascii="Times New Roman" w:hAnsi="Times New Roman" w:eastAsia="宋体"/>
                <w:sz w:val="24"/>
                <w:szCs w:val="24"/>
              </w:rPr>
              <w:t>≧</w:t>
            </w:r>
            <w:r>
              <w:rPr>
                <w:color w:val="000000"/>
                <w:rFonts w:ascii="Times New Roman" w:hAnsi="Times New Roman" w:eastAsia="宋体"/>
                <w:sz w:val="24"/>
                <w:szCs w:val="24"/>
              </w:rPr>
              <w:t>30</w:t>
            </w:r>
            <w:r>
              <w:rPr>
                <w:color w:val="000000"/>
                <w:rFonts w:hint="eastAsia" w:ascii="Times New Roman" w:hAnsi="Times New Roman" w:eastAsia="宋体"/>
                <w:sz w:val="24"/>
                <w:szCs w:val="24"/>
              </w:rPr>
              <w:t>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6</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港口货物吞吐量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亿吨</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1.65</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hint="eastAsia" w:ascii="Times New Roman" w:hAnsi="Times New Roman" w:eastAsia="宋体"/>
                <w:sz w:val="24"/>
                <w:szCs w:val="24"/>
              </w:rPr>
            </w:pPr>
            <w:r>
              <w:rPr>
                <w:color w:val="000000"/>
                <w:kern w:val="0"/>
                <w:rFonts w:ascii="Times New Roman" w:hAnsi="Times New Roman" w:eastAsia="宋体"/>
                <w:sz w:val="24"/>
                <w:szCs w:val="24"/>
              </w:rPr>
              <w:t>2.</w:t>
            </w:r>
            <w:r>
              <w:rPr>
                <w:color w:val="000000"/>
                <w:kern w:val="0"/>
                <w:rFonts w:hint="eastAsia" w:ascii="Times New Roman" w:hAnsi="Times New Roman" w:eastAsia="宋体"/>
                <w:sz w:val="24"/>
                <w:szCs w:val="24"/>
              </w:rPr>
              <w:t>3</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hint="eastAsia"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3.</w:t>
            </w:r>
            <w:r>
              <w:rPr>
                <w:color w:val="000000"/>
                <w:kern w:val="0"/>
                <w:rFonts w:hint="eastAsia" w:ascii="Times New Roman" w:hAnsi="Times New Roman" w:eastAsia="宋体"/>
                <w:sz w:val="24"/>
                <w:szCs w:val="24"/>
              </w:rPr>
              <w:t>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7</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航空货邮吞吐量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万吨</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rFonts w:hint="eastAsia" w:ascii="Times New Roman" w:hAnsi="Times New Roman" w:eastAsia="宋体"/>
                <w:sz w:val="24"/>
                <w:szCs w:val="24"/>
              </w:rPr>
            </w:pPr>
            <w:r>
              <w:rPr>
                <w:color w:val="000000"/>
                <w:kern w:val="0"/>
                <w:rFonts w:ascii="Times New Roman" w:hAnsi="Times New Roman" w:eastAsia="宋体"/>
                <w:sz w:val="24"/>
                <w:szCs w:val="24"/>
              </w:rPr>
              <w:t>41.</w:t>
            </w:r>
            <w:r>
              <w:rPr>
                <w:color w:val="000000"/>
                <w:kern w:val="0"/>
                <w:rFonts w:hint="eastAsia" w:ascii="Times New Roman" w:hAnsi="Times New Roman" w:eastAsia="宋体"/>
                <w:sz w:val="24"/>
                <w:szCs w:val="24"/>
              </w:rPr>
              <w:t>3</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60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250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8</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多式联运货运量年均增长率</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15</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9</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9</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集装箱铁水联运量年均</w:t>
            </w:r>
            <w:r>
              <w:rPr>
                <w:color w:val="000000"/>
                <w:kern w:val="0"/>
                <w:rFonts w:ascii="Times New Roman" w:hAnsi="Times New Roman"/>
                <w:sz w:val="24"/>
                <w:szCs w:val="24"/>
              </w:rPr>
              <w:t>增长率</w:t>
            </w:r>
          </w:p>
        </w:tc>
        <w:tc>
          <w:tcPr>
            <w:tcBorders>
              <w:top w:val="single" w:color="000000" w:sz="4" w:space="0"/>
              <w:left w:val="single" w:color="000000" w:sz="4" w:space="0"/>
              <w:bottom w:val="single" w:color="000000" w:sz="4" w:space="0"/>
              <w:right w:val="single" w:color="000000" w:sz="4" w:space="0"/>
            </w:tcBorders>
            <w:tcMar>
              <w:right w:w="15" w:type="dxa"/>
            </w:tcMar>
            <w:tcW w:w="853" w:type="dxa"/>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9</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10</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中欧班列（成渝）号重庆境外集结分拨点数量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个</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40</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50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65</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11</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中欧班列（成渝）号重庆开行列数</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列</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2603</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3000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4500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12</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西部陆海新通道境外集结分拨点数量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个</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10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hint="eastAsia" w:ascii="Times New Roman" w:hAnsi="Times New Roman" w:eastAsia="宋体"/>
                <w:sz w:val="24"/>
                <w:szCs w:val="24"/>
              </w:rPr>
              <w:t>20</w:t>
            </w:r>
          </w:p>
        </w:tc>
      </w:tr>
      <w:tr>
        <w:trPr>
          <w:trHeight w:val="330" w:hRule="atLeast"/>
          <w:wAfter w:w="0" w:type="auto"/>
          <w:wBefore w:w="0" w:type="auto"/>
        </w:trPr>
        <w:tc>
          <w:tcPr>
            <w:tcBorders>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13</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西部陆海新通道铁海联运班列开行列数</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列</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1297</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2500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3500</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restart"/>
          </w:tcPr>
          <w:p>
            <w:pPr>
              <w:jc w:val="center"/>
              <w:widowControl w:val="1"/>
              <w:rPr>
                <w:color w:val="000000"/>
                <w:kern w:val="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智慧</w:t>
            </w:r>
          </w:p>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低碳</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14</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平台信息化交易量比重</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30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45~55</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15</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物流企业信息化率</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90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100</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restart"/>
          </w:tcPr>
          <w:p>
            <w:pPr>
              <w:jc w:val="center"/>
              <w:widowControl w:val="1"/>
              <w:rPr>
                <w:color w:val="000000"/>
                <w:kern w:val="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应急</w:t>
            </w:r>
          </w:p>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安全</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16</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物流应急响应时间</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小时</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2</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0.5~1</w:t>
            </w:r>
          </w:p>
        </w:tc>
      </w:tr>
      <w:tr>
        <w:trPr>
          <w:trHeight w:val="330" w:hRule="atLeast"/>
          <w:wAfter w:w="0" w:type="auto"/>
          <w:wBefore w:w="0" w:type="auto"/>
        </w:trPr>
        <w:tc>
          <w:tcPr>
            <w:tcBorders>
              <w:top w:val="single" w:color="000000" w:sz="4" w:space="0"/>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17</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72小时应急物资保障率</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90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100</w:t>
            </w:r>
          </w:p>
        </w:tc>
      </w:tr>
      <w:tr>
        <w:trPr>
          <w:trHeight w:val="330" w:hRule="atLeast"/>
          <w:wAfter w:w="0" w:type="auto"/>
          <w:wBefore w:w="0" w:type="auto"/>
        </w:trPr>
        <w:tc>
          <w:tcPr>
            <w:tcBorders>
              <w:top w:val="single" w:color="000000" w:sz="4" w:space="0"/>
              <w:left w:val="single" w:color="000000" w:sz="4" w:space="0"/>
              <w:right w:val="single" w:color="000000" w:sz="4" w:space="0"/>
            </w:tcBorders>
            <w:tcMar>
              <w:right w:w="15" w:type="dxa"/>
            </w:tcMar>
            <w:tcW w:w="706" w:type="dxa"/>
            <w:vAlign w:val="center"/>
            <w:vMerge w:val="restart"/>
          </w:tcPr>
          <w:p>
            <w:pPr>
              <w:jc w:val="center"/>
              <w:widowControl w:val="1"/>
              <w:rPr>
                <w:color w:val="000000"/>
                <w:kern w:val="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融合</w:t>
            </w:r>
          </w:p>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联动</w:t>
            </w: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18</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制造业物流费用率下降幅度</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ascii="Times New Roman" w:hAnsi="Times New Roman"/>
                <w:sz w:val="24"/>
                <w:szCs w:val="24"/>
              </w:rPr>
            </w:pPr>
            <w:r>
              <w:rPr>
                <w:color w:val="000000"/>
                <w:kern w:val="0"/>
                <w:rFonts w:hint="eastAsia" w:ascii="Times New Roman" w:hAnsi="Times New Roman"/>
                <w:sz w:val="24"/>
                <w:szCs w:val="24"/>
              </w:rPr>
              <w:t>百分点</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hint="eastAsia" w:ascii="Times New Roman" w:hAnsi="Times New Roman" w:eastAsia="宋体"/>
                <w:sz w:val="24"/>
                <w:szCs w:val="24"/>
              </w:rPr>
            </w:pPr>
            <w:r>
              <w:rPr>
                <w:color w:val="000000"/>
                <w:kern w:val="0"/>
                <w:rFonts w:ascii="Times New Roman" w:hAnsi="Times New Roman" w:eastAsia="宋体"/>
                <w:sz w:val="24"/>
                <w:szCs w:val="24"/>
              </w:rPr>
              <w:t>0.</w:t>
            </w:r>
            <w:r>
              <w:rPr>
                <w:color w:val="000000"/>
                <w:kern w:val="0"/>
                <w:rFonts w:hint="eastAsia" w:ascii="Times New Roman" w:hAnsi="Times New Roman" w:eastAsia="宋体"/>
                <w:sz w:val="24"/>
                <w:szCs w:val="24"/>
              </w:rPr>
              <w:t>6</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hint="eastAsia" w:ascii="Times New Roman" w:hAnsi="Times New Roman" w:eastAsia="宋体"/>
                <w:sz w:val="24"/>
                <w:szCs w:val="24"/>
              </w:rPr>
            </w:pPr>
            <w:r>
              <w:rPr>
                <w:color w:val="000000"/>
                <w:kern w:val="0"/>
                <w:rFonts w:ascii="Times New Roman" w:hAnsi="Times New Roman" w:eastAsia="宋体"/>
                <w:sz w:val="24"/>
                <w:szCs w:val="24"/>
              </w:rPr>
              <w:t>1</w:t>
            </w:r>
            <w:r>
              <w:rPr>
                <w:color w:val="000000"/>
                <w:kern w:val="0"/>
                <w:rFonts w:hint="eastAsia" w:ascii="Times New Roman" w:hAnsi="Times New Roman" w:eastAsia="宋体"/>
                <w:sz w:val="24"/>
                <w:szCs w:val="24"/>
              </w:rPr>
              <w:t>.</w:t>
            </w:r>
            <w:r>
              <w:rPr>
                <w:color w:val="000000"/>
                <w:kern w:val="0"/>
                <w:rFonts w:ascii="Times New Roman" w:hAnsi="Times New Roman" w:eastAsia="宋体"/>
                <w:sz w:val="24"/>
                <w:szCs w:val="24"/>
              </w:rPr>
              <w:t>5~2.0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hint="eastAsia" w:ascii="Times New Roman" w:hAnsi="Times New Roman" w:eastAsia="宋体"/>
                <w:sz w:val="24"/>
                <w:szCs w:val="24"/>
              </w:rPr>
              <w:t>19</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商贸（含电商）物流费用率</w:t>
            </w:r>
          </w:p>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下降幅度</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ascii="Times New Roman" w:hAnsi="Times New Roman"/>
                <w:sz w:val="24"/>
                <w:szCs w:val="24"/>
              </w:rPr>
            </w:pPr>
            <w:r>
              <w:rPr>
                <w:color w:val="000000"/>
                <w:kern w:val="0"/>
                <w:rFonts w:hint="eastAsia" w:ascii="Times New Roman" w:hAnsi="Times New Roman"/>
                <w:sz w:val="24"/>
                <w:szCs w:val="24"/>
              </w:rPr>
              <w:t>百分点</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hint="eastAsia" w:ascii="Times New Roman" w:hAnsi="Times New Roman" w:eastAsia="宋体"/>
                <w:sz w:val="24"/>
                <w:szCs w:val="24"/>
              </w:rPr>
            </w:pPr>
            <w:r>
              <w:rPr>
                <w:color w:val="000000"/>
                <w:kern w:val="0"/>
                <w:rFonts w:ascii="Times New Roman" w:hAnsi="Times New Roman" w:eastAsia="宋体"/>
                <w:sz w:val="24"/>
                <w:szCs w:val="24"/>
              </w:rPr>
              <w:t>0.</w:t>
            </w:r>
            <w:r>
              <w:rPr>
                <w:color w:val="000000"/>
                <w:kern w:val="0"/>
                <w:rFonts w:hint="eastAsia" w:ascii="Times New Roman" w:hAnsi="Times New Roman" w:eastAsia="宋体"/>
                <w:sz w:val="24"/>
                <w:szCs w:val="24"/>
              </w:rPr>
              <w:t>6</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1.5~2.0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20</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5A</w:t>
            </w:r>
            <w:r>
              <w:rPr>
                <w:rFonts w:hint="default" w:ascii="Times New Roman" w:hAnsi="Times New Roman"/>
                <w:rStyle w:val="49"/>
              </w:rPr>
              <w:t>级物流企业数量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个</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5</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10</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rFonts w:ascii="Times New Roman" w:hAnsi="Times New Roman" w:eastAsia="宋体"/>
                <w:sz w:val="24"/>
                <w:szCs w:val="24"/>
              </w:rPr>
            </w:pPr>
            <w:r>
              <w:rPr>
                <w:color w:val="000000"/>
                <w:kern w:val="0"/>
                <w:rFonts w:ascii="Times New Roman" w:hAnsi="Times New Roman" w:eastAsia="宋体"/>
                <w:sz w:val="24"/>
                <w:szCs w:val="24"/>
              </w:rPr>
              <w:t>15~20</w:t>
            </w:r>
          </w:p>
        </w:tc>
      </w:tr>
      <w:tr>
        <w:trPr>
          <w:trHeight w:val="330" w:hRule="atLeast"/>
          <w:wAfter w:w="0" w:type="auto"/>
          <w:wBefore w:w="0" w:type="auto"/>
        </w:trPr>
        <w:tc>
          <w:tcPr>
            <w:tcBorders>
              <w:left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21</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rFonts w:hint="default" w:ascii="Times New Roman" w:hAnsi="Times New Roman"/>
                <w:rStyle w:val="49"/>
              </w:rPr>
            </w:pPr>
            <w:r>
              <w:rPr>
                <w:rFonts w:hint="default" w:ascii="Times New Roman" w:hAnsi="Times New Roman"/>
                <w:rStyle w:val="49"/>
              </w:rPr>
              <w:t>全国百强物流企业数量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个</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3</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4</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5</w:t>
            </w:r>
            <w:r>
              <w:rPr>
                <w:color w:val="000000"/>
                <w:kern w:val="0"/>
                <w:rFonts w:ascii="Times New Roman" w:hAnsi="Times New Roman" w:eastAsia="宋体"/>
                <w:sz w:val="24"/>
                <w:szCs w:val="24"/>
              </w:rPr>
              <w:t>~7</w:t>
            </w:r>
          </w:p>
        </w:tc>
      </w:tr>
      <w:tr>
        <w:trPr>
          <w:trHeight w:val="330" w:hRule="atLeast"/>
          <w:wAfter w:w="0" w:type="auto"/>
          <w:wBefore w:w="0" w:type="auto"/>
        </w:trPr>
        <w:tc>
          <w:tcPr>
            <w:tcBorders>
              <w:left w:val="single" w:color="000000" w:sz="4" w:space="0"/>
              <w:bottom w:val="single" w:color="000000" w:sz="4" w:space="0"/>
              <w:right w:val="single" w:color="000000" w:sz="4" w:space="0"/>
            </w:tcBorders>
            <w:tcMar>
              <w:right w:w="15" w:type="dxa"/>
            </w:tcMar>
            <w:tcW w:w="706" w:type="dxa"/>
            <w:vAlign w:val="center"/>
            <w:vMerge w:val="continue"/>
          </w:tcPr>
          <w:p>
            <w:pPr>
              <w:jc w:val="center"/>
              <w:rPr>
                <w:color w:val="000000"/>
                <w:rFonts w:hint="eastAsia" w:ascii="Times New Roman" w:hAnsi="Times New Roman" w:eastAsia="方正黑体_GBK"/>
                <w:sz w:val="24"/>
                <w:szCs w:val="24"/>
              </w:rPr>
            </w:pPr>
          </w:p>
        </w:tc>
        <w:tc>
          <w:tcPr>
            <w:tcBorders>
              <w:top w:val="single" w:color="000000" w:sz="4" w:space="0"/>
              <w:left w:val="single" w:color="000000" w:sz="4" w:space="0"/>
              <w:bottom w:val="single" w:color="000000" w:sz="4" w:space="0"/>
              <w:right w:val="single" w:color="000000" w:sz="4" w:space="0"/>
            </w:tcBorders>
            <w:tcMar>
              <w:right w:w="15" w:type="dxa"/>
            </w:tcMar>
            <w:tcW w:w="709"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22</w:t>
            </w:r>
          </w:p>
        </w:tc>
        <w:tc>
          <w:tcPr>
            <w:tcBorders>
              <w:top w:val="single" w:color="000000" w:sz="4" w:space="0"/>
              <w:left w:val="single" w:color="000000" w:sz="4" w:space="0"/>
              <w:bottom w:val="single" w:color="000000" w:sz="4" w:space="0"/>
              <w:right w:val="single" w:color="000000" w:sz="4" w:space="0"/>
            </w:tcBorders>
            <w:tcMar>
              <w:right w:w="15" w:type="dxa"/>
            </w:tcMar>
            <w:tcW w:w="3349" w:type="dxa"/>
            <w:vAlign w:val="center"/>
          </w:tcPr>
          <w:p>
            <w:pPr>
              <w:jc w:val="center"/>
              <w:widowControl w:val="1"/>
              <w:rPr>
                <w:rFonts w:hint="default" w:ascii="Times New Roman" w:hAnsi="Times New Roman"/>
                <w:rStyle w:val="49"/>
              </w:rPr>
            </w:pPr>
            <w:r>
              <w:rPr>
                <w:rFonts w:hint="default" w:ascii="Times New Roman" w:hAnsi="Times New Roman"/>
                <w:rStyle w:val="49"/>
              </w:rPr>
              <w:t>全国冷链物流百强企业数量</w:t>
            </w:r>
          </w:p>
        </w:tc>
        <w:tc>
          <w:tcPr>
            <w:tcBorders>
              <w:top w:val="single" w:color="000000" w:sz="4" w:space="0"/>
              <w:left w:val="single" w:color="000000" w:sz="4" w:space="0"/>
              <w:bottom w:val="single" w:color="000000" w:sz="4" w:space="0"/>
              <w:right w:val="single" w:color="000000" w:sz="4" w:space="0"/>
            </w:tcBorders>
            <w:tcMar>
              <w:right w:w="15" w:type="dxa"/>
            </w:tcMar>
            <w:tcW w:w="853" w:type="dxa"/>
            <w:vAlign w:val="center"/>
          </w:tcPr>
          <w:p>
            <w:pPr>
              <w:jc w:val="center"/>
              <w:widowControl w:val="1"/>
              <w:rPr>
                <w:color w:val="000000"/>
                <w:kern w:val="0"/>
                <w:rFonts w:hint="eastAsia" w:ascii="Times New Roman" w:hAnsi="Times New Roman"/>
                <w:sz w:val="24"/>
                <w:szCs w:val="24"/>
              </w:rPr>
            </w:pPr>
            <w:r>
              <w:rPr>
                <w:color w:val="000000"/>
                <w:kern w:val="0"/>
                <w:rFonts w:hint="eastAsia" w:ascii="Times New Roman" w:hAnsi="Times New Roman"/>
                <w:sz w:val="24"/>
                <w:szCs w:val="24"/>
              </w:rPr>
              <w:t>个</w:t>
            </w:r>
          </w:p>
        </w:tc>
        <w:tc>
          <w:tcPr>
            <w:tcBorders>
              <w:top w:val="single" w:color="000000" w:sz="4" w:space="0"/>
              <w:left w:val="single" w:color="000000" w:sz="4" w:space="0"/>
              <w:bottom w:val="single" w:color="000000" w:sz="4" w:space="0"/>
              <w:right w:val="single" w:color="000000" w:sz="4" w:space="0"/>
            </w:tcBorders>
            <w:tcMar>
              <w:right w:w="15" w:type="dxa"/>
            </w:tcMar>
            <w:tcW w:w="875" w:type="dxa"/>
            <w:vAlign w:val="center"/>
          </w:tcPr>
          <w:p>
            <w:pPr>
              <w:jc w:val="center"/>
              <w:widowControl w:val="1"/>
              <w:rPr>
                <w:color w:val="000000"/>
                <w:kern w:val="0"/>
                <w:rFonts w:hint="eastAsia" w:ascii="Times New Roman" w:hAnsi="Times New Roman" w:eastAsia="宋体"/>
                <w:sz w:val="24"/>
                <w:szCs w:val="24"/>
              </w:rPr>
            </w:pPr>
            <w:r>
              <w:rPr>
                <w:color w:val="000000"/>
                <w:kern w:val="0"/>
                <w:rFonts w:hint="eastAsia" w:ascii="Times New Roman" w:hAnsi="Times New Roman" w:eastAsia="宋体"/>
                <w:sz w:val="24"/>
                <w:szCs w:val="24"/>
              </w:rPr>
              <w:t>4</w:t>
            </w:r>
          </w:p>
        </w:tc>
        <w:tc>
          <w:tcPr>
            <w:tcBorders>
              <w:top w:val="single" w:color="000000" w:sz="4" w:space="0"/>
              <w:left w:val="single" w:color="000000" w:sz="4" w:space="0"/>
              <w:bottom w:val="single" w:color="000000" w:sz="4" w:space="0"/>
              <w:right w:val="single" w:color="000000" w:sz="4" w:space="0"/>
            </w:tcBorders>
            <w:tcMar>
              <w:right w:w="15" w:type="dxa"/>
            </w:tcMar>
            <w:tcW w:w="1037" w:type="dxa"/>
            <w:vAlign w:val="center"/>
          </w:tcPr>
          <w:p>
            <w:pPr>
              <w:jc w:val="center"/>
              <w:widowControl w:val="1"/>
              <w:rPr>
                <w:color w:val="000000"/>
                <w:kern w:val="0"/>
                <w:rFonts w:ascii="Times New Roman" w:hAnsi="Times New Roman" w:eastAsia="宋体"/>
                <w:sz w:val="24"/>
                <w:szCs w:val="24"/>
              </w:rPr>
            </w:pPr>
            <w:r>
              <w:rPr>
                <w:color w:val="000000"/>
                <w:kern w:val="0"/>
                <w:rFonts w:hint="eastAsia" w:ascii="Times New Roman" w:hAnsi="Times New Roman" w:eastAsia="宋体"/>
                <w:sz w:val="24"/>
                <w:szCs w:val="24"/>
              </w:rPr>
              <w:t>6</w:t>
            </w:r>
          </w:p>
        </w:tc>
        <w:tc>
          <w:tcPr>
            <w:tcBorders>
              <w:top w:val="single" w:color="000000" w:sz="4" w:space="0"/>
              <w:left w:val="single" w:color="000000" w:sz="4" w:space="0"/>
              <w:bottom w:val="single" w:color="000000" w:sz="4" w:space="0"/>
              <w:right w:val="single" w:color="000000" w:sz="4" w:space="0"/>
            </w:tcBorders>
            <w:tcMar>
              <w:right w:w="15" w:type="dxa"/>
            </w:tcMar>
            <w:tcW w:w="1576" w:type="dxa"/>
            <w:vAlign w:val="center"/>
          </w:tcPr>
          <w:p>
            <w:pPr>
              <w:jc w:val="center"/>
              <w:widowControl w:val="1"/>
              <w:rPr>
                <w:color w:val="000000"/>
                <w:kern w:val="0"/>
                <w:rFonts w:ascii="Times New Roman" w:hAnsi="Times New Roman" w:eastAsia="宋体"/>
                <w:sz w:val="24"/>
                <w:szCs w:val="24"/>
              </w:rPr>
            </w:pPr>
            <w:r>
              <w:rPr>
                <w:color w:val="000000"/>
                <w:kern w:val="0"/>
                <w:rFonts w:ascii="Times New Roman" w:hAnsi="Times New Roman" w:eastAsia="宋体"/>
                <w:sz w:val="24"/>
                <w:szCs w:val="24"/>
              </w:rPr>
              <w:t>7~9</w:t>
            </w:r>
          </w:p>
        </w:tc>
      </w:tr>
    </w:tbl>
    <w:p>
      <w:pPr>
        <w:ind w:firstLine="632" w:firstLineChars="200"/>
        <w:outlineLvl w:val="0"/>
        <w:rPr>
          <w:rFonts w:hint="eastAsia" w:ascii="Times New Roman" w:hAnsi="Times New Roman" w:eastAsia="方正黑体_GBK"/>
        </w:rPr>
      </w:pPr>
      <w:bookmarkStart w:id="44" w:name="_Toc29851"/>
      <w:bookmarkStart w:id="45" w:name="_Toc9842"/>
      <w:bookmarkStart w:id="46" w:name="_Toc30546"/>
      <w:bookmarkStart w:id="47" w:name="_Toc61863740"/>
      <w:bookmarkStart w:id="48" w:name="_Toc20523"/>
      <w:r>
        <w:rPr>
          <w:rFonts w:hint="eastAsia" w:ascii="Times New Roman" w:hAnsi="Times New Roman" w:eastAsia="方正黑体_GBK"/>
        </w:rPr>
        <w:t>三、空间布局</w:t>
      </w:r>
      <w:bookmarkEnd w:id="44"/>
      <w:bookmarkEnd w:id="45"/>
      <w:bookmarkEnd w:id="46"/>
      <w:bookmarkEnd w:id="47"/>
      <w:bookmarkEnd w:id="48"/>
    </w:p>
    <w:p>
      <w:pPr>
        <w:ind w:firstLine="632" w:firstLineChars="200"/>
        <w:rPr>
          <w:rFonts w:hint="eastAsia" w:ascii="Times New Roman" w:hAnsi="Times New Roman"/>
        </w:rPr>
      </w:pPr>
      <w:bookmarkStart w:id="49" w:name="_Toc12206"/>
      <w:r>
        <w:rPr>
          <w:rFonts w:hint="eastAsia" w:ascii="Times New Roman" w:hAnsi="Times New Roman"/>
        </w:rPr>
        <w:t>以引领重庆在西部地区率先实现现代化核心使命为导向，围绕畅通生产、分配、流通、消费国民经济循环，支撑构建新发展格局，结合全市生产力布局和综合交通体系规划，构建形成“6+2+1”对外物流大通道，“一核一环一带两片区”市域物流总体格局，“五枢纽多节点”物流设施空间布局，培育16个物流枢纽经济区。</w:t>
      </w:r>
    </w:p>
    <w:p>
      <w:pPr>
        <w:ind w:firstLine="632" w:firstLineChars="200"/>
        <w:outlineLvl w:val="1"/>
        <w:rPr>
          <w:rFonts w:hint="eastAsia" w:ascii="Times New Roman" w:hAnsi="Times New Roman" w:eastAsia="方正楷体_GBK"/>
        </w:rPr>
      </w:pPr>
      <w:bookmarkStart w:id="50" w:name="_Toc22334"/>
      <w:bookmarkStart w:id="51" w:name="_Toc9300"/>
      <w:bookmarkStart w:id="52" w:name="_Toc10407"/>
      <w:bookmarkStart w:id="53" w:name="_Toc61863742"/>
      <w:r>
        <w:rPr>
          <w:rFonts w:hint="eastAsia" w:ascii="Times New Roman" w:hAnsi="Times New Roman" w:eastAsia="方正楷体_GBK"/>
        </w:rPr>
        <w:t>（一）</w:t>
      </w:r>
      <w:bookmarkStart w:id="54" w:name="_Toc23727"/>
      <w:r>
        <w:rPr>
          <w:rFonts w:hint="eastAsia" w:ascii="Times New Roman" w:hAnsi="Times New Roman" w:eastAsia="方正楷体_GBK"/>
        </w:rPr>
        <w:t>“6+2+1”物流大通道布局</w:t>
      </w:r>
      <w:bookmarkEnd w:id="50"/>
      <w:bookmarkEnd w:id="51"/>
      <w:bookmarkEnd w:id="52"/>
      <w:bookmarkEnd w:id="53"/>
    </w:p>
    <w:p>
      <w:pPr>
        <w:ind w:firstLine="632" w:firstLineChars="200"/>
        <w:rPr>
          <w:rFonts w:hint="eastAsia" w:ascii="Times New Roman" w:hAnsi="Times New Roman"/>
        </w:rPr>
      </w:pPr>
      <w:r>
        <w:rPr>
          <w:rFonts w:hint="eastAsia" w:ascii="Times New Roman" w:hAnsi="Times New Roman"/>
        </w:rPr>
        <w:t>面向“一带一路”、长江经济带、西部陆海新通道，加快构建畅通国内国际双循环的战略通道，建设形成“6+2+1”物流大通道，有效支撑国家发展战略，引领内陆开发开放，为加快形成陆海内外联动、东西双向互济开放格局作出新贡献。</w:t>
      </w:r>
    </w:p>
    <w:p>
      <w:pPr>
        <w:ind w:firstLine="632" w:firstLineChars="200"/>
        <w:rPr>
          <w:rFonts w:hint="eastAsia" w:ascii="Times New Roman" w:hAnsi="Times New Roman"/>
        </w:rPr>
      </w:pPr>
      <w:r>
        <w:rPr>
          <w:rFonts w:hint="eastAsia" w:ascii="Times New Roman" w:hAnsi="Times New Roman"/>
        </w:rPr>
        <w:t>“6大国际陆海物流大通道”即亚欧国际物流大通道、沿江综合立体国际物流大通道、西部陆海新通道、中蒙俄国际物流通道、孟中印缅国际物流大通道和中尼印国际物流大通道，全面对接国家“六大经济走廊”，联动国家主要城市群，拓展完善出海出境对外开放通道体系，有力支撑重庆作为“一带一路”和长江经济带的联结点的战略定位。</w:t>
      </w:r>
    </w:p>
    <w:p>
      <w:pPr>
        <w:ind w:firstLine="632" w:firstLineChars="200"/>
        <w:rPr>
          <w:rFonts w:hint="eastAsia" w:ascii="Times New Roman" w:hAnsi="Times New Roman"/>
        </w:rPr>
      </w:pPr>
      <w:r>
        <w:rPr>
          <w:rFonts w:hint="eastAsia" w:ascii="Times New Roman" w:hAnsi="Times New Roman"/>
        </w:rPr>
        <w:t>“2大国内陆空物流大通道”即加强与京津冀、粤港澳大湾区紧密联动，布局建设经济便捷的跨区域物流网，高效对接两大区域的陆空物流大通道，强化在全国流通枢纽功能地位，有力支撑重庆作为新时代西部大开发的重要战略支点定位。</w:t>
      </w:r>
    </w:p>
    <w:p>
      <w:pPr>
        <w:ind w:firstLine="632" w:firstLineChars="200"/>
        <w:rPr>
          <w:rFonts w:hint="eastAsia" w:ascii="Times New Roman" w:hAnsi="Times New Roman"/>
        </w:rPr>
      </w:pPr>
      <w:r>
        <w:rPr>
          <w:rFonts w:hint="eastAsia" w:ascii="Times New Roman" w:hAnsi="Times New Roman"/>
        </w:rPr>
        <w:t>“1张全球航空物流大通道网”即以重庆江北国际机场和新机场为核心，建设全方位开放的国际航空骨干网络，强化航线网络与“一带一路”沿线国家和地区的通达性，建成连通世界、辐射全球的航空物流大通道网络。</w:t>
      </w:r>
    </w:p>
    <w:p>
      <w:pPr>
        <w:ind w:firstLine="632" w:firstLineChars="200"/>
        <w:outlineLvl w:val="1"/>
        <w:rPr>
          <w:rFonts w:hint="eastAsia" w:ascii="Times New Roman" w:hAnsi="Times New Roman" w:eastAsia="方正楷体_GBK"/>
          <w:szCs w:val="22"/>
        </w:rPr>
      </w:pPr>
      <w:bookmarkStart w:id="55" w:name="_Toc23425"/>
      <w:bookmarkStart w:id="56" w:name="_Toc61863743"/>
      <w:bookmarkStart w:id="57" w:name="_Toc20453"/>
      <w:bookmarkStart w:id="58" w:name="_Toc1566"/>
      <w:r>
        <w:rPr>
          <w:rFonts w:hint="eastAsia" w:ascii="Times New Roman" w:hAnsi="Times New Roman" w:eastAsia="方正楷体_GBK"/>
          <w:szCs w:val="22"/>
        </w:rPr>
        <w:t>（二）“一核一环一带两片区”市域物流空间格局</w:t>
      </w:r>
      <w:bookmarkEnd w:id="55"/>
      <w:bookmarkEnd w:id="56"/>
      <w:bookmarkEnd w:id="57"/>
      <w:bookmarkEnd w:id="58"/>
    </w:p>
    <w:p>
      <w:pPr>
        <w:ind w:firstLine="632" w:firstLineChars="200"/>
        <w:rPr>
          <w:rFonts w:hint="eastAsia" w:ascii="Times New Roman" w:hAnsi="Times New Roman"/>
        </w:rPr>
      </w:pPr>
      <w:r>
        <w:rPr>
          <w:rFonts w:hint="eastAsia" w:ascii="Times New Roman" w:hAnsi="Times New Roman"/>
        </w:rPr>
        <w:t>依托重庆独特区位条件，按照成渝地区双城经济圈建设和“一区两群”协调发展要求，构建“一核一环一带两片区”市域物流空间新格局。</w:t>
      </w:r>
    </w:p>
    <w:p>
      <w:pPr>
        <w:ind w:firstLine="632" w:firstLineChars="200"/>
        <w:rPr>
          <w:rFonts w:hint="eastAsia" w:ascii="Times New Roman" w:hAnsi="Times New Roman"/>
        </w:rPr>
      </w:pPr>
      <w:r>
        <w:rPr>
          <w:rFonts w:hint="eastAsia" w:ascii="Times New Roman" w:hAnsi="Times New Roman"/>
        </w:rPr>
        <w:t>“一核”即主城都市区的中心城区物流发展核，推动港口、铁路、航空等资源深度融合、联动发展，建设物流运营组织平台和数据汇聚流转枢纽平台，增强国际物流要素集聚运筹功能，大规模承载面向“一带一路”、</w:t>
      </w:r>
      <w:r>
        <w:rPr>
          <w:rFonts w:ascii="Times New Roman" w:hAnsi="Times New Roman"/>
        </w:rPr>
        <w:t>长江经济带</w:t>
      </w:r>
      <w:r>
        <w:rPr>
          <w:rFonts w:hint="eastAsia" w:ascii="Times New Roman" w:hAnsi="Times New Roman"/>
        </w:rPr>
        <w:t>和西部陆海新通道的国际物流组织、区域物流分拨配送组织和高端制造业供应链物流组织，打造国际物流运营中心和现代物流运营组织中枢。</w:t>
      </w:r>
    </w:p>
    <w:p>
      <w:pPr>
        <w:ind w:firstLine="632" w:firstLineChars="200"/>
        <w:rPr>
          <w:rFonts w:hint="eastAsia" w:ascii="Times New Roman" w:hAnsi="Times New Roman"/>
        </w:rPr>
      </w:pPr>
      <w:r>
        <w:rPr>
          <w:rFonts w:hint="eastAsia" w:ascii="Times New Roman" w:hAnsi="Times New Roman"/>
        </w:rPr>
        <w:t>“一环”即主城都市区的主城新区物流发展环，江津、璧山、长寿、南川、涪陵、永川、合川、綦江-万盛以承接中心城区产业和物流功能转移为重点，优先布局重大物流功能设施，加强区域物流联动，发展以制造物流、商贸物流、冷链物流、港口物流、区域分拨配送物流为核心，打造制造和商贸物流中心，形成主城都市区发展的重要支撑和中心城区功能向外扩散的重要传接点。大足、铜梁、潼南、荣昌突出门户区位和产业特色，快速增强物流综合实力，协同四川毗邻地区推动物流一体化发展。</w:t>
      </w:r>
    </w:p>
    <w:p>
      <w:pPr>
        <w:ind w:firstLine="632" w:firstLineChars="200"/>
        <w:rPr>
          <w:rFonts w:hint="eastAsia" w:ascii="Times New Roman" w:hAnsi="Times New Roman"/>
        </w:rPr>
      </w:pPr>
      <w:r>
        <w:rPr>
          <w:rFonts w:hint="eastAsia" w:ascii="Times New Roman" w:hAnsi="Times New Roman"/>
        </w:rPr>
        <w:t>“一带”即沿长江黄金水道物流发展带。整合长江沿线港口资源，推动智慧长江物流工程，实现港口物流与后方产业联动，引领临港产业转型发展，形成通江达海、首尾联动的港航物流发展带，</w:t>
      </w:r>
      <w:r>
        <w:rPr>
          <w:rFonts w:ascii="Times New Roman" w:hAnsi="Times New Roman"/>
        </w:rPr>
        <w:t>打造</w:t>
      </w:r>
      <w:r>
        <w:rPr>
          <w:rFonts w:hint="eastAsia" w:ascii="Times New Roman" w:hAnsi="Times New Roman"/>
        </w:rPr>
        <w:t>长江</w:t>
      </w:r>
      <w:r>
        <w:rPr>
          <w:rFonts w:ascii="Times New Roman" w:hAnsi="Times New Roman"/>
        </w:rPr>
        <w:t>上游航运中心</w:t>
      </w:r>
      <w:r>
        <w:rPr>
          <w:rFonts w:hint="eastAsia" w:ascii="Times New Roman" w:hAnsi="Times New Roman"/>
        </w:rPr>
        <w:t>。</w:t>
      </w:r>
    </w:p>
    <w:p>
      <w:pPr>
        <w:ind w:firstLine="632" w:firstLineChars="200"/>
        <w:rPr>
          <w:b w:val="1"/>
          <w:rFonts w:ascii="Times New Roman" w:hAnsi="Times New Roman"/>
          <w:szCs w:val="30"/>
        </w:rPr>
      </w:pPr>
      <w:r>
        <w:rPr>
          <w:rFonts w:hint="eastAsia" w:ascii="Times New Roman" w:hAnsi="Times New Roman"/>
        </w:rPr>
        <w:t>“两片区”即围绕渝东北三峡库区和渝东南武陵山区物流发展片区，形成以制造、商贸流通、</w:t>
      </w:r>
      <w:r>
        <w:rPr>
          <w:rFonts w:hint="eastAsia" w:ascii="Times New Roman" w:hAnsi="Times New Roman"/>
          <w:szCs w:val="22"/>
        </w:rPr>
        <w:t>农产品</w:t>
      </w:r>
      <w:r>
        <w:rPr>
          <w:rFonts w:hint="eastAsia" w:ascii="Times New Roman" w:hAnsi="Times New Roman"/>
        </w:rPr>
        <w:t>冷链物流等为核心的物流组团，面向主城都市区开展工业品和优质农产品的物流配送。渝东北三峡库区物流发展片区主要以万州为核心，带动渝东北三峡库区城镇群发展面向四川、陕西、甘肃、湖北等省的大宗原材料辐射和多式联运组织。渝东南武陵山区物流发展片区主要以黔江、秀山为核心，带动渝东南武陵山区城镇群发展，兼顾面向贵州、湖南等省进行电商快递和商贸物流辐射，</w:t>
      </w:r>
      <w:r>
        <w:rPr>
          <w:rFonts w:ascii="Times New Roman" w:hAnsi="Times New Roman"/>
        </w:rPr>
        <w:t>打造</w:t>
      </w:r>
      <w:r>
        <w:rPr>
          <w:rFonts w:hint="eastAsia" w:ascii="Times New Roman" w:hAnsi="Times New Roman"/>
        </w:rPr>
        <w:t>以</w:t>
      </w:r>
      <w:r>
        <w:rPr>
          <w:rFonts w:ascii="Times New Roman" w:hAnsi="Times New Roman"/>
        </w:rPr>
        <w:t>优势农产品物流为特色的生态物流中心</w:t>
      </w:r>
      <w:r>
        <w:rPr>
          <w:rFonts w:hint="eastAsia" w:ascii="Times New Roman" w:hAnsi="Times New Roman"/>
        </w:rPr>
        <w:t>。</w:t>
      </w:r>
    </w:p>
    <w:p>
      <w:pPr>
        <w:pStyle w:val="16"/>
        <w:rPr>
          <w:b w:val="1"/>
          <w:rFonts w:hint="eastAsia" w:ascii="Times New Roman" w:hAnsi="Times New Roman"/>
          <w:szCs w:val="30"/>
        </w:rPr>
      </w:pPr>
      <w:r>
        <w:drawing>
          <wp:inline distT="0" distB="0" distL="114300" distR="114300">
            <wp:extent cx="5616031" cy="5356295"/>
            <wp:docPr id="6" name="图片 5"/>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xmlns:r="http://schemas.openxmlformats.org/officeDocument/2006/relationships" rotWithShape="1">
                    <a:blip r:embed="rId7"/>
                    <a:stretch>
                      <a:fillRect/>
                    </a:stretch>
                  </pic:blipFill>
                  <pic:spPr bwMode="auto">
                    <a:xfrm>
                      <a:off x="0" y="0"/>
                      <a:ext cx="5616031" cy="5356295"/>
                    </a:xfrm>
                    <a:custGeom>
                      <a:rect l="0" t="0" r="r" b="b"/>
                      <a:pathLst>
                        <a:path w="21600" h="21600" stroke="1" extrusionOk="1">
                          <a:moveTo>
                            <a:pt x="-1" y="-1"/>
                          </a:moveTo>
                          <a:lnTo>
                            <a:pt x="-1" y="21600"/>
                          </a:lnTo>
                          <a:lnTo>
                            <a:pt x="21600" y="21600"/>
                          </a:lnTo>
                          <a:lnTo>
                            <a:pt x="21600" y="-1"/>
                          </a:lnTo>
                          <a:close/>
                        </a:path>
                      </a:pathLst>
                    </a:custGeom>
                  </pic:spPr>
                </pic:pic>
              </a:graphicData>
            </a:graphic>
          </wp:inline>
        </w:drawing>
      </w:r>
    </w:p>
    <w:p>
      <w:pPr>
        <w:jc w:val="center"/>
        <w:rPr>
          <w:rFonts w:ascii="Times New Roman" w:hAnsi="Times New Roman"/>
          <w:sz w:val="28"/>
          <w:szCs w:val="28"/>
        </w:rPr>
      </w:pPr>
      <w:r>
        <w:rPr>
          <w:rFonts w:hint="eastAsia" w:ascii="Times New Roman" w:hAnsi="Times New Roman" w:eastAsia="方正黑体_GBK"/>
          <w:sz w:val="28"/>
          <w:szCs w:val="28"/>
        </w:rPr>
        <w:t>图3-</w:t>
      </w:r>
      <w:r>
        <w:rPr>
          <w:rFonts w:hint="eastAsia" w:ascii="Times New Roman" w:hAnsi="Times New Roman"/>
          <w:sz w:val="28"/>
          <w:szCs w:val="28"/>
        </w:rPr>
        <w:t xml:space="preserve">1  </w:t>
      </w:r>
      <w:r>
        <w:rPr>
          <w:rFonts w:hint="eastAsia" w:ascii="Times New Roman" w:hAnsi="Times New Roman" w:eastAsia="方正黑体_GBK"/>
          <w:sz w:val="28"/>
          <w:szCs w:val="28"/>
        </w:rPr>
        <w:t>重庆市现代物流业空间格局示意图</w:t>
      </w:r>
    </w:p>
    <w:p>
      <w:pPr>
        <w:jc w:val="center"/>
        <w:rPr>
          <w:rFonts w:hint="eastAsia" w:ascii="Times New Roman" w:hAnsi="Times New Roman" w:eastAsia="方正黑体_GBK"/>
          <w:sz w:val="28"/>
          <w:szCs w:val="28"/>
        </w:rPr>
      </w:pPr>
      <w:r>
        <w:rPr>
          <w:rFonts w:hint="eastAsia" w:ascii="Times New Roman" w:hAnsi="Times New Roman" w:eastAsia="方正黑体_GBK"/>
          <w:sz w:val="28"/>
          <w:szCs w:val="28"/>
        </w:rPr>
        <w:t>表3-1</w:t>
      </w:r>
      <w:r>
        <w:rPr>
          <w:rFonts w:ascii="Times New Roman" w:hAnsi="Times New Roman"/>
          <w:sz w:val="28"/>
          <w:szCs w:val="28"/>
        </w:rPr>
        <w:t xml:space="preserve">  </w:t>
      </w:r>
      <w:r>
        <w:rPr>
          <w:rFonts w:hint="eastAsia" w:ascii="Times New Roman" w:hAnsi="Times New Roman" w:eastAsia="方正黑体_GBK"/>
          <w:sz w:val="28"/>
          <w:szCs w:val="28"/>
        </w:rPr>
        <w:t>重庆市物流空间格局表</w:t>
      </w:r>
    </w:p>
    <w:tbl>
      <w:tblPr>
        <w:tblStyle w:val="12"/>
        <w:tblW w:w="528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right w:w="15" w:type="dxa"/>
        </w:tblCellMar>
      </w:tblPr>
      <w:tblGrid>
        <w:gridCol w:w="1008"/>
        <w:gridCol w:w="1179"/>
        <w:gridCol w:w="2045"/>
        <w:gridCol w:w="5139"/>
      </w:tblGrid>
      <w:tr>
        <w:trPr>
          <w:trHeight w:val="360" w:hRule="atLeast"/>
          <w:wBefore w:w="0" w:type="dxa"/>
        </w:trPr>
        <w:tc>
          <w:tcPr>
            <w:tcMar>
              <w:right w:w="15" w:type="dxa"/>
            </w:tcMar>
            <w:tcW w:w="1008" w:type="dxa"/>
            <w:vAlign w:val="center"/>
          </w:tcPr>
          <w:p>
            <w:pPr>
              <w:jc w:val="center"/>
              <w:widowControl w:val="1"/>
              <w:rPr>
                <w:color w:val="000000"/>
                <w:rFonts w:ascii="Times New Roman" w:hAnsi="Times New Roman" w:eastAsia="方正黑体_GBK"/>
                <w:sz w:val="24"/>
                <w:szCs w:val="24"/>
              </w:rPr>
            </w:pPr>
            <w:r>
              <w:rPr>
                <w:color w:val="000000"/>
                <w:kern w:val="0"/>
                <w:rFonts w:hint="eastAsia" w:ascii="Times New Roman" w:hAnsi="Times New Roman" w:eastAsia="方正黑体_GBK"/>
                <w:sz w:val="24"/>
                <w:szCs w:val="24"/>
              </w:rPr>
              <w:t>片区</w:t>
            </w:r>
          </w:p>
        </w:tc>
        <w:tc>
          <w:tcPr>
            <w:tcMar>
              <w:right w:w="15" w:type="dxa"/>
            </w:tcMar>
            <w:tcW w:w="1179"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功能定位</w:t>
            </w:r>
          </w:p>
        </w:tc>
        <w:tc>
          <w:tcPr>
            <w:tcMar>
              <w:right w:w="15" w:type="dxa"/>
            </w:tcMar>
            <w:tcW w:w="2045"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区县</w:t>
            </w:r>
          </w:p>
        </w:tc>
        <w:tc>
          <w:tcPr>
            <w:tcMar>
              <w:right w:w="15" w:type="dxa"/>
            </w:tcMar>
            <w:tcW w:w="5139"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发展重点</w:t>
            </w:r>
          </w:p>
        </w:tc>
      </w:tr>
      <w:tr>
        <w:trPr>
          <w:trHeight w:val="458" w:hRule="atLeast"/>
          <w:wBefore w:w="0" w:type="dxa"/>
        </w:trPr>
        <w:tc>
          <w:tcPr>
            <w:tcMar>
              <w:right w:w="15" w:type="dxa"/>
            </w:tcMar>
            <w:tcW w:w="1008"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一核</w:t>
            </w:r>
          </w:p>
        </w:tc>
        <w:tc>
          <w:tcPr>
            <w:tcMar>
              <w:right w:w="15" w:type="dxa"/>
            </w:tcMar>
            <w:tcW w:w="1179" w:type="dxa"/>
            <w:vAlign w:val="center"/>
          </w:tcPr>
          <w:p>
            <w:pPr>
              <w:jc w:val="left"/>
              <w:widowControl w:val="1"/>
              <w:rPr>
                <w:color w:val="000000"/>
                <w:rFonts w:ascii="Times New Roman" w:hAnsi="Times New Roman"/>
                <w:sz w:val="24"/>
                <w:szCs w:val="24"/>
              </w:rPr>
            </w:pPr>
            <w:r>
              <w:rPr>
                <w:color w:val="000000"/>
                <w:kern w:val="0"/>
                <w:rFonts w:hint="eastAsia" w:ascii="Times New Roman" w:hAnsi="Times New Roman"/>
                <w:sz w:val="24"/>
                <w:szCs w:val="24"/>
              </w:rPr>
              <w:t>国际物流运营中心、现代物流运营组织中枢</w:t>
            </w:r>
          </w:p>
        </w:tc>
        <w:tc>
          <w:tcPr>
            <w:tcMar>
              <w:right w:w="15" w:type="dxa"/>
            </w:tcMar>
            <w:tcW w:w="2045" w:type="dxa"/>
            <w:vAlign w:val="center"/>
          </w:tcPr>
          <w:p>
            <w:pPr>
              <w:jc w:val="left"/>
              <w:widowControl w:val="1"/>
              <w:rPr>
                <w:color w:val="000000"/>
                <w:rFonts w:ascii="Times New Roman" w:hAnsi="Times New Roman"/>
                <w:sz w:val="24"/>
                <w:szCs w:val="24"/>
              </w:rPr>
            </w:pPr>
            <w:r>
              <w:rPr>
                <w:color w:val="000000"/>
                <w:kern w:val="0"/>
                <w:rFonts w:hint="eastAsia" w:ascii="Times New Roman" w:hAnsi="Times New Roman"/>
                <w:sz w:val="24"/>
                <w:szCs w:val="24"/>
              </w:rPr>
              <w:t>两江新区、渝北、沙坪坝、江北、巴南、北碚、九龙坡、大渡口、渝中、南岸、重庆高新区、长寿、江津、璧山、南川等区</w:t>
            </w:r>
          </w:p>
        </w:tc>
        <w:tc>
          <w:tcPr>
            <w:tcMar>
              <w:right w:w="15" w:type="dxa"/>
            </w:tcMar>
            <w:tcW w:w="5139" w:type="dxa"/>
            <w:vAlign w:val="center"/>
          </w:tcPr>
          <w:p>
            <w:pPr>
              <w:widowControl w:val="1"/>
              <w:rPr>
                <w:color w:val="000000"/>
                <w:rFonts w:hint="eastAsia" w:ascii="Times New Roman" w:hAnsi="Times New Roman"/>
                <w:sz w:val="24"/>
                <w:szCs w:val="24"/>
              </w:rPr>
            </w:pPr>
            <w:r>
              <w:rPr>
                <w:rFonts w:hint="eastAsia" w:ascii="Times New Roman" w:hAnsi="Times New Roman"/>
                <w:sz w:val="24"/>
                <w:szCs w:val="24"/>
              </w:rPr>
              <w:t>依托国际陆港、空港、港口和公路港优势，打造陆港型、空港型、港口型和商贸服务型国家物流枢纽核心承载区。大力发展多式联运、</w:t>
            </w:r>
            <w:r>
              <w:rPr>
                <w:color w:val="000000"/>
                <w:kern w:val="0"/>
                <w:rFonts w:hint="eastAsia" w:ascii="Times New Roman" w:hAnsi="Times New Roman"/>
                <w:sz w:val="24"/>
                <w:szCs w:val="24"/>
              </w:rPr>
              <w:t>国际航空物流、跨境电商物流、保税物流和港口物流，提升中欧班列（成渝）号、西部陆海新通道发展质量，推动电子信息、汽车产业价值链提升，加快打造长江上游航运交易所。完善商贸物流体系和城市配送网点，扩大商贸物流辐射能级，服务城市消费升级。</w:t>
            </w:r>
          </w:p>
        </w:tc>
      </w:tr>
      <w:tr>
        <w:trPr>
          <w:trHeight w:val="1638" w:hRule="atLeast"/>
          <w:wBefore w:w="0" w:type="dxa"/>
        </w:trPr>
        <w:tc>
          <w:tcPr>
            <w:tcMar>
              <w:right w:w="15" w:type="dxa"/>
            </w:tcMar>
            <w:tcW w:w="1008"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一环</w:t>
            </w:r>
          </w:p>
        </w:tc>
        <w:tc>
          <w:tcPr>
            <w:tcMar>
              <w:right w:w="15" w:type="dxa"/>
            </w:tcMar>
            <w:tcW w:w="1179" w:type="dxa"/>
            <w:vAlign w:val="center"/>
          </w:tcPr>
          <w:p>
            <w:pPr>
              <w:jc w:val="left"/>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制造业供应链服务基地、商贸物流基地</w:t>
            </w:r>
          </w:p>
        </w:tc>
        <w:tc>
          <w:tcPr>
            <w:tcMar>
              <w:right w:w="15" w:type="dxa"/>
            </w:tcMar>
            <w:tcW w:w="2045" w:type="dxa"/>
            <w:vAlign w:val="center"/>
          </w:tcPr>
          <w:p>
            <w:pPr>
              <w:jc w:val="left"/>
              <w:widowControl w:val="1"/>
              <w:rPr>
                <w:color w:val="000000"/>
                <w:rFonts w:hint="eastAsia" w:ascii="Times New Roman" w:hAnsi="Times New Roman"/>
                <w:sz w:val="24"/>
                <w:szCs w:val="24"/>
              </w:rPr>
            </w:pPr>
            <w:r>
              <w:rPr>
                <w:color w:val="000000"/>
                <w:kern w:val="0"/>
                <w:rFonts w:hint="eastAsia" w:ascii="Times New Roman" w:hAnsi="Times New Roman"/>
                <w:sz w:val="24"/>
                <w:szCs w:val="24"/>
              </w:rPr>
              <w:t>江津、璧山、长寿、南川、涪陵、永川、合川、綦江-万盛、大足、铜梁、潼南、荣昌等区</w:t>
            </w:r>
          </w:p>
        </w:tc>
        <w:tc>
          <w:tcPr>
            <w:tcMar>
              <w:right w:w="15" w:type="dxa"/>
            </w:tcMar>
            <w:tcW w:w="5139" w:type="dxa"/>
            <w:vAlign w:val="center"/>
          </w:tcPr>
          <w:p>
            <w:pPr>
              <w:widowControl w:val="1"/>
              <w:rPr>
                <w:color w:val="000000"/>
                <w:rFonts w:hint="eastAsia" w:ascii="Times New Roman" w:hAnsi="Times New Roman"/>
                <w:sz w:val="24"/>
                <w:szCs w:val="24"/>
              </w:rPr>
            </w:pPr>
            <w:r>
              <w:rPr>
                <w:color w:val="000000"/>
                <w:kern w:val="0"/>
                <w:rFonts w:hint="eastAsia" w:ascii="Times New Roman" w:hAnsi="Times New Roman"/>
                <w:sz w:val="24"/>
                <w:szCs w:val="24"/>
              </w:rPr>
              <w:t>构建</w:t>
            </w:r>
            <w:r>
              <w:rPr>
                <w:rFonts w:hint="eastAsia" w:ascii="Times New Roman" w:hAnsi="Times New Roman"/>
                <w:sz w:val="24"/>
                <w:szCs w:val="24"/>
              </w:rPr>
              <w:t>汽车、化工、钢铁、装备制造、食品加工等优势制造业供应链服务体系，支撑产业链延伸和二次扩张，促进区域优势产业竞争力提升。</w:t>
            </w:r>
            <w:r>
              <w:rPr>
                <w:color w:val="000000"/>
                <w:kern w:val="0"/>
                <w:rFonts w:hint="eastAsia" w:ascii="Times New Roman" w:hAnsi="Times New Roman"/>
                <w:sz w:val="24"/>
                <w:szCs w:val="24"/>
              </w:rPr>
              <w:t>积极承接中心城区物流和产业转移，</w:t>
            </w:r>
            <w:r>
              <w:rPr>
                <w:rFonts w:hint="eastAsia" w:ascii="Times New Roman" w:hAnsi="Times New Roman"/>
                <w:sz w:val="24"/>
                <w:szCs w:val="24"/>
              </w:rPr>
              <w:t>完善“陕煤入渝”煤炭等大宗工业原材料储备转运体系，</w:t>
            </w:r>
            <w:r>
              <w:rPr>
                <w:color w:val="000000"/>
                <w:kern w:val="0"/>
                <w:rFonts w:hint="eastAsia" w:ascii="Times New Roman" w:hAnsi="Times New Roman"/>
                <w:sz w:val="24"/>
                <w:szCs w:val="24"/>
              </w:rPr>
              <w:t>发展区域分拨配送物流体系，兼顾面向中心城区提供物流配送。</w:t>
            </w:r>
          </w:p>
        </w:tc>
      </w:tr>
      <w:tr>
        <w:trPr>
          <w:trHeight w:val="2840" w:hRule="atLeast"/>
          <w:wBefore w:w="0" w:type="dxa"/>
        </w:trPr>
        <w:tc>
          <w:tcPr>
            <w:tcMar>
              <w:right w:w="15" w:type="dxa"/>
            </w:tcMar>
            <w:tcW w:w="1008"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一带</w:t>
            </w:r>
          </w:p>
        </w:tc>
        <w:tc>
          <w:tcPr>
            <w:tcMar>
              <w:right w:w="15" w:type="dxa"/>
            </w:tcMar>
            <w:tcW w:w="1179" w:type="dxa"/>
            <w:vAlign w:val="center"/>
          </w:tcPr>
          <w:p>
            <w:pPr>
              <w:jc w:val="left"/>
              <w:widowControl w:val="1"/>
              <w:rPr>
                <w:color w:val="000000"/>
                <w:rFonts w:hint="eastAsia" w:ascii="Times New Roman" w:hAnsi="Times New Roman"/>
                <w:sz w:val="24"/>
                <w:szCs w:val="24"/>
              </w:rPr>
            </w:pPr>
            <w:r>
              <w:rPr>
                <w:color w:val="000000"/>
                <w:kern w:val="0"/>
                <w:rFonts w:hint="eastAsia" w:ascii="Times New Roman" w:hAnsi="Times New Roman"/>
                <w:sz w:val="24"/>
                <w:szCs w:val="24"/>
              </w:rPr>
              <w:t>港航物流发展带、临港产业物流供应链服务带、长江上游航运中心</w:t>
            </w:r>
          </w:p>
        </w:tc>
        <w:tc>
          <w:tcPr>
            <w:tcMar>
              <w:right w:w="15" w:type="dxa"/>
            </w:tcMar>
            <w:tcW w:w="2045" w:type="dxa"/>
            <w:vAlign w:val="center"/>
          </w:tcPr>
          <w:p>
            <w:pPr>
              <w:jc w:val="left"/>
              <w:rPr>
                <w:color w:val="000000"/>
                <w:rFonts w:ascii="Times New Roman" w:hAnsi="Times New Roman"/>
                <w:sz w:val="24"/>
                <w:szCs w:val="24"/>
              </w:rPr>
            </w:pPr>
            <w:r>
              <w:rPr>
                <w:color w:val="000000"/>
                <w:kern w:val="0"/>
                <w:rFonts w:hint="eastAsia" w:ascii="Times New Roman" w:hAnsi="Times New Roman"/>
                <w:sz w:val="24"/>
                <w:szCs w:val="24"/>
              </w:rPr>
              <w:t>万州、涪陵</w:t>
            </w:r>
            <w:r>
              <w:rPr>
                <w:kern w:val="0"/>
                <w:rFonts w:hint="eastAsia" w:ascii="Times New Roman" w:hAnsi="Times New Roman"/>
                <w:sz w:val="24"/>
                <w:szCs w:val="24"/>
              </w:rPr>
              <w:t>、永川、江北、江津、长寿、</w:t>
            </w:r>
            <w:r>
              <w:rPr>
                <w:color w:val="000000"/>
                <w:kern w:val="0"/>
                <w:rFonts w:hint="eastAsia" w:ascii="Times New Roman" w:hAnsi="Times New Roman"/>
                <w:sz w:val="24"/>
                <w:szCs w:val="24"/>
              </w:rPr>
              <w:t>丰都、奉节、石柱、云阳、忠县、巫山等区县</w:t>
            </w:r>
          </w:p>
        </w:tc>
        <w:tc>
          <w:tcPr>
            <w:tcMar>
              <w:right w:w="15" w:type="dxa"/>
            </w:tcMar>
            <w:tcW w:w="5139" w:type="dxa"/>
            <w:vAlign w:val="center"/>
          </w:tcPr>
          <w:p>
            <w:pPr>
              <w:widowControl w:val="1"/>
              <w:rPr>
                <w:color w:val="000000"/>
                <w:rFonts w:ascii="Times New Roman" w:hAnsi="Times New Roman"/>
                <w:sz w:val="24"/>
                <w:szCs w:val="24"/>
              </w:rPr>
            </w:pPr>
            <w:r>
              <w:rPr>
                <w:color w:val="000000"/>
                <w:kern w:val="0"/>
                <w:rFonts w:hint="eastAsia" w:ascii="Times New Roman" w:hAnsi="Times New Roman"/>
                <w:sz w:val="24"/>
                <w:szCs w:val="24"/>
              </w:rPr>
              <w:t>加快沿江港口和岸线资源整合，重点推进新田港、龙头港、珞璜港及后方物流园区和铁路进港基础设施建设，尽快形成服务能力。依托万州、涪陵、长寿制造业基础和港口物流条件，打造生产服务型国家物流枢纽，支撑坝上深水航道产业集群建设。大力发展多式联运，强化对渝东北、渝东南、四川等地的物流辐射。</w:t>
            </w:r>
          </w:p>
        </w:tc>
      </w:tr>
      <w:tr>
        <w:trPr>
          <w:trHeight w:val="1959" w:hRule="atLeast"/>
          <w:wBefore w:w="0" w:type="dxa"/>
        </w:trPr>
        <w:tc>
          <w:tcPr>
            <w:tcMar>
              <w:right w:w="15" w:type="dxa"/>
            </w:tcMar>
            <w:tcW w:w="1008"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渝东北三峡库区物流发展片区</w:t>
            </w:r>
          </w:p>
        </w:tc>
        <w:tc>
          <w:tcPr>
            <w:tcMar>
              <w:right w:w="15" w:type="dxa"/>
            </w:tcMar>
            <w:tcW w:w="1179" w:type="dxa"/>
            <w:vAlign w:val="center"/>
          </w:tcPr>
          <w:p>
            <w:pPr>
              <w:jc w:val="left"/>
              <w:widowControl w:val="1"/>
              <w:rPr>
                <w:color w:val="000000"/>
                <w:rFonts w:hint="eastAsia" w:ascii="Times New Roman" w:hAnsi="Times New Roman"/>
                <w:sz w:val="24"/>
                <w:szCs w:val="24"/>
              </w:rPr>
            </w:pPr>
            <w:r>
              <w:rPr>
                <w:color w:val="000000"/>
                <w:kern w:val="0"/>
                <w:rFonts w:hint="eastAsia" w:ascii="Times New Roman" w:hAnsi="Times New Roman"/>
                <w:sz w:val="24"/>
                <w:szCs w:val="24"/>
              </w:rPr>
              <w:t>生产制造与港航物流中心</w:t>
            </w:r>
          </w:p>
        </w:tc>
        <w:tc>
          <w:tcPr>
            <w:tcMar>
              <w:right w:w="15" w:type="dxa"/>
            </w:tcMar>
            <w:tcW w:w="2045" w:type="dxa"/>
            <w:vAlign w:val="center"/>
          </w:tcPr>
          <w:p>
            <w:pPr>
              <w:jc w:val="left"/>
              <w:widowControl w:val="1"/>
              <w:rPr>
                <w:color w:val="000000"/>
                <w:rFonts w:ascii="Times New Roman" w:hAnsi="Times New Roman"/>
                <w:sz w:val="24"/>
                <w:szCs w:val="24"/>
              </w:rPr>
            </w:pPr>
            <w:r>
              <w:rPr>
                <w:kern w:val="0"/>
                <w:rFonts w:hint="eastAsia" w:ascii="Times New Roman" w:hAnsi="Times New Roman"/>
                <w:sz w:val="24"/>
                <w:szCs w:val="24"/>
              </w:rPr>
              <w:t>万州、</w:t>
            </w:r>
            <w:r>
              <w:rPr>
                <w:color w:val="000000"/>
                <w:kern w:val="0"/>
                <w:rFonts w:hint="eastAsia" w:ascii="Times New Roman" w:hAnsi="Times New Roman"/>
                <w:sz w:val="24"/>
                <w:szCs w:val="24"/>
              </w:rPr>
              <w:t>梁平、开州、垫江、城口、忠县、奉节、云阳、巫山、巫溪等区县</w:t>
            </w:r>
          </w:p>
        </w:tc>
        <w:tc>
          <w:tcPr>
            <w:tcMar>
              <w:right w:w="15" w:type="dxa"/>
            </w:tcMar>
            <w:tcW w:w="5139" w:type="dxa"/>
            <w:vAlign w:val="center"/>
          </w:tcPr>
          <w:p>
            <w:pPr>
              <w:rPr>
                <w:color w:val="000000"/>
                <w:kern w:val="0"/>
                <w:rFonts w:hint="eastAsia" w:ascii="Times New Roman" w:hAnsi="Times New Roman"/>
                <w:sz w:val="24"/>
                <w:szCs w:val="24"/>
              </w:rPr>
            </w:pPr>
            <w:r>
              <w:rPr>
                <w:color w:val="000000"/>
                <w:kern w:val="0"/>
                <w:rFonts w:hint="eastAsia" w:ascii="Times New Roman" w:hAnsi="Times New Roman"/>
                <w:sz w:val="24"/>
                <w:szCs w:val="24"/>
              </w:rPr>
              <w:t>加快港口物流资源整合，强化分工与合作，促进沿线港口良性发展。</w:t>
            </w:r>
            <w:r>
              <w:rPr>
                <w:rFonts w:hint="eastAsia" w:ascii="Times New Roman" w:hAnsi="Times New Roman"/>
                <w:sz w:val="24"/>
                <w:szCs w:val="24"/>
              </w:rPr>
              <w:t>完善装备制造、</w:t>
            </w:r>
            <w:r>
              <w:rPr>
                <w:color w:val="000000"/>
                <w:kern w:val="0"/>
                <w:rFonts w:hint="eastAsia" w:ascii="Times New Roman" w:hAnsi="Times New Roman"/>
                <w:sz w:val="24"/>
                <w:szCs w:val="24"/>
              </w:rPr>
              <w:t>绿色食品、农产品加工</w:t>
            </w:r>
            <w:r>
              <w:rPr>
                <w:rFonts w:hint="eastAsia" w:ascii="Times New Roman" w:hAnsi="Times New Roman"/>
                <w:sz w:val="24"/>
                <w:szCs w:val="24"/>
              </w:rPr>
              <w:t>等产业的供应链物流，拓展大宗商品交易、港口物流等。</w:t>
            </w:r>
            <w:r>
              <w:rPr>
                <w:color w:val="000000"/>
                <w:kern w:val="0"/>
                <w:rFonts w:hint="eastAsia" w:ascii="Times New Roman" w:hAnsi="Times New Roman"/>
                <w:sz w:val="24"/>
                <w:szCs w:val="24"/>
              </w:rPr>
              <w:t>加快区域农产品电商和快递物流网络建设，促进区域优质绿色农产品面向全国辐射。大力发展面向川东地区铁水联运，提升对川渝腹地物流辐射。</w:t>
            </w:r>
          </w:p>
        </w:tc>
      </w:tr>
      <w:tr>
        <w:trPr>
          <w:trHeight w:val="1958" w:hRule="atLeast"/>
          <w:wBefore w:w="0" w:type="dxa"/>
        </w:trPr>
        <w:tc>
          <w:tcPr>
            <w:tcMar>
              <w:right w:w="15" w:type="dxa"/>
            </w:tcMar>
            <w:tcW w:w="1008" w:type="dxa"/>
            <w:vAlign w:val="center"/>
          </w:tcPr>
          <w:p>
            <w:pPr>
              <w:jc w:val="center"/>
              <w:widowControl w:val="1"/>
              <w:rPr>
                <w:color w:val="000000"/>
                <w:rFonts w:hint="eastAsia" w:ascii="Times New Roman" w:hAnsi="Times New Roman" w:eastAsia="方正黑体_GBK"/>
                <w:sz w:val="24"/>
                <w:szCs w:val="24"/>
              </w:rPr>
            </w:pPr>
            <w:r>
              <w:rPr>
                <w:color w:val="000000"/>
                <w:kern w:val="0"/>
                <w:rFonts w:hint="eastAsia" w:ascii="Times New Roman" w:hAnsi="Times New Roman" w:eastAsia="方正黑体_GBK"/>
                <w:sz w:val="24"/>
                <w:szCs w:val="24"/>
              </w:rPr>
              <w:t>渝东南武陵山区物流发展片区</w:t>
            </w:r>
          </w:p>
        </w:tc>
        <w:tc>
          <w:tcPr>
            <w:tcMar>
              <w:right w:w="15" w:type="dxa"/>
            </w:tcMar>
            <w:tcW w:w="1179" w:type="dxa"/>
            <w:vAlign w:val="center"/>
          </w:tcPr>
          <w:p>
            <w:pPr>
              <w:jc w:val="left"/>
              <w:widowControl w:val="1"/>
              <w:rPr>
                <w:color w:val="000000"/>
                <w:rFonts w:hint="eastAsia" w:ascii="Times New Roman" w:hAnsi="Times New Roman"/>
                <w:sz w:val="24"/>
                <w:szCs w:val="24"/>
              </w:rPr>
            </w:pPr>
            <w:r>
              <w:rPr>
                <w:color w:val="000000"/>
                <w:kern w:val="0"/>
                <w:rFonts w:hint="eastAsia" w:ascii="Times New Roman" w:hAnsi="Times New Roman"/>
                <w:sz w:val="24"/>
                <w:szCs w:val="24"/>
              </w:rPr>
              <w:t>农产品冷链和商贸物流集聚区、</w:t>
            </w:r>
            <w:r>
              <w:rPr>
                <w:color w:val="000000"/>
                <w:kern w:val="0"/>
                <w:rFonts w:ascii="Times New Roman" w:hAnsi="Times New Roman"/>
                <w:sz w:val="24"/>
                <w:szCs w:val="24"/>
              </w:rPr>
              <w:t>生态物流中心</w:t>
            </w:r>
          </w:p>
        </w:tc>
        <w:tc>
          <w:tcPr>
            <w:tcMar>
              <w:right w:w="15" w:type="dxa"/>
            </w:tcMar>
            <w:tcW w:w="2045" w:type="dxa"/>
            <w:vAlign w:val="center"/>
          </w:tcPr>
          <w:p>
            <w:pPr>
              <w:jc w:val="left"/>
              <w:widowControl w:val="1"/>
              <w:rPr>
                <w:color w:val="000000"/>
                <w:rFonts w:ascii="Times New Roman" w:hAnsi="Times New Roman"/>
                <w:sz w:val="24"/>
                <w:szCs w:val="24"/>
              </w:rPr>
            </w:pPr>
            <w:r>
              <w:rPr>
                <w:color w:val="000000"/>
                <w:kern w:val="0"/>
                <w:rFonts w:hint="eastAsia" w:ascii="Times New Roman" w:hAnsi="Times New Roman"/>
                <w:sz w:val="24"/>
                <w:szCs w:val="24"/>
              </w:rPr>
              <w:t>黔江、秀山、武隆、石柱、酉阳、彭水等区县</w:t>
            </w:r>
          </w:p>
        </w:tc>
        <w:tc>
          <w:tcPr>
            <w:tcMar>
              <w:right w:w="15" w:type="dxa"/>
            </w:tcMar>
            <w:tcW w:w="5139" w:type="dxa"/>
            <w:vAlign w:val="center"/>
          </w:tcPr>
          <w:p>
            <w:pPr>
              <w:rPr>
                <w:color w:val="000000"/>
                <w:rFonts w:hint="eastAsia" w:ascii="Times New Roman" w:hAnsi="Times New Roman"/>
                <w:sz w:val="24"/>
                <w:szCs w:val="24"/>
              </w:rPr>
            </w:pPr>
            <w:r>
              <w:rPr>
                <w:color w:val="000000"/>
                <w:kern w:val="0"/>
                <w:rFonts w:hint="eastAsia" w:ascii="Times New Roman" w:hAnsi="Times New Roman"/>
                <w:sz w:val="24"/>
                <w:szCs w:val="24"/>
              </w:rPr>
              <w:t>整合区域商贸物流、电商物流、农产品冷链物流资源，打造商贸服务型国家物流枢纽核心承载区，大力发展商贸物流、电商物流和冷链物流，打造辐射贵州北部、湖南西部的电商快递物流中心。推动特色农产品与电商快递协同发展，面向全国进行优质绿色食品和农产品辐射，加快区域现代化进程。</w:t>
            </w:r>
          </w:p>
        </w:tc>
      </w:tr>
    </w:tbl>
    <w:p>
      <w:pPr>
        <w:pStyle w:val="16"/>
        <w:rPr>
          <w:rFonts w:hint="eastAsia" w:ascii="Times New Roman" w:hAnsi="Times New Roman"/>
        </w:rPr>
      </w:pPr>
    </w:p>
    <w:p>
      <w:pPr>
        <w:ind w:firstLine="632" w:firstLineChars="200"/>
        <w:outlineLvl w:val="1"/>
        <w:rPr>
          <w:rFonts w:hint="eastAsia" w:ascii="Times New Roman" w:hAnsi="Times New Roman" w:eastAsia="方正楷体_GBK"/>
          <w:szCs w:val="22"/>
        </w:rPr>
      </w:pPr>
      <w:bookmarkStart w:id="59" w:name="_Toc61863744"/>
      <w:bookmarkStart w:id="60" w:name="_Toc14614"/>
      <w:bookmarkStart w:id="61" w:name="_Toc25626"/>
      <w:bookmarkStart w:id="62" w:name="_Toc31418"/>
      <w:r>
        <w:rPr>
          <w:rFonts w:hint="eastAsia" w:ascii="Times New Roman" w:hAnsi="Times New Roman" w:eastAsia="方正楷体_GBK"/>
          <w:szCs w:val="22"/>
        </w:rPr>
        <w:t>（三）“五枢纽多节点”物流设施布局</w:t>
      </w:r>
      <w:bookmarkEnd w:id="59"/>
      <w:bookmarkEnd w:id="60"/>
      <w:bookmarkEnd w:id="61"/>
      <w:bookmarkEnd w:id="62"/>
    </w:p>
    <w:p>
      <w:pPr>
        <w:ind w:firstLine="632" w:firstLineChars="200"/>
        <w:rPr>
          <w:rFonts w:ascii="Times New Roman" w:hAnsi="Times New Roman"/>
          <w:szCs w:val="30"/>
        </w:rPr>
      </w:pPr>
      <w:r>
        <w:rPr>
          <w:rFonts w:hint="eastAsia" w:ascii="Times New Roman" w:hAnsi="Times New Roman"/>
        </w:rPr>
        <w:t>依据城市空间布局、存量基础设施等，统筹考虑国家重大战略实施以及对外物流大通道建设基本格局，构建形成以国家物流枢纽为引领、物流园区为支撑、物流中心为补充的“五枢纽多节点”物流设施网络格局，奠定融入全国、全球物流体系的强大物流设施网络基础。</w:t>
      </w:r>
    </w:p>
    <w:p>
      <w:pPr>
        <w:ind w:firstLine="632" w:firstLineChars="200"/>
        <w:rPr>
          <w:rFonts w:hint="eastAsia" w:ascii="Times New Roman" w:hAnsi="Times New Roman"/>
        </w:rPr>
      </w:pPr>
      <w:r>
        <w:rPr>
          <w:rFonts w:hint="eastAsia" w:ascii="Times New Roman" w:hAnsi="Times New Roman"/>
        </w:rPr>
        <w:t>“五枢纽”即承接国家重大战略实施，在两江新区、万州、涪陵、沙坪坝、北碚、巴南、长寿、江津、秀山等区县布局港口型、陆港型、空港型、生产服务型、商贸服务型五大国家物流枢纽。</w:t>
      </w:r>
    </w:p>
    <w:p>
      <w:pPr>
        <w:jc w:val="center"/>
        <w:pStyle w:val="16"/>
        <w:rPr>
          <w:rFonts w:hint="eastAsia"/>
        </w:rPr>
      </w:pPr>
      <w:r>
        <w:drawing>
          <wp:inline distT="0" distB="0" distL="114300" distR="114300">
            <wp:extent cx="5366996" cy="4715974"/>
            <wp:docPr id="8" name="图片 2"/>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xmlns:r="http://schemas.openxmlformats.org/officeDocument/2006/relationships" rotWithShape="1">
                    <a:blip r:embed="rId8"/>
                    <a:stretch>
                      <a:fillRect/>
                    </a:stretch>
                  </pic:blipFill>
                  <pic:spPr bwMode="auto">
                    <a:xfrm>
                      <a:off x="0" y="0"/>
                      <a:ext cx="5366996" cy="4715974"/>
                    </a:xfrm>
                    <a:custGeom>
                      <a:rect l="0" t="0" r="r" b="b"/>
                      <a:pathLst>
                        <a:path w="21600" h="21600" stroke="1" extrusionOk="1">
                          <a:moveTo>
                            <a:pt x="-1" y="-1"/>
                          </a:moveTo>
                          <a:lnTo>
                            <a:pt x="-1" y="21600"/>
                          </a:lnTo>
                          <a:lnTo>
                            <a:pt x="21600" y="21600"/>
                          </a:lnTo>
                          <a:lnTo>
                            <a:pt x="21600" y="-1"/>
                          </a:lnTo>
                          <a:close/>
                        </a:path>
                      </a:pathLst>
                    </a:custGeom>
                    <a:ln cmpd="sng">
                      <a:solidFill>
                        <a:srgbClr val="A6A6A6"/>
                      </a:solidFill>
                      <a:miter/>
                    </a:ln>
                  </pic:spPr>
                </pic:pic>
              </a:graphicData>
            </a:graphic>
          </wp:inline>
        </w:drawing>
      </w:r>
    </w:p>
    <w:p>
      <w:pPr>
        <w:jc w:val="center"/>
        <w:rPr>
          <w:rFonts w:ascii="Times New Roman" w:hAnsi="Times New Roman"/>
          <w:sz w:val="28"/>
          <w:szCs w:val="28"/>
        </w:rPr>
      </w:pPr>
      <w:r>
        <w:rPr>
          <w:rFonts w:hint="eastAsia" w:ascii="Times New Roman" w:hAnsi="Times New Roman" w:eastAsia="方正黑体_GBK"/>
          <w:sz w:val="28"/>
          <w:szCs w:val="28"/>
        </w:rPr>
        <w:t>图3-2</w:t>
      </w:r>
      <w:r>
        <w:rPr>
          <w:rFonts w:hint="eastAsia" w:ascii="Times New Roman" w:hAnsi="Times New Roman"/>
          <w:sz w:val="28"/>
          <w:szCs w:val="28"/>
        </w:rPr>
        <w:t xml:space="preserve">  </w:t>
      </w:r>
      <w:r>
        <w:rPr>
          <w:rFonts w:hint="eastAsia" w:ascii="Times New Roman" w:hAnsi="Times New Roman" w:eastAsia="方正黑体_GBK"/>
          <w:sz w:val="28"/>
          <w:szCs w:val="28"/>
        </w:rPr>
        <w:t>重庆国家物流枢纽布局示意图</w:t>
      </w:r>
    </w:p>
    <w:p>
      <w:pPr>
        <w:ind w:firstLine="632" w:firstLineChars="200"/>
        <w:rPr>
          <w:rFonts w:ascii="Times New Roman" w:hAnsi="Times New Roman"/>
          <w:szCs w:val="30"/>
        </w:rPr>
      </w:pPr>
      <w:r>
        <w:rPr>
          <w:rFonts w:hint="eastAsia" w:ascii="Times New Roman" w:hAnsi="Times New Roman"/>
        </w:rPr>
        <w:t>“多节点”主要结合各区县产业发展和生活物流需求，支持黔江、永川、南川、綦江-万盛、合川、大足、铜梁、潼南、荣昌、武隆、丰都、垫江、云阳、忠县、巫山等区县布局物流园区和物流中心。物流园区以综合服务功能为主，依托重要交通枢纽、整合相关物流资源布局，重点服务于全市主要产业集聚区。物流中心结合区县特色产业和具体物流需求布局，</w:t>
      </w:r>
      <w:r>
        <w:rPr>
          <w:rFonts w:ascii="Times New Roman" w:hAnsi="Times New Roman"/>
        </w:rPr>
        <w:t>强化本地服务功能</w:t>
      </w:r>
      <w:r>
        <w:rPr>
          <w:rFonts w:hint="eastAsia" w:ascii="Times New Roman" w:hAnsi="Times New Roman"/>
        </w:rPr>
        <w:t>。</w:t>
      </w:r>
    </w:p>
    <w:p>
      <w:pPr>
        <w:ind w:firstLine="632" w:firstLineChars="200"/>
        <w:outlineLvl w:val="1"/>
        <w:rPr>
          <w:rFonts w:hint="eastAsia" w:ascii="Times New Roman" w:hAnsi="Times New Roman" w:eastAsia="方正楷体_GBK"/>
          <w:szCs w:val="22"/>
        </w:rPr>
      </w:pPr>
      <w:bookmarkStart w:id="63" w:name="_Toc19414"/>
      <w:bookmarkStart w:id="64" w:name="_Toc9693"/>
      <w:bookmarkStart w:id="65" w:name="_Toc7933"/>
      <w:bookmarkStart w:id="66" w:name="_Toc61863745"/>
      <w:r>
        <w:rPr>
          <w:rFonts w:hint="eastAsia" w:ascii="Times New Roman" w:hAnsi="Times New Roman" w:eastAsia="方正楷体_GBK"/>
          <w:szCs w:val="22"/>
        </w:rPr>
        <w:t>（四）“16个多产联动物流枢纽经济区”总体布局</w:t>
      </w:r>
      <w:bookmarkEnd w:id="63"/>
      <w:bookmarkEnd w:id="64"/>
      <w:bookmarkEnd w:id="65"/>
      <w:bookmarkEnd w:id="66"/>
    </w:p>
    <w:p>
      <w:pPr>
        <w:ind w:firstLine="632" w:firstLineChars="200"/>
        <w:rPr>
          <w:rFonts w:hint="eastAsia" w:ascii="Times New Roman" w:hAnsi="Times New Roman"/>
        </w:rPr>
      </w:pPr>
      <w:r>
        <w:rPr>
          <w:rFonts w:hint="eastAsia" w:ascii="Times New Roman" w:hAnsi="Times New Roman"/>
        </w:rPr>
        <w:t>按照物流与产业联动发展要求，围绕全市生产制造业集中区、商品交易市场集中区、农产品种养殖区，布局建设相应物流设施，构建专业化物流系统，实现物流与产业联动融合，打造16个具有较强区域乃至国际竞争力的物流枢纽经济区。</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66"/>
      </w:tblGrid>
      <w:tr>
        <w:tc>
          <w:tcPr>
            <w:tcW w:w="8766"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1</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多产联动物流枢纽经济区</w:t>
            </w:r>
          </w:p>
        </w:tc>
      </w:tr>
      <w:tr>
        <w:tc>
          <w:tcPr>
            <w:tcW w:w="8766" w:type="dxa"/>
          </w:tcPr>
          <w:p>
            <w:pPr>
              <w:ind w:firstLine="480"/>
              <w:rPr>
                <w:b w:val="1"/>
                <w:kern w:val="0"/>
                <w:rFonts w:ascii="Times New Roman" w:hAnsi="Times New Roman"/>
                <w:sz w:val="24"/>
                <w:szCs w:val="24"/>
              </w:rPr>
            </w:pPr>
            <w:r>
              <w:rPr>
                <w:b w:val="1"/>
                <w:kern w:val="0"/>
                <w:rFonts w:hint="eastAsia" w:ascii="Times New Roman" w:hAnsi="Times New Roman"/>
                <w:sz w:val="24"/>
                <w:szCs w:val="24"/>
              </w:rPr>
              <w:t>1.物流与现代农业联动物流枢纽经济区</w:t>
            </w:r>
          </w:p>
          <w:p>
            <w:pPr>
              <w:ind w:firstLine="480"/>
              <w:rPr>
                <w:kern w:val="0"/>
                <w:rFonts w:hint="eastAsia" w:ascii="Times New Roman" w:hAnsi="Times New Roman"/>
                <w:sz w:val="24"/>
                <w:szCs w:val="24"/>
              </w:rPr>
            </w:pPr>
            <w:r>
              <w:rPr>
                <w:kern w:val="0"/>
                <w:rFonts w:hint="eastAsia" w:ascii="Times New Roman" w:hAnsi="Times New Roman"/>
                <w:sz w:val="24"/>
                <w:szCs w:val="24"/>
              </w:rPr>
              <w:t>围绕全市种养殖业基础，通过延伸农产品加工链、拓展交易服务链等，提升农畜产品价值链，精准匹配冷库等物流基础设施，提供农产品冷链物流服务，形成若干具有重庆特色的物流与现代农业联动的物流枢纽经济区。重点打造江津冷链物流枢纽经济区、万州冷链物流枢纽经济区、荣昌生猪流通枢纽经济区、秀山农产品电商物流枢纽经济区等。</w:t>
            </w:r>
          </w:p>
          <w:p>
            <w:pPr>
              <w:ind w:firstLine="480"/>
              <w:rPr>
                <w:b w:val="1"/>
                <w:kern w:val="0"/>
                <w:rFonts w:hint="eastAsia" w:ascii="Times New Roman" w:hAnsi="Times New Roman"/>
                <w:sz w:val="24"/>
                <w:szCs w:val="24"/>
              </w:rPr>
            </w:pPr>
            <w:r>
              <w:rPr>
                <w:b w:val="1"/>
                <w:kern w:val="0"/>
                <w:rFonts w:hint="eastAsia" w:ascii="Times New Roman" w:hAnsi="Times New Roman"/>
                <w:sz w:val="24"/>
                <w:szCs w:val="24"/>
              </w:rPr>
              <w:t>2.物流与现代制造联动物流枢纽经济区</w:t>
            </w:r>
          </w:p>
          <w:p>
            <w:pPr>
              <w:ind w:firstLine="480"/>
              <w:rPr>
                <w:kern w:val="0"/>
                <w:rFonts w:hint="eastAsia" w:ascii="Times New Roman" w:hAnsi="Times New Roman"/>
                <w:sz w:val="24"/>
                <w:szCs w:val="24"/>
              </w:rPr>
            </w:pPr>
            <w:r>
              <w:rPr>
                <w:kern w:val="0"/>
                <w:rFonts w:hint="eastAsia" w:ascii="Times New Roman" w:hAnsi="Times New Roman"/>
                <w:sz w:val="24"/>
                <w:szCs w:val="24"/>
              </w:rPr>
              <w:t>围绕全市制造业集聚区，以打造物流供应链公共服务平台为载体，整合区域制造业物流资源，开展从原材料、零部件供应到产品分拨配送的全过程物流服务，延伸采购、交易结算、供应链金融、分销组织等服务链，打造若干制造业物流枢纽经济区。重点打造长寿新材料物流枢纽经济区、涪陵化工供应链枢纽经济区、沙坪坝西永高端制造物流枢纽经济区、重庆高新区高科技物流枢纽经济区、两江新区先进制造物流枢纽经济区、合川装备制造物流枢纽经济区、江津生产制造物流枢纽经济区、綦江-万盛材料产业物流枢纽经济区和万州装备制造物流枢纽经济区等。</w:t>
            </w:r>
          </w:p>
          <w:p>
            <w:pPr>
              <w:ind w:firstLine="480"/>
              <w:rPr>
                <w:b w:val="1"/>
                <w:kern w:val="0"/>
                <w:rFonts w:hint="eastAsia" w:ascii="Times New Roman" w:hAnsi="Times New Roman"/>
                <w:sz w:val="24"/>
                <w:szCs w:val="24"/>
              </w:rPr>
            </w:pPr>
            <w:r>
              <w:rPr>
                <w:b w:val="1"/>
                <w:kern w:val="0"/>
                <w:rFonts w:hint="eastAsia" w:ascii="Times New Roman" w:hAnsi="Times New Roman"/>
                <w:sz w:val="24"/>
                <w:szCs w:val="24"/>
              </w:rPr>
              <w:t>3.物流与现代商贸融合物流枢纽经济区</w:t>
            </w:r>
          </w:p>
          <w:p>
            <w:pPr>
              <w:ind w:firstLine="480"/>
              <w:rPr>
                <w:kern w:val="0"/>
                <w:rFonts w:ascii="Times New Roman" w:hAnsi="Times New Roman" w:eastAsia="宋体"/>
                <w:sz w:val="24"/>
                <w:szCs w:val="24"/>
              </w:rPr>
            </w:pPr>
            <w:r>
              <w:rPr>
                <w:kern w:val="0"/>
                <w:rFonts w:hint="eastAsia" w:ascii="Times New Roman" w:hAnsi="Times New Roman"/>
                <w:sz w:val="24"/>
                <w:szCs w:val="24"/>
              </w:rPr>
              <w:t>利用重庆良好的商贸物流基础和</w:t>
            </w:r>
            <w:r>
              <w:rPr>
                <w:kern w:val="0"/>
                <w:rFonts w:ascii="Times New Roman" w:hAnsi="Times New Roman"/>
                <w:sz w:val="24"/>
                <w:szCs w:val="24"/>
              </w:rPr>
              <w:t>区域</w:t>
            </w:r>
            <w:r>
              <w:rPr>
                <w:kern w:val="0"/>
                <w:rFonts w:hint="eastAsia" w:ascii="Times New Roman" w:hAnsi="Times New Roman"/>
                <w:sz w:val="24"/>
                <w:szCs w:val="24"/>
              </w:rPr>
              <w:t>辐射</w:t>
            </w:r>
            <w:r>
              <w:rPr>
                <w:kern w:val="0"/>
                <w:rFonts w:ascii="Times New Roman" w:hAnsi="Times New Roman"/>
                <w:sz w:val="24"/>
                <w:szCs w:val="24"/>
              </w:rPr>
              <w:t>能力</w:t>
            </w:r>
            <w:r>
              <w:rPr>
                <w:kern w:val="0"/>
                <w:rFonts w:hint="eastAsia" w:ascii="Times New Roman" w:hAnsi="Times New Roman"/>
                <w:sz w:val="24"/>
                <w:szCs w:val="24"/>
              </w:rPr>
              <w:t>，依托区域批发型交易市场，大规模进口国际商品，拓展线上线下结合的交易模式，延伸结算、区域分拨配送等功能，提升市场辐射能级，打造商贸物流枢纽经济区。重点打造江津农产品商贸物流枢纽经济区、巴南商贸物流枢纽经济区、渝北空港跨境电商物流枢纽经济区等。</w:t>
            </w:r>
          </w:p>
        </w:tc>
      </w:tr>
    </w:tbl>
    <w:p>
      <w:pPr>
        <w:ind w:firstLine="632" w:firstLineChars="200"/>
        <w:outlineLvl w:val="0"/>
        <w:rPr>
          <w:rFonts w:hint="eastAsia" w:ascii="Times New Roman" w:hAnsi="Times New Roman" w:eastAsia="方正黑体_GBK"/>
        </w:rPr>
      </w:pPr>
      <w:bookmarkStart w:id="67" w:name="_Toc23580"/>
      <w:bookmarkStart w:id="68" w:name="_Toc4428"/>
      <w:bookmarkStart w:id="69" w:name="_Toc28827"/>
      <w:bookmarkStart w:id="70" w:name="_Toc61863746"/>
      <w:bookmarkStart w:id="71" w:name="_Toc10297"/>
      <w:r>
        <w:rPr>
          <w:rFonts w:hint="eastAsia" w:ascii="Times New Roman" w:hAnsi="Times New Roman" w:eastAsia="方正黑体_GBK"/>
        </w:rPr>
        <w:t>四、畅通辐射国内外综合物流大通道</w:t>
      </w:r>
      <w:bookmarkEnd w:id="67"/>
      <w:bookmarkEnd w:id="68"/>
      <w:bookmarkEnd w:id="69"/>
      <w:bookmarkEnd w:id="70"/>
      <w:bookmarkEnd w:id="71"/>
    </w:p>
    <w:p>
      <w:pPr>
        <w:ind w:firstLine="632" w:firstLineChars="200"/>
        <w:rPr>
          <w:rFonts w:ascii="Times New Roman" w:hAnsi="Times New Roman"/>
        </w:rPr>
      </w:pPr>
      <w:bookmarkStart w:id="72" w:name="_Toc28260"/>
      <w:r>
        <w:rPr>
          <w:rFonts w:hint="eastAsia" w:ascii="Times New Roman" w:hAnsi="Times New Roman"/>
        </w:rPr>
        <w:t>围绕六大国际物流大通道，加快交通等基础设施建设，开展规模化、通道化的物流运作，提高通道组织服务水平，提升重庆国际物流组织地位。进一步完善区际交通物流设施网络，促进重庆市域物流产业一体化发展水平，形成全市物流发展合力。</w:t>
      </w:r>
    </w:p>
    <w:p>
      <w:pPr>
        <w:ind w:firstLine="632" w:firstLineChars="200"/>
        <w:outlineLvl w:val="1"/>
        <w:rPr>
          <w:rFonts w:hint="eastAsia" w:ascii="Times New Roman" w:hAnsi="Times New Roman" w:eastAsia="方正楷体_GBK"/>
        </w:rPr>
      </w:pPr>
      <w:bookmarkStart w:id="73" w:name="_Toc1461"/>
      <w:bookmarkStart w:id="74" w:name="_Toc23612"/>
      <w:bookmarkStart w:id="75" w:name="_Toc31359"/>
      <w:bookmarkStart w:id="76" w:name="_Toc61863747"/>
      <w:r>
        <w:rPr>
          <w:rFonts w:hint="eastAsia" w:ascii="Times New Roman" w:hAnsi="Times New Roman" w:eastAsia="方正楷体_GBK"/>
        </w:rPr>
        <w:t>（一）畅通对外物流辐射通道</w:t>
      </w:r>
      <w:bookmarkEnd w:id="73"/>
      <w:bookmarkEnd w:id="74"/>
      <w:bookmarkEnd w:id="75"/>
      <w:bookmarkEnd w:id="76"/>
    </w:p>
    <w:p>
      <w:pPr>
        <w:ind w:firstLine="632" w:firstLineChars="200"/>
        <w:rPr>
          <w:rFonts w:hint="eastAsia" w:ascii="Times New Roman" w:hAnsi="Times New Roman"/>
        </w:rPr>
      </w:pPr>
      <w:r>
        <w:rPr>
          <w:rFonts w:hint="eastAsia" w:ascii="Times New Roman" w:hAnsi="Times New Roman"/>
        </w:rPr>
        <w:t>西部陆海新通道国际物流大通道。提升通道物流和运营组织中心地位，强化通道统筹协调能力、资源配置能力、区域服务功能，联动沿线节点城市物流枢纽，拓展国际铁海联运、国际铁路联运、国际公铁联运、跨境公路班车等多元化</w:t>
      </w:r>
      <w:r>
        <w:rPr>
          <w:rFonts w:ascii="Times New Roman" w:hAnsi="Times New Roman"/>
        </w:rPr>
        <w:t>国际物流</w:t>
      </w:r>
      <w:r>
        <w:rPr>
          <w:rFonts w:hint="eastAsia" w:ascii="Times New Roman" w:hAnsi="Times New Roman"/>
        </w:rPr>
        <w:t>组织，促进通道资源联动共享，全面融入中国-中南半岛、孟中印缅经济走廊</w:t>
      </w:r>
      <w:r>
        <w:rPr>
          <w:rFonts w:ascii="Times New Roman" w:hAnsi="Times New Roman"/>
        </w:rPr>
        <w:t>。</w:t>
      </w:r>
      <w:r>
        <w:rPr>
          <w:rFonts w:hint="eastAsia" w:ascii="Times New Roman" w:hAnsi="Times New Roman"/>
        </w:rPr>
        <w:t>密切与东盟及通道</w:t>
      </w:r>
      <w:r>
        <w:rPr>
          <w:rFonts w:ascii="Times New Roman" w:hAnsi="Times New Roman"/>
        </w:rPr>
        <w:t>沿线</w:t>
      </w:r>
      <w:r>
        <w:rPr>
          <w:rFonts w:hint="eastAsia" w:ascii="Times New Roman" w:hAnsi="Times New Roman"/>
        </w:rPr>
        <w:t>地区经贸和物流联系，加强与广西北部湾港、海南洋浦港、广东湛江港等港口合作，吸引沿线物流业务集中化运作，重点扩大电子料件、汽摩及零配件、机械设备及电器、轻工及医药产品、化工原料及制品、有色金属、农副产品、跨境电商等进出口物流运作规模。</w:t>
      </w:r>
    </w:p>
    <w:p>
      <w:pPr>
        <w:ind w:firstLine="632" w:firstLineChars="200"/>
        <w:rPr>
          <w:rFonts w:hint="eastAsia" w:ascii="Times New Roman" w:hAnsi="Times New Roman"/>
        </w:rPr>
      </w:pPr>
      <w:r>
        <w:rPr>
          <w:rFonts w:hint="eastAsia" w:ascii="Times New Roman" w:hAnsi="Times New Roman"/>
        </w:rPr>
        <w:t>亚欧国际物流大通道。利用中欧班列（成渝）号良好运作基础，高水平建好中欧班列集结中心，加快推进兰渝高铁建设，释放兰渝铁路货运能力，优化布局线路和境内外集散分拨点，构建中亚、西亚、欧洲沿线物流集结和分拨配送中心，形成“通道+境内外物流节点”的网络化班列运作模式，加快形成“干支结合、枢纽集散”的高效集疏运体系，提升国际班列综合竞争力，构建现代国际物流供应链体系，促进内陆地区全面融入新亚欧大陆桥、中巴经济走廊，建成我国与欧洲、中西亚地区相互促进相互循环的重要战略通道。加大对电子信息产品、汽摩及零部件（含整车）、高端装备、药品和医疗器械、高端百货等商品的进口规模，实现班列双向均衡和价值增值。加强与西部陆海新通道衔接，作为东南亚国家开展亚欧陆路多式联运的重要平台。</w:t>
      </w:r>
    </w:p>
    <w:p>
      <w:pPr>
        <w:ind w:firstLine="632" w:firstLineChars="200"/>
        <w:rPr>
          <w:rFonts w:hint="eastAsia" w:ascii="Times New Roman" w:hAnsi="Times New Roman"/>
          <w:szCs w:val="22"/>
        </w:rPr>
      </w:pPr>
      <w:r>
        <w:rPr>
          <w:rFonts w:hint="eastAsia" w:ascii="Times New Roman" w:hAnsi="Times New Roman"/>
          <w:szCs w:val="22"/>
        </w:rPr>
        <w:t>中蒙俄国际物流通道。发展壮大渝满俄国际铁路班列，加快建设海外集结点、分拨中心，延伸覆盖网络。推动中俄两国铁路建立基于中欧班列的统一标准，提升运输时效。推广关铁通测试等创新项目，提升通关便利化水平。培育发展俄罗斯、白俄罗斯往返邮包运输。探索建设中俄商贸物流合作园区，打造境外集采平台和货物集散中心。推动成渝两地运营平台公司同俄罗斯生产制造企业和产业园区运营方合作，搭建物流、贸易、投资一体化服务平台。</w:t>
      </w:r>
    </w:p>
    <w:p>
      <w:pPr>
        <w:ind w:firstLine="632" w:firstLineChars="200"/>
        <w:rPr>
          <w:rFonts w:hint="eastAsia" w:ascii="Times New Roman" w:hAnsi="Times New Roman"/>
        </w:rPr>
      </w:pPr>
      <w:r>
        <w:rPr>
          <w:rFonts w:hint="eastAsia" w:ascii="Times New Roman" w:hAnsi="Times New Roman"/>
        </w:rPr>
        <w:t>沿江综合立体国际物流大通道。发挥长江黄金水道大运量、低成本优势，提升江海联运、铁水联运水平，全面融入我国向海开放经济体系。加快推动港口岸线整合与重点港口码头集约化运营，联动港口后方产业园区，开展大宗商品和一般进出口商品国际物流组织，培育具有规模增量的物流业务。扩大渝甬等沿江班列开行规模，逐步恢复沪汉渝蓉铁路货运功能，推动实施三峡水运新通道工程，与西部陆海新通道、亚欧国际物流通道形成优势互补，进一步扩大国际物流运作规模，提升通道综合服务能力。密切与长三角地区物流联系，开展产业链深度合作，牵引形成沿江国内国际</w:t>
      </w:r>
      <w:r>
        <w:rPr>
          <w:rFonts w:ascii="Times New Roman" w:hAnsi="Times New Roman"/>
        </w:rPr>
        <w:t>双</w:t>
      </w:r>
      <w:r>
        <w:rPr>
          <w:rFonts w:hint="eastAsia" w:ascii="Times New Roman" w:hAnsi="Times New Roman"/>
        </w:rPr>
        <w:t>循环高效</w:t>
      </w:r>
      <w:r>
        <w:rPr>
          <w:rFonts w:ascii="Times New Roman" w:hAnsi="Times New Roman"/>
        </w:rPr>
        <w:t>链接的</w:t>
      </w:r>
      <w:r>
        <w:rPr>
          <w:rFonts w:hint="eastAsia" w:ascii="Times New Roman" w:hAnsi="Times New Roman"/>
        </w:rPr>
        <w:t>发展格局。</w:t>
      </w:r>
    </w:p>
    <w:p>
      <w:pPr>
        <w:ind w:firstLine="632" w:firstLineChars="200"/>
        <w:rPr>
          <w:rFonts w:hint="eastAsia" w:ascii="Times New Roman" w:hAnsi="Times New Roman"/>
        </w:rPr>
      </w:pPr>
      <w:r>
        <w:rPr>
          <w:rFonts w:hint="eastAsia" w:ascii="Times New Roman" w:hAnsi="Times New Roman"/>
        </w:rPr>
        <w:t>对接粤港澳大湾区的陆空物流大通道。利用重庆笔电等制造业产业基础，发挥粤港澳大湾区电子元器件、集成电路等产业与重庆互补优势，借助粤港澳进出口便利条件，开展制造业供应链合作。通过铁路集装箱班列和航空货运，构建高端零部件和工业品的陆空物流大通道，促进重庆生产制造业迈向全球价值链中高端。</w:t>
      </w:r>
    </w:p>
    <w:p>
      <w:pPr>
        <w:ind w:firstLine="632" w:firstLineChars="200"/>
        <w:rPr>
          <w:rFonts w:hint="eastAsia" w:ascii="Times New Roman" w:hAnsi="Times New Roman"/>
        </w:rPr>
      </w:pPr>
      <w:r>
        <w:rPr>
          <w:rFonts w:hint="eastAsia" w:ascii="Times New Roman" w:hAnsi="Times New Roman"/>
        </w:rPr>
        <w:t>对接京津冀陆空物流大通道。依托丝绸之路经济带和陆海新通道国际物流大通道规模进口的高品质消费品，以及重庆周边生产加工的特色农产品，开行至京津冀地区的铁路班列、冷藏班列和航空包机等，将东南亚、欧洲的高品质消费品与京津冀地区旺盛消费</w:t>
      </w:r>
      <w:r>
        <w:rPr>
          <w:rFonts w:ascii="Times New Roman" w:hAnsi="Times New Roman"/>
        </w:rPr>
        <w:t>内需无缝对接</w:t>
      </w:r>
      <w:r>
        <w:rPr>
          <w:rFonts w:hint="eastAsia" w:ascii="Times New Roman" w:hAnsi="Times New Roman"/>
        </w:rPr>
        <w:t>，进一步提升重庆国际物流组织地位，强化对国内主要经济区的物流辐射能力。</w:t>
      </w:r>
    </w:p>
    <w:p>
      <w:pPr>
        <w:ind w:firstLine="632" w:firstLineChars="200"/>
        <w:rPr>
          <w:rFonts w:ascii="Times New Roman" w:hAnsi="Times New Roman"/>
        </w:rPr>
      </w:pPr>
      <w:r>
        <w:rPr>
          <w:rFonts w:hint="eastAsia" w:ascii="Times New Roman" w:hAnsi="Times New Roman"/>
        </w:rPr>
        <w:t>畅通全球主要地区的航空物流大通道。依托重庆江北国际机场和新机场，完善航线网络战略布局，进一步拓展欧洲、北美、中亚、东南亚、澳洲、东北亚等地区的国际航线，加密既有货运航线航班班次，挖掘客机腹舱带货潜力，优先发展全货机航线，支持国内国际航线“窄改宽”，努力拓展航空中转业务，持续做大航空中转，突出国际化、快线化和精品化。强化重庆新机场货运物流功能，构筑覆盖全球主要航空枢纽的货运网络，为重庆市高端制造、跨境电商等产业扩张提供支撑。</w:t>
      </w:r>
    </w:p>
    <w:p>
      <w:pPr>
        <w:ind w:firstLine="632" w:firstLineChars="200"/>
        <w:rPr>
          <w:rFonts w:ascii="Times New Roman" w:hAnsi="Times New Roman"/>
          <w:sz w:val="28"/>
          <w:szCs w:val="28"/>
        </w:rPr>
      </w:pPr>
      <w:r>
        <w:rPr>
          <w:rFonts w:hint="eastAsia" w:ascii="Times New Roman" w:hAnsi="Times New Roman"/>
        </w:rPr>
        <w:t>推动其他国际物流通道的逐步畅通。依托中欧班列成熟的运作基础，利用中蒙俄国际物流通道、孟中印缅国际物流大通道、中尼印国际物流大通道不断完善的基础设施条件，探索开展国际多式联运运作，形成多元化的国际物流大通道。</w:t>
      </w:r>
    </w:p>
    <w:p>
      <w:pPr>
        <w:jc w:val="center"/>
        <w:pStyle w:val="16"/>
        <w:rPr>
          <w:rFonts w:hint="eastAsia" w:ascii="Times New Roman" w:hAnsi="Times New Roman"/>
          <w:sz w:val="28"/>
          <w:szCs w:val="28"/>
        </w:rPr>
      </w:pPr>
      <w:r>
        <w:drawing>
          <wp:inline distT="0" distB="0" distL="114300" distR="114300">
            <wp:extent cx="5616031" cy="3966133"/>
            <wp:docPr id="10" name="图片 4"/>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xmlns:r="http://schemas.openxmlformats.org/officeDocument/2006/relationships" rotWithShape="1">
                    <a:blip r:embed="rId9"/>
                    <a:stretch>
                      <a:fillRect/>
                    </a:stretch>
                  </pic:blipFill>
                  <pic:spPr bwMode="auto">
                    <a:xfrm>
                      <a:off x="0" y="0"/>
                      <a:ext cx="5616031" cy="3966133"/>
                    </a:xfrm>
                    <a:custGeom>
                      <a:rect l="0" t="0" r="r" b="b"/>
                      <a:pathLst>
                        <a:path w="21600" h="21600" stroke="1" extrusionOk="1">
                          <a:moveTo>
                            <a:pt x="-1" y="-1"/>
                          </a:moveTo>
                          <a:lnTo>
                            <a:pt x="-1" y="21600"/>
                          </a:lnTo>
                          <a:lnTo>
                            <a:pt x="21600" y="21600"/>
                          </a:lnTo>
                          <a:lnTo>
                            <a:pt x="21600" y="-1"/>
                          </a:lnTo>
                          <a:close/>
                        </a:path>
                      </a:pathLst>
                    </a:custGeom>
                  </pic:spPr>
                </pic:pic>
              </a:graphicData>
            </a:graphic>
          </wp:inline>
        </w:drawing>
      </w:r>
    </w:p>
    <w:p>
      <w:pPr>
        <w:ind w:firstLine="552"/>
        <w:jc w:val="center"/>
        <w:rPr>
          <w:rFonts w:hint="eastAsia" w:ascii="Times New Roman" w:hAnsi="Times New Roman"/>
        </w:rPr>
      </w:pPr>
      <w:r>
        <w:rPr>
          <w:rFonts w:hint="eastAsia" w:ascii="Times New Roman" w:hAnsi="Times New Roman" w:eastAsia="方正黑体_GBK"/>
          <w:sz w:val="28"/>
          <w:szCs w:val="28"/>
        </w:rPr>
        <w:t>图4-1</w:t>
      </w:r>
      <w:r>
        <w:rPr>
          <w:rFonts w:ascii="Times New Roman" w:hAnsi="Times New Roman"/>
          <w:sz w:val="28"/>
          <w:szCs w:val="28"/>
        </w:rPr>
        <w:t xml:space="preserve">  </w:t>
      </w:r>
      <w:r>
        <w:rPr>
          <w:rFonts w:hint="eastAsia" w:ascii="Times New Roman" w:hAnsi="Times New Roman" w:eastAsia="方正黑体_GBK"/>
          <w:sz w:val="28"/>
          <w:szCs w:val="28"/>
        </w:rPr>
        <w:t>重庆对外辐射物流通道示意图</w:t>
      </w:r>
    </w:p>
    <w:p>
      <w:pPr>
        <w:ind w:firstLine="632" w:firstLineChars="200"/>
        <w:outlineLvl w:val="1"/>
        <w:rPr>
          <w:rFonts w:hint="eastAsia" w:ascii="Times New Roman" w:hAnsi="Times New Roman" w:eastAsia="方正楷体_GBK"/>
        </w:rPr>
      </w:pPr>
      <w:bookmarkStart w:id="77" w:name="_Toc29432"/>
      <w:bookmarkStart w:id="78" w:name="_Toc29382"/>
      <w:bookmarkStart w:id="79" w:name="_Toc61863748"/>
      <w:bookmarkStart w:id="80" w:name="_Toc61"/>
      <w:bookmarkStart w:id="81" w:name="_Toc24647"/>
      <w:r>
        <w:rPr>
          <w:rFonts w:hint="eastAsia" w:ascii="Times New Roman" w:hAnsi="Times New Roman" w:eastAsia="方正楷体_GBK"/>
        </w:rPr>
        <w:t>（二）提高通道组织服务水平</w:t>
      </w:r>
      <w:bookmarkEnd w:id="77"/>
      <w:bookmarkEnd w:id="78"/>
      <w:bookmarkEnd w:id="79"/>
      <w:bookmarkEnd w:id="80"/>
      <w:bookmarkEnd w:id="81"/>
    </w:p>
    <w:p>
      <w:pPr>
        <w:ind w:firstLine="632" w:firstLineChars="200"/>
        <w:rPr>
          <w:rFonts w:hint="eastAsia" w:ascii="Times New Roman" w:hAnsi="Times New Roman"/>
        </w:rPr>
      </w:pPr>
      <w:r>
        <w:rPr>
          <w:rFonts w:hint="eastAsia" w:ascii="Times New Roman" w:hAnsi="Times New Roman"/>
        </w:rPr>
        <w:t>加快发展铁路直达班列运输。以铁路运输为核心，强化与通道上跨省的多节点串接，组织各枢纽节点运营主体，集中开展与中国国家铁路集团有限公司的服务需求对接，优先推进适应现代产业组织的高质量铁路班列发展，加快推进货运列车的客运班车化开行和高铁货运，提高铁路干线运输服务水平。通过打造适应、引领需求的铁路通道新服务供给体系，吸引潜在中长距离物流需求，提高铁路通道运输分担率。</w:t>
      </w:r>
    </w:p>
    <w:p>
      <w:pPr>
        <w:ind w:firstLine="632" w:firstLineChars="200"/>
        <w:rPr>
          <w:rFonts w:hint="eastAsia" w:ascii="Times New Roman" w:hAnsi="Times New Roman"/>
        </w:rPr>
      </w:pPr>
      <w:r>
        <w:rPr>
          <w:rFonts w:hint="eastAsia" w:ascii="Times New Roman" w:hAnsi="Times New Roman"/>
        </w:rPr>
        <w:t>深入推进国际铁海联运。强化铁路班列运行与北部湾、长三角、珠三角等沿海区域重要港口的国际班轮船期有效对接，推动通关一体化，依托北部湾、湛江、洋浦等港口以及后方物流枢纽设施，提高铁海联运服务水平。</w:t>
      </w:r>
    </w:p>
    <w:p>
      <w:pPr>
        <w:ind w:firstLine="632" w:firstLineChars="200"/>
        <w:rPr>
          <w:rFonts w:hint="eastAsia" w:ascii="Times New Roman" w:hAnsi="Times New Roman"/>
        </w:rPr>
      </w:pPr>
      <w:r>
        <w:rPr>
          <w:rFonts w:hint="eastAsia" w:ascii="Times New Roman" w:hAnsi="Times New Roman"/>
        </w:rPr>
        <w:t>推动发展国际铁路联运与公铁联运。发展中南半岛方向国际铁路班列服务，加强与凭祥陆上边境口岸物流枢纽联动，积极推进两地海关联动，加快通关速度，提高国际铁路联运服务水平。依托边境口岸，提高</w:t>
      </w:r>
      <w:r>
        <w:rPr>
          <w:rFonts w:ascii="Times New Roman" w:hAnsi="Times New Roman"/>
        </w:rPr>
        <w:t>换装效率，</w:t>
      </w:r>
      <w:r>
        <w:rPr>
          <w:rFonts w:hint="eastAsia" w:ascii="Times New Roman" w:hAnsi="Times New Roman"/>
        </w:rPr>
        <w:t>积极发展国际公铁联运。在现有跨境公路班车基础上，进一步针对特定商品谋划班线</w:t>
      </w:r>
      <w:r>
        <w:rPr>
          <w:rFonts w:ascii="Times New Roman" w:hAnsi="Times New Roman"/>
        </w:rPr>
        <w:t>班次</w:t>
      </w:r>
      <w:r>
        <w:rPr>
          <w:rFonts w:hint="eastAsia" w:ascii="Times New Roman" w:hAnsi="Times New Roman"/>
        </w:rPr>
        <w:t>加密与服务提质，推动集装箱进出境一次性备案，合作</w:t>
      </w:r>
      <w:r>
        <w:rPr>
          <w:rFonts w:ascii="Times New Roman" w:hAnsi="Times New Roman"/>
        </w:rPr>
        <w:t>探索</w:t>
      </w:r>
      <w:r>
        <w:rPr>
          <w:rFonts w:hint="eastAsia" w:ascii="Times New Roman" w:hAnsi="Times New Roman"/>
        </w:rPr>
        <w:t>重庆至东南亚地区跨境公路直通。</w:t>
      </w:r>
    </w:p>
    <w:p>
      <w:pPr>
        <w:ind w:firstLine="632" w:firstLineChars="200"/>
        <w:rPr>
          <w:rFonts w:hint="eastAsia" w:ascii="Times New Roman" w:hAnsi="Times New Roman"/>
        </w:rPr>
      </w:pPr>
      <w:r>
        <w:rPr>
          <w:rFonts w:hint="eastAsia" w:ascii="Times New Roman" w:hAnsi="Times New Roman"/>
        </w:rPr>
        <w:t>提高航运干支线集成能力。坚持大船配大线，对接重庆至长江下游大型集装箱船干线班轮、大型干散货船，拓展延伸主要支流航道，发展至上游宜宾、泸州以及乌江、嘉陵江等通航支流上各港口的集装箱、干散货航运支线，加强干支线班期对接、港口作业衔接，形成整体服务系统，打造水水中转枢纽。充分挖掘长江重庆库区段深水航运功能，培育强大库区内循环物流服务系统，引导化工、钢铁等大宗运输需求强度高的产业依托</w:t>
      </w:r>
      <w:r>
        <w:rPr>
          <w:rFonts w:ascii="Times New Roman" w:hAnsi="Times New Roman"/>
        </w:rPr>
        <w:t>库区</w:t>
      </w:r>
      <w:r>
        <w:rPr>
          <w:rFonts w:hint="eastAsia" w:ascii="Times New Roman" w:hAnsi="Times New Roman"/>
        </w:rPr>
        <w:t>形成产业集群和产业链发展格局。</w:t>
      </w:r>
    </w:p>
    <w:p>
      <w:pPr>
        <w:ind w:firstLine="632" w:firstLineChars="200"/>
        <w:rPr>
          <w:rFonts w:ascii="Times New Roman" w:hAnsi="Times New Roman"/>
        </w:rPr>
      </w:pPr>
      <w:r>
        <w:rPr>
          <w:rFonts w:hint="eastAsia" w:ascii="Times New Roman" w:hAnsi="Times New Roman"/>
        </w:rPr>
        <w:t>提升航空通道组织能力。以重庆空港型国家物流枢纽建设为契机，加大网络</w:t>
      </w:r>
      <w:r>
        <w:rPr>
          <w:rFonts w:ascii="Times New Roman" w:hAnsi="Times New Roman"/>
        </w:rPr>
        <w:t>化</w:t>
      </w:r>
      <w:r>
        <w:rPr>
          <w:rFonts w:hint="eastAsia" w:ascii="Times New Roman" w:hAnsi="Times New Roman"/>
        </w:rPr>
        <w:t>航空物流企业引进和培育，支持企业在重庆设立区域航空运输组织节点，融入全国、</w:t>
      </w:r>
      <w:r>
        <w:rPr>
          <w:rFonts w:ascii="Times New Roman" w:hAnsi="Times New Roman"/>
        </w:rPr>
        <w:t>全球</w:t>
      </w:r>
      <w:r>
        <w:rPr>
          <w:rFonts w:hint="eastAsia" w:ascii="Times New Roman" w:hAnsi="Times New Roman"/>
        </w:rPr>
        <w:t>航空货运网络。扩大国际、国内通航城市数量，大力拓展洲际航线，扩大第五航权对等开放，构建覆盖全球的航空枢纽网络。发挥高品质航空干线的牵引功能，加强国内支线与国际干线物流运作协同，提升中转航空货运组织能力与比例。深化中新民航合作，利用新加坡发达的国际航线网络，促进两个国际枢纽机场与世界的互联互通。</w:t>
      </w:r>
      <w:r>
        <w:rPr>
          <w:color w:val="000000"/>
          <w:rFonts w:hint="eastAsia" w:ascii="Times New Roman" w:hAnsi="Times New Roman"/>
          <w:szCs w:val="32"/>
        </w:rPr>
        <w:t>积极构建“枢纽+支线”民用机场布局体系，培育发展“运输+通用”机场运营组织模式。</w:t>
      </w:r>
      <w:r>
        <w:rPr>
          <w:rFonts w:hint="eastAsia" w:ascii="Times New Roman" w:hAnsi="Times New Roman"/>
        </w:rPr>
        <w:t>增强全货机对骨干网络的支撑，用好客机腹舱运力资源，积极建设国际航空货运大通道。</w:t>
      </w:r>
    </w:p>
    <w:p>
      <w:pPr>
        <w:ind w:firstLine="632" w:firstLineChars="200"/>
        <w:outlineLvl w:val="1"/>
        <w:rPr>
          <w:rFonts w:hint="eastAsia" w:ascii="Times New Roman" w:hAnsi="Times New Roman" w:eastAsia="方正楷体_GBK"/>
        </w:rPr>
      </w:pPr>
      <w:bookmarkStart w:id="82" w:name="_Toc22172"/>
      <w:bookmarkStart w:id="83" w:name="_Toc10848"/>
      <w:bookmarkStart w:id="84" w:name="_Toc20871"/>
      <w:bookmarkStart w:id="85" w:name="_Toc61863749"/>
      <w:r>
        <w:rPr>
          <w:rFonts w:hint="eastAsia" w:ascii="Times New Roman" w:hAnsi="Times New Roman" w:eastAsia="方正楷体_GBK"/>
        </w:rPr>
        <w:t>（三）完善提升口岸服务功能</w:t>
      </w:r>
      <w:bookmarkEnd w:id="82"/>
      <w:bookmarkEnd w:id="83"/>
      <w:bookmarkEnd w:id="84"/>
      <w:bookmarkEnd w:id="85"/>
    </w:p>
    <w:p>
      <w:pPr>
        <w:ind w:firstLine="632" w:firstLineChars="200"/>
        <w:rPr>
          <w:rFonts w:hint="eastAsia" w:ascii="Times New Roman" w:hAnsi="Times New Roman"/>
        </w:rPr>
      </w:pPr>
      <w:r>
        <w:rPr>
          <w:rFonts w:hint="eastAsia" w:ascii="Times New Roman" w:hAnsi="Times New Roman"/>
        </w:rPr>
        <w:t>完善口岸等国际物流基础设施。优化口岸开放布局，有序推进口岸开放，围绕</w:t>
      </w:r>
      <w:r>
        <w:rPr>
          <w:rFonts w:ascii="Times New Roman" w:hAnsi="Times New Roman"/>
        </w:rPr>
        <w:t>中国</w:t>
      </w:r>
      <w:r>
        <w:rPr>
          <w:rFonts w:hint="eastAsia" w:ascii="Times New Roman" w:hAnsi="Times New Roman"/>
        </w:rPr>
        <w:t>（</w:t>
      </w:r>
      <w:r>
        <w:rPr>
          <w:rFonts w:ascii="Times New Roman" w:hAnsi="Times New Roman"/>
        </w:rPr>
        <w:t>重庆</w:t>
      </w:r>
      <w:r>
        <w:rPr>
          <w:rFonts w:hint="eastAsia" w:ascii="Times New Roman" w:hAnsi="Times New Roman"/>
        </w:rPr>
        <w:t>）自由贸易试验区、综合保税区、保税物流中心和海关指定监管场地</w:t>
      </w:r>
      <w:r>
        <w:rPr>
          <w:rFonts w:ascii="Times New Roman" w:hAnsi="Times New Roman"/>
        </w:rPr>
        <w:t>，</w:t>
      </w:r>
      <w:r>
        <w:rPr>
          <w:rFonts w:hint="eastAsia" w:ascii="Times New Roman" w:hAnsi="Times New Roman"/>
        </w:rPr>
        <w:t>完善多层次国际物流基础设施服务体系，打造对外开放平台体系。统筹市域范围内国际进出口、保税、海关指定监管场地等功能，实现一体化管理，</w:t>
      </w:r>
      <w:r>
        <w:rPr>
          <w:rFonts w:hint="eastAsia" w:ascii="Times New Roman" w:hAnsi="Times New Roman"/>
          <w:szCs w:val="32"/>
        </w:rPr>
        <w:t>在全市开放口岸积极申报设立进境肉类、冰鲜水产品、粮食、水果、食用水生动物、植物种苗等海关指定监管场地</w:t>
      </w:r>
      <w:r>
        <w:rPr>
          <w:rFonts w:hint="eastAsia" w:ascii="Times New Roman" w:hAnsi="Times New Roman"/>
        </w:rPr>
        <w:t>，满足外向型产业转型升级和</w:t>
      </w:r>
      <w:r>
        <w:rPr>
          <w:rFonts w:ascii="Times New Roman" w:hAnsi="Times New Roman"/>
        </w:rPr>
        <w:t>内需市场扩张升级对</w:t>
      </w:r>
      <w:r>
        <w:rPr>
          <w:rFonts w:hint="eastAsia" w:ascii="Times New Roman" w:hAnsi="Times New Roman"/>
        </w:rPr>
        <w:t>进口消费品的</w:t>
      </w:r>
      <w:r>
        <w:rPr>
          <w:rFonts w:ascii="Times New Roman" w:hAnsi="Times New Roman"/>
        </w:rPr>
        <w:t>需求</w:t>
      </w:r>
      <w:r>
        <w:rPr>
          <w:rFonts w:hint="eastAsia" w:ascii="Times New Roman" w:hAnsi="Times New Roman"/>
        </w:rPr>
        <w:t>。</w:t>
      </w:r>
    </w:p>
    <w:p>
      <w:pPr>
        <w:ind w:firstLine="632" w:firstLineChars="200"/>
        <w:rPr>
          <w:rFonts w:hint="eastAsia" w:ascii="Times New Roman" w:hAnsi="Times New Roman"/>
        </w:rPr>
      </w:pPr>
      <w:r>
        <w:rPr>
          <w:rFonts w:hint="eastAsia" w:ascii="Times New Roman" w:hAnsi="Times New Roman"/>
        </w:rPr>
        <w:t>提升口岸开放水平。积极争取重庆铁路口岸正式开放，推动江津珞璜港、涪陵龙头港、万州新田港等加快申建水运口岸，提高重庆开放型经济承载力。强化口岸资源整合、功能互补和业务协同，高效对接新加坡、丝绸之路经济带沿线国际陆海空口岸资源，优化口岸通关、转关服务，拓展国际物流网络与</w:t>
      </w:r>
      <w:r>
        <w:rPr>
          <w:rFonts w:ascii="Times New Roman" w:hAnsi="Times New Roman"/>
        </w:rPr>
        <w:t>市场</w:t>
      </w:r>
      <w:r>
        <w:rPr>
          <w:rFonts w:hint="eastAsia" w:ascii="Times New Roman" w:hAnsi="Times New Roman"/>
        </w:rPr>
        <w:t>空间，推动口岸经济发展，支撑重庆对外开放新高地建设，加快重庆融入双循环新发展格局。</w:t>
      </w:r>
    </w:p>
    <w:p>
      <w:pPr>
        <w:ind w:firstLine="632" w:firstLineChars="200"/>
        <w:outlineLvl w:val="1"/>
        <w:rPr>
          <w:rFonts w:hint="eastAsia" w:ascii="Times New Roman" w:hAnsi="Times New Roman" w:eastAsia="方正楷体_GBK"/>
        </w:rPr>
      </w:pPr>
      <w:bookmarkStart w:id="86" w:name="_Toc3710"/>
      <w:bookmarkStart w:id="87" w:name="_Toc6447"/>
      <w:bookmarkStart w:id="88" w:name="_Toc61863750"/>
      <w:bookmarkStart w:id="89" w:name="_Toc564"/>
      <w:bookmarkStart w:id="90" w:name="_Toc16793"/>
      <w:r>
        <w:rPr>
          <w:rFonts w:hint="eastAsia" w:ascii="Times New Roman" w:hAnsi="Times New Roman" w:eastAsia="方正楷体_GBK"/>
        </w:rPr>
        <w:t>（四）优化区际交通物流网络</w:t>
      </w:r>
      <w:bookmarkEnd w:id="86"/>
      <w:bookmarkEnd w:id="87"/>
      <w:bookmarkEnd w:id="88"/>
      <w:bookmarkEnd w:id="89"/>
      <w:bookmarkEnd w:id="90"/>
    </w:p>
    <w:p>
      <w:pPr>
        <w:ind w:firstLine="632" w:firstLineChars="200"/>
        <w:rPr>
          <w:rFonts w:hint="eastAsia" w:ascii="Times New Roman" w:hAnsi="Times New Roman"/>
        </w:rPr>
      </w:pPr>
      <w:r>
        <w:rPr>
          <w:rFonts w:hint="eastAsia" w:ascii="Times New Roman" w:hAnsi="Times New Roman"/>
        </w:rPr>
        <w:t>加快建设城市群铁路货运网络。完善小南垭和鱼嘴铁路货运站服务功能，大力发展国际铁海联运、国际铁路联运，构建面向“一带一路”、长江经济带、西部陆海新通道的铁路货运主通道，支撑内陆国际物流枢纽和口岸高地建设。统筹谋划化工等产业集聚区和布局拓展区专用铁路货运网络建设，密切产区、港区联系，构建支撑产业布局的铁水货运网络系统。探索推动重庆东、重庆西、重庆北等动车所（存车场）、江津小南垭站等开展高铁快运（货运）业务。在江津珞璜预留重庆铁路枢纽辅助编组站、集装箱节点站布局条件。</w:t>
      </w:r>
    </w:p>
    <w:p>
      <w:pPr>
        <w:ind w:firstLine="632" w:firstLineChars="200"/>
        <w:rPr>
          <w:rFonts w:hint="eastAsia" w:ascii="Times New Roman" w:hAnsi="Times New Roman"/>
        </w:rPr>
      </w:pPr>
      <w:r>
        <w:rPr>
          <w:rFonts w:hint="eastAsia" w:ascii="Times New Roman" w:hAnsi="Times New Roman"/>
        </w:rPr>
        <w:t>完善市域快速分拨配送公路网。加快建设中心城区至武隆、江北至巴南等高速公路，构建互通性强的市域高速公路网，升级改造普通国省道，完善非收费等级公路网络，依托国家物流枢纽开展面向全市的区域分拨和配送服务。</w:t>
      </w:r>
    </w:p>
    <w:p>
      <w:pPr>
        <w:ind w:firstLine="632" w:firstLineChars="200"/>
        <w:rPr>
          <w:rFonts w:hint="eastAsia" w:ascii="Times New Roman" w:hAnsi="Times New Roman"/>
        </w:rPr>
      </w:pPr>
      <w:r>
        <w:rPr>
          <w:rFonts w:hint="eastAsia" w:ascii="Times New Roman" w:hAnsi="Times New Roman"/>
        </w:rPr>
        <w:t>促进港口物流集约化发展。围绕中心城区、万州、涪陵、永川、江津、长寿、丰都、忠县、奉节、合川、武隆等港区，采取“龙头企业主导、分段分类整合、强化资源集约和网络辐射能力”原则，对重庆沿线港口资源进行整合，形成发展合力，提升航运综合竞争力。</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50"/>
      </w:tblGrid>
      <w:tr>
        <w:tc>
          <w:tcPr>
            <w:tcW w:w="8850"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ascii="Times New Roman" w:hAnsi="Times New Roman" w:eastAsia="黑体"/>
                <w:sz w:val="24"/>
                <w:szCs w:val="24"/>
              </w:rPr>
              <w:t>2</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物流通道畅通重点工程</w:t>
            </w:r>
          </w:p>
        </w:tc>
      </w:tr>
      <w:tr>
        <w:tc>
          <w:tcPr>
            <w:tcW w:w="8850" w:type="dxa"/>
          </w:tcPr>
          <w:p>
            <w:pPr>
              <w:ind w:firstLine="480"/>
              <w:rPr>
                <w:b w:val="1"/>
                <w:kern w:val="0"/>
                <w:rFonts w:ascii="Times New Roman" w:hAnsi="Times New Roman"/>
                <w:sz w:val="24"/>
                <w:szCs w:val="24"/>
              </w:rPr>
            </w:pPr>
            <w:r>
              <w:rPr>
                <w:b w:val="1"/>
                <w:kern w:val="0"/>
                <w:rFonts w:hint="eastAsia" w:ascii="Times New Roman" w:hAnsi="Times New Roman"/>
                <w:sz w:val="24"/>
                <w:szCs w:val="24"/>
              </w:rPr>
              <w:t>（一）港口和航道建设</w:t>
            </w:r>
          </w:p>
          <w:p>
            <w:pPr>
              <w:ind w:firstLine="480"/>
              <w:rPr>
                <w:kern w:val="0"/>
                <w:rFonts w:ascii="Times New Roman" w:hAnsi="Times New Roman"/>
                <w:sz w:val="24"/>
                <w:szCs w:val="24"/>
              </w:rPr>
            </w:pPr>
            <w:r>
              <w:rPr>
                <w:kern w:val="0"/>
                <w:rFonts w:hint="eastAsia" w:ascii="Times New Roman" w:hAnsi="Times New Roman"/>
                <w:sz w:val="24"/>
                <w:szCs w:val="24"/>
              </w:rPr>
              <w:t>加快中心城区、万州、涪陵、永川、江津、长寿、丰都、忠县、奉节、合川、武隆等港区建设；推进长江、嘉陵江和乌江高等级航道，渠江、涪江等航道建设；</w:t>
            </w:r>
            <w:r>
              <w:rPr>
                <w:kern w:val="0"/>
                <w:rFonts w:ascii="Times New Roman" w:hAnsi="Times New Roman"/>
                <w:sz w:val="24"/>
                <w:szCs w:val="24"/>
              </w:rPr>
              <w:t>提升果园、珞璜、万州等港口“</w:t>
            </w:r>
            <w:r>
              <w:rPr>
                <w:kern w:val="0"/>
                <w:rFonts w:hint="eastAsia" w:ascii="Times New Roman" w:hAnsi="Times New Roman"/>
                <w:sz w:val="24"/>
                <w:szCs w:val="24"/>
              </w:rPr>
              <w:t>陕煤入渝</w:t>
            </w:r>
            <w:r>
              <w:rPr>
                <w:kern w:val="0"/>
                <w:rFonts w:ascii="Times New Roman" w:hAnsi="Times New Roman"/>
                <w:sz w:val="24"/>
                <w:szCs w:val="24"/>
              </w:rPr>
              <w:t>”</w:t>
            </w:r>
            <w:r>
              <w:rPr>
                <w:kern w:val="0"/>
                <w:rFonts w:hint="eastAsia" w:ascii="Times New Roman" w:hAnsi="Times New Roman"/>
                <w:sz w:val="24"/>
                <w:szCs w:val="24"/>
              </w:rPr>
              <w:t>码头</w:t>
            </w:r>
            <w:r>
              <w:rPr>
                <w:kern w:val="0"/>
                <w:rFonts w:ascii="Times New Roman" w:hAnsi="Times New Roman"/>
                <w:sz w:val="24"/>
                <w:szCs w:val="24"/>
              </w:rPr>
              <w:t>接卸与</w:t>
            </w:r>
            <w:r>
              <w:rPr>
                <w:kern w:val="0"/>
                <w:rFonts w:hint="eastAsia" w:ascii="Times New Roman" w:hAnsi="Times New Roman"/>
                <w:sz w:val="24"/>
                <w:szCs w:val="24"/>
              </w:rPr>
              <w:t>集疏运</w:t>
            </w:r>
            <w:r>
              <w:rPr>
                <w:kern w:val="0"/>
                <w:rFonts w:ascii="Times New Roman" w:hAnsi="Times New Roman"/>
                <w:sz w:val="24"/>
                <w:szCs w:val="24"/>
              </w:rPr>
              <w:t>通道能力</w:t>
            </w:r>
            <w:r>
              <w:rPr>
                <w:kern w:val="0"/>
                <w:rFonts w:hint="eastAsia" w:ascii="Times New Roman" w:hAnsi="Times New Roman"/>
                <w:sz w:val="24"/>
                <w:szCs w:val="24"/>
              </w:rPr>
              <w:t>。</w:t>
            </w:r>
          </w:p>
          <w:p>
            <w:pPr>
              <w:ind w:firstLine="480"/>
              <w:rPr>
                <w:b w:val="1"/>
                <w:kern w:val="0"/>
                <w:rFonts w:ascii="Times New Roman" w:hAnsi="Times New Roman"/>
                <w:sz w:val="24"/>
                <w:szCs w:val="24"/>
              </w:rPr>
            </w:pPr>
            <w:r>
              <w:rPr>
                <w:b w:val="1"/>
                <w:kern w:val="0"/>
                <w:rFonts w:hint="eastAsia" w:ascii="Times New Roman" w:hAnsi="Times New Roman"/>
                <w:sz w:val="24"/>
                <w:szCs w:val="24"/>
              </w:rPr>
              <w:t>（二）铁路和货运站建设</w:t>
            </w:r>
          </w:p>
          <w:p>
            <w:pPr>
              <w:ind w:firstLine="480"/>
              <w:rPr>
                <w:kern w:val="0"/>
                <w:rFonts w:ascii="Times New Roman" w:hAnsi="Times New Roman"/>
                <w:sz w:val="24"/>
                <w:szCs w:val="24"/>
              </w:rPr>
            </w:pPr>
            <w:r>
              <w:rPr>
                <w:color w:val="000000"/>
                <w:rFonts w:hint="eastAsia" w:ascii="Times New Roman" w:hAnsi="Times New Roman"/>
                <w:sz w:val="24"/>
                <w:szCs w:val="24"/>
              </w:rPr>
              <w:t>规划建设沿江、涪柳、渝昆、渝安（康）、黔（江）忠（县）广（安）等以货运功能为主的铁路</w:t>
            </w:r>
            <w:r>
              <w:rPr>
                <w:kern w:val="0"/>
                <w:rFonts w:hint="eastAsia" w:ascii="Times New Roman" w:hAnsi="Times New Roman"/>
                <w:sz w:val="24"/>
                <w:szCs w:val="24"/>
              </w:rPr>
              <w:t>；实施</w:t>
            </w:r>
            <w:r>
              <w:rPr>
                <w:kern w:val="0"/>
                <w:rFonts w:ascii="Times New Roman" w:hAnsi="Times New Roman"/>
                <w:sz w:val="24"/>
                <w:szCs w:val="24"/>
              </w:rPr>
              <w:t>川黔</w:t>
            </w:r>
            <w:r>
              <w:rPr>
                <w:kern w:val="0"/>
                <w:rFonts w:hint="eastAsia" w:ascii="Times New Roman" w:hAnsi="Times New Roman"/>
                <w:sz w:val="24"/>
                <w:szCs w:val="24"/>
              </w:rPr>
              <w:t>和</w:t>
            </w:r>
            <w:r>
              <w:rPr>
                <w:kern w:val="0"/>
                <w:rFonts w:ascii="Times New Roman" w:hAnsi="Times New Roman"/>
                <w:sz w:val="24"/>
                <w:szCs w:val="24"/>
              </w:rPr>
              <w:t>达</w:t>
            </w:r>
            <w:r>
              <w:rPr>
                <w:kern w:val="0"/>
                <w:rFonts w:hint="eastAsia" w:ascii="Times New Roman" w:hAnsi="Times New Roman"/>
                <w:sz w:val="24"/>
                <w:szCs w:val="24"/>
              </w:rPr>
              <w:t>万</w:t>
            </w:r>
            <w:r>
              <w:rPr>
                <w:kern w:val="0"/>
                <w:rFonts w:ascii="Times New Roman" w:hAnsi="Times New Roman"/>
                <w:sz w:val="24"/>
                <w:szCs w:val="24"/>
              </w:rPr>
              <w:t>利铁路改造；</w:t>
            </w:r>
            <w:r>
              <w:rPr>
                <w:kern w:val="0"/>
                <w:rFonts w:hint="eastAsia" w:ascii="Times New Roman" w:hAnsi="Times New Roman"/>
                <w:sz w:val="24"/>
                <w:szCs w:val="24"/>
              </w:rPr>
              <w:t>规划建设11条约1109公里都市快线（市域铁路）网；</w:t>
            </w:r>
            <w:r>
              <w:rPr>
                <w:color w:val="000000"/>
                <w:rFonts w:hint="eastAsia" w:ascii="Times New Roman" w:hAnsi="Times New Roman"/>
                <w:sz w:val="24"/>
                <w:szCs w:val="24"/>
              </w:rPr>
              <w:t>规划建设重庆-桂林</w:t>
            </w:r>
            <w:r>
              <w:rPr>
                <w:color w:val="000000"/>
                <w:rFonts w:ascii="Times New Roman" w:hAnsi="Times New Roman"/>
                <w:sz w:val="24"/>
                <w:szCs w:val="24"/>
              </w:rPr>
              <w:t>-</w:t>
            </w:r>
            <w:r>
              <w:rPr>
                <w:color w:val="000000"/>
                <w:rFonts w:hint="eastAsia" w:ascii="Times New Roman" w:hAnsi="Times New Roman"/>
                <w:sz w:val="24"/>
                <w:szCs w:val="24"/>
              </w:rPr>
              <w:t>广州、万州-黔江、涪陵-武隆（渝湘高铁支线）等高铁</w:t>
            </w:r>
            <w:r>
              <w:rPr>
                <w:kern w:val="0"/>
                <w:rFonts w:hint="eastAsia" w:ascii="Times New Roman" w:hAnsi="Times New Roman"/>
                <w:sz w:val="24"/>
                <w:szCs w:val="24"/>
              </w:rPr>
              <w:t>，以及重庆至自贡、广安、铜仁、毕节等城际铁路，释放沿线普通铁路货运能力；新增枢纽东环线广阳（东港）区段站，木耳、龙盛、东港、南彭等货运站。</w:t>
            </w:r>
          </w:p>
          <w:p>
            <w:pPr>
              <w:ind w:firstLine="480"/>
              <w:rPr>
                <w:b w:val="1"/>
                <w:kern w:val="0"/>
                <w:rFonts w:ascii="Times New Roman" w:hAnsi="Times New Roman"/>
                <w:sz w:val="24"/>
                <w:szCs w:val="24"/>
              </w:rPr>
            </w:pPr>
            <w:r>
              <w:rPr>
                <w:b w:val="1"/>
                <w:kern w:val="0"/>
                <w:rFonts w:hint="eastAsia" w:ascii="Times New Roman" w:hAnsi="Times New Roman"/>
                <w:sz w:val="24"/>
                <w:szCs w:val="24"/>
              </w:rPr>
              <w:t>（三）公路建设</w:t>
            </w:r>
          </w:p>
          <w:p>
            <w:pPr>
              <w:ind w:firstLine="480"/>
              <w:rPr>
                <w:kern w:val="0"/>
                <w:rFonts w:ascii="Times New Roman" w:hAnsi="Times New Roman"/>
                <w:sz w:val="24"/>
                <w:szCs w:val="24"/>
              </w:rPr>
            </w:pPr>
            <w:r>
              <w:rPr>
                <w:color w:val="000000"/>
                <w:kern w:val="0"/>
                <w:rFonts w:ascii="Times New Roman" w:hAnsi="Times New Roman"/>
                <w:sz w:val="24"/>
                <w:szCs w:val="24"/>
              </w:rPr>
              <w:t>规划建设奉节至建始、合川至璧山至江津、合川至安岳、江口至龙缸、巫溪至开州、江津至泸州北线、渝武高速扩能、铜梁至安岳、重庆至四川赤水至贵州叙永、</w:t>
            </w:r>
            <w:r>
              <w:rPr>
                <w:color w:val="000000"/>
                <w:kern w:val="0"/>
                <w:rFonts w:hint="eastAsia" w:ascii="Times New Roman" w:hAnsi="Times New Roman"/>
                <w:sz w:val="24"/>
                <w:szCs w:val="24"/>
              </w:rPr>
              <w:t>两江新区</w:t>
            </w:r>
            <w:r>
              <w:rPr>
                <w:color w:val="000000"/>
                <w:kern w:val="0"/>
                <w:rFonts w:ascii="Times New Roman" w:hAnsi="Times New Roman"/>
                <w:sz w:val="24"/>
                <w:szCs w:val="24"/>
              </w:rPr>
              <w:t>至武隆、永川至璧山、永川至江津、沿江高速北线、沿江高速南线、大足至永川、渝北至邻水、安稳至习水、大竹至垫江至丰都至武隆、开州至梁平等高速公路；加快梁平至石柱西沱、开州至宣汉、城口至万源、城口至宣汉、巫山至官渡、合川至武胜、黔江至务川、黔江至利川、酉阳至永顺、秀山至来凤等高速公路建设</w:t>
            </w:r>
            <w:r>
              <w:rPr>
                <w:kern w:val="0"/>
                <w:rFonts w:ascii="Times New Roman" w:hAnsi="Times New Roman"/>
                <w:sz w:val="24"/>
                <w:szCs w:val="24"/>
              </w:rPr>
              <w:t>。</w:t>
            </w:r>
          </w:p>
          <w:p>
            <w:pPr>
              <w:ind w:firstLine="480"/>
              <w:rPr>
                <w:b w:val="1"/>
                <w:kern w:val="0"/>
                <w:rFonts w:ascii="Times New Roman" w:hAnsi="Times New Roman"/>
                <w:sz w:val="24"/>
                <w:szCs w:val="24"/>
              </w:rPr>
            </w:pPr>
            <w:r>
              <w:rPr>
                <w:b w:val="1"/>
                <w:kern w:val="0"/>
                <w:rFonts w:hint="eastAsia" w:ascii="Times New Roman" w:hAnsi="Times New Roman"/>
                <w:sz w:val="24"/>
                <w:szCs w:val="24"/>
              </w:rPr>
              <w:t>（四）民航机场建设</w:t>
            </w:r>
          </w:p>
          <w:p>
            <w:pPr>
              <w:ind w:firstLine="480"/>
              <w:rPr>
                <w:kern w:val="0"/>
                <w:rFonts w:ascii="Times New Roman" w:hAnsi="Times New Roman" w:eastAsia="宋体"/>
                <w:sz w:val="24"/>
                <w:szCs w:val="24"/>
              </w:rPr>
            </w:pPr>
            <w:r>
              <w:rPr>
                <w:color w:val="000000"/>
                <w:kern w:val="0"/>
                <w:rFonts w:ascii="Times New Roman" w:hAnsi="Times New Roman"/>
                <w:sz w:val="24"/>
                <w:szCs w:val="24"/>
              </w:rPr>
              <w:t>加快推进江北国际机场T3B航站楼及第四跑道工程，完善枢纽工程；推动万州五桥</w:t>
            </w:r>
            <w:r>
              <w:rPr>
                <w:color w:val="000000"/>
                <w:kern w:val="0"/>
                <w:rFonts w:hint="eastAsia" w:ascii="Times New Roman" w:hAnsi="Times New Roman"/>
                <w:sz w:val="24"/>
                <w:szCs w:val="24"/>
              </w:rPr>
              <w:t>机场改扩建</w:t>
            </w:r>
            <w:r>
              <w:rPr>
                <w:color w:val="000000"/>
                <w:kern w:val="0"/>
                <w:rFonts w:ascii="Times New Roman" w:hAnsi="Times New Roman"/>
                <w:sz w:val="24"/>
                <w:szCs w:val="24"/>
              </w:rPr>
              <w:t>；扩建黔江武陵山机场，完善巫山机场、武隆仙女山机场配套设施，研究新增万盛、城口等支线机场布点；统筹规划建设</w:t>
            </w:r>
            <w:r>
              <w:rPr>
                <w:color w:val="000000"/>
                <w:kern w:val="0"/>
                <w:rFonts w:hint="eastAsia" w:ascii="Times New Roman" w:hAnsi="Times New Roman"/>
                <w:sz w:val="24"/>
                <w:szCs w:val="24"/>
              </w:rPr>
              <w:t>重庆新</w:t>
            </w:r>
            <w:r>
              <w:rPr>
                <w:color w:val="000000"/>
                <w:kern w:val="0"/>
                <w:rFonts w:ascii="Times New Roman" w:hAnsi="Times New Roman"/>
                <w:sz w:val="24"/>
                <w:szCs w:val="24"/>
              </w:rPr>
              <w:t>机场</w:t>
            </w:r>
            <w:r>
              <w:rPr>
                <w:color w:val="000000"/>
                <w:kern w:val="0"/>
                <w:rFonts w:hint="eastAsia" w:ascii="Times New Roman" w:hAnsi="Times New Roman"/>
                <w:sz w:val="24"/>
                <w:szCs w:val="24"/>
              </w:rPr>
              <w:t>，强化</w:t>
            </w:r>
            <w:r>
              <w:rPr>
                <w:color w:val="000000"/>
                <w:kern w:val="0"/>
                <w:rFonts w:ascii="Times New Roman" w:hAnsi="Times New Roman"/>
                <w:sz w:val="24"/>
                <w:szCs w:val="24"/>
              </w:rPr>
              <w:t>货运功能。</w:t>
            </w:r>
          </w:p>
        </w:tc>
      </w:tr>
    </w:tbl>
    <w:p>
      <w:pPr>
        <w:ind w:firstLine="632" w:firstLineChars="200"/>
        <w:outlineLvl w:val="0"/>
        <w:rPr>
          <w:rFonts w:hint="eastAsia" w:ascii="Times New Roman" w:hAnsi="Times New Roman" w:eastAsia="方正黑体_GBK"/>
        </w:rPr>
      </w:pPr>
      <w:bookmarkStart w:id="91" w:name="_Toc2959"/>
      <w:bookmarkStart w:id="92" w:name="_Toc31154"/>
      <w:bookmarkStart w:id="93" w:name="_Toc27903"/>
      <w:bookmarkStart w:id="94" w:name="_Toc61863751"/>
      <w:bookmarkStart w:id="95" w:name="_Toc24140"/>
      <w:r>
        <w:rPr>
          <w:rFonts w:hint="eastAsia" w:ascii="Times New Roman" w:hAnsi="Times New Roman" w:eastAsia="方正黑体_GBK"/>
        </w:rPr>
        <w:t>五、打造强大物流枢纽节点设施网络</w:t>
      </w:r>
      <w:bookmarkEnd w:id="91"/>
      <w:bookmarkEnd w:id="92"/>
      <w:bookmarkEnd w:id="93"/>
      <w:bookmarkEnd w:id="94"/>
      <w:bookmarkEnd w:id="95"/>
    </w:p>
    <w:p>
      <w:pPr>
        <w:ind w:firstLine="632" w:firstLineChars="200"/>
        <w:rPr>
          <w:rFonts w:ascii="Times New Roman" w:hAnsi="Times New Roman" w:eastAsia="方正楷体_GBK"/>
        </w:rPr>
      </w:pPr>
      <w:bookmarkStart w:id="96" w:name="_Toc24526"/>
      <w:r>
        <w:rPr>
          <w:rFonts w:hint="eastAsia" w:ascii="Times New Roman" w:hAnsi="Times New Roman"/>
        </w:rPr>
        <w:t>以重庆五种国家物流枢纽为核心，构建国家物流枢纽、物流园区、物流中心三级物流节点网络。充分发挥国家物流枢纽对内对外干线物流组织功能，提高辐射国际国内服务网络密度和承载能力。围绕交通枢纽、大型产业园区布局建设物流园区，密切与国家物流枢纽干支衔接，提高重庆内部产业联系和对外产品辐射能力。完善物流中心服务城市生产生活消费功能，加强商贸、快递、产业园区物流配套，开展规模仓储和共同配送服务。</w:t>
      </w:r>
    </w:p>
    <w:p>
      <w:pPr>
        <w:ind w:firstLine="632" w:firstLineChars="200"/>
        <w:outlineLvl w:val="1"/>
        <w:rPr>
          <w:rFonts w:hint="eastAsia" w:ascii="Times New Roman" w:hAnsi="Times New Roman" w:eastAsia="方正楷体_GBK"/>
        </w:rPr>
      </w:pPr>
      <w:bookmarkStart w:id="97" w:name="_Toc16602"/>
      <w:bookmarkStart w:id="98" w:name="_Toc61863752"/>
      <w:bookmarkStart w:id="99" w:name="_Toc21670"/>
      <w:bookmarkStart w:id="100" w:name="_Toc32462"/>
      <w:r>
        <w:rPr>
          <w:rFonts w:hint="eastAsia" w:ascii="Times New Roman" w:hAnsi="Times New Roman" w:eastAsia="方正楷体_GBK"/>
        </w:rPr>
        <w:t>（一）建设高品质国家物流枢纽</w:t>
      </w:r>
      <w:bookmarkEnd w:id="97"/>
      <w:bookmarkEnd w:id="98"/>
      <w:bookmarkEnd w:id="99"/>
      <w:bookmarkEnd w:id="100"/>
    </w:p>
    <w:p>
      <w:pPr>
        <w:ind w:firstLine="632" w:firstLineChars="200"/>
        <w:rPr>
          <w:rFonts w:hint="eastAsia" w:ascii="Times New Roman" w:hAnsi="Times New Roman"/>
        </w:rPr>
      </w:pPr>
      <w:r>
        <w:rPr>
          <w:rFonts w:hint="eastAsia" w:ascii="Times New Roman" w:hAnsi="Times New Roman"/>
        </w:rPr>
        <w:t>港口型国家物流枢纽。依托果园港国家物流枢纽园区，完善水运口岸相关功能，补齐多式联运、国际物流等基础设施短板，培育水运、</w:t>
      </w:r>
      <w:r>
        <w:rPr>
          <w:rFonts w:ascii="Times New Roman" w:hAnsi="Times New Roman"/>
        </w:rPr>
        <w:t>铁水</w:t>
      </w:r>
      <w:r>
        <w:rPr>
          <w:rFonts w:hint="eastAsia" w:ascii="Times New Roman" w:hAnsi="Times New Roman"/>
        </w:rPr>
        <w:t>联运等干线大运量业务，扩大商品进口规模，主动融入国际物流枢纽网络。加快推进洛碛港及后方园区规划建设，做好土地和空间预留，明确承接果园港及</w:t>
      </w:r>
      <w:r>
        <w:rPr>
          <w:rFonts w:ascii="Times New Roman" w:hAnsi="Times New Roman"/>
        </w:rPr>
        <w:t>临</w:t>
      </w:r>
      <w:r>
        <w:rPr>
          <w:rFonts w:hint="eastAsia" w:ascii="Times New Roman" w:hAnsi="Times New Roman"/>
        </w:rPr>
        <w:t>港物流园区功能转移的定位。提升重庆航运和多式联运组织地位，依托黄金水道和</w:t>
      </w:r>
      <w:r>
        <w:rPr>
          <w:rFonts w:ascii="Times New Roman" w:hAnsi="Times New Roman"/>
        </w:rPr>
        <w:t>铁路干线</w:t>
      </w:r>
      <w:r>
        <w:rPr>
          <w:rFonts w:hint="eastAsia" w:ascii="Times New Roman" w:hAnsi="Times New Roman"/>
        </w:rPr>
        <w:t>开展集装箱江海、铁水联运组织，打造西南地区最大的多式联运基地。完善港口</w:t>
      </w:r>
      <w:r>
        <w:rPr>
          <w:rFonts w:ascii="Times New Roman" w:hAnsi="Times New Roman"/>
        </w:rPr>
        <w:t>型</w:t>
      </w:r>
      <w:r>
        <w:rPr>
          <w:rFonts w:hint="eastAsia" w:ascii="Times New Roman" w:hAnsi="Times New Roman"/>
        </w:rPr>
        <w:t>国家物流枢纽综合信息平台航运服务功能，对接上海航运交易所，打造长江上游航运中心运营基地，提升航运物流组织化水平。</w:t>
      </w:r>
    </w:p>
    <w:p>
      <w:pPr>
        <w:ind w:firstLine="632" w:firstLineChars="200"/>
        <w:rPr>
          <w:rFonts w:hint="eastAsia" w:ascii="Times New Roman" w:hAnsi="Times New Roman"/>
        </w:rPr>
      </w:pPr>
      <w:r>
        <w:rPr>
          <w:rFonts w:hint="eastAsia" w:ascii="Times New Roman" w:hAnsi="Times New Roman"/>
        </w:rPr>
        <w:t>陆港型国家物流枢纽。由沙坪坝区重庆国际物流枢纽园区和江津珞璜港物流园区共同承载，</w:t>
      </w:r>
      <w:r>
        <w:rPr>
          <w:rFonts w:ascii="Times New Roman" w:hAnsi="Times New Roman"/>
        </w:rPr>
        <w:t>远期拓展</w:t>
      </w:r>
      <w:r>
        <w:rPr>
          <w:rFonts w:hint="eastAsia" w:ascii="Times New Roman" w:hAnsi="Times New Roman"/>
        </w:rPr>
        <w:t>北碚片区。重庆国际物流枢纽园区依托铁路集装箱中心站，发挥中欧班列品牌优势，进一步提升干线物流组织能力，完善铁路口岸功能，拓展保税物流、保税展示、交易结算等功能，扩大汽车整车进口等业务规模，开展区域分拨配送业务，扩大辐射腹地。江津珞璜港物流园区依托珞璜港发展</w:t>
      </w:r>
      <w:r>
        <w:rPr>
          <w:rFonts w:ascii="Times New Roman" w:hAnsi="Times New Roman"/>
        </w:rPr>
        <w:t>潜力</w:t>
      </w:r>
      <w:r>
        <w:rPr>
          <w:rFonts w:hint="eastAsia" w:ascii="Times New Roman" w:hAnsi="Times New Roman"/>
        </w:rPr>
        <w:t>和小南垭铁路物流片区良好业务基础，大力发展铁公水联运组织和区域分拨配送。通过多片区联动打造国际陆路物流组织中心、区域公铁和公水联运基地。</w:t>
      </w:r>
    </w:p>
    <w:p>
      <w:pPr>
        <w:ind w:firstLine="632" w:firstLineChars="200"/>
        <w:rPr>
          <w:rFonts w:hint="eastAsia" w:ascii="Times New Roman" w:hAnsi="Times New Roman"/>
        </w:rPr>
      </w:pPr>
      <w:r>
        <w:rPr>
          <w:rFonts w:hint="eastAsia" w:ascii="Times New Roman" w:hAnsi="Times New Roman"/>
        </w:rPr>
        <w:t>空港型国家物流枢纽。以重庆航空物流园区、两路寸滩保税港区为载体，依托重庆江北国际机场航空口岸，加快航空物流园区保税物流、保税展示交易等设施建设和功能完善，搭建航空物流信息平台，以大规模进口高端消费品为业务扩张方向，促进重庆临空产业高质量发展，实现航空运输、中转集散、保税展示交易、国际结算、电商快递物流等高端物流集中化发展。以重庆新机场物流功能区为拓展</w:t>
      </w:r>
      <w:r>
        <w:rPr>
          <w:rFonts w:ascii="Times New Roman" w:hAnsi="Times New Roman"/>
        </w:rPr>
        <w:t>区</w:t>
      </w:r>
      <w:r>
        <w:rPr>
          <w:rFonts w:hint="eastAsia" w:ascii="Times New Roman" w:hAnsi="Times New Roman"/>
        </w:rPr>
        <w:t>，待条件成熟时打造西部货运枢纽机场，承接江北机场货运包机等业务转移，实现两场航空货运的业务协同。</w:t>
      </w:r>
    </w:p>
    <w:p>
      <w:pPr>
        <w:ind w:firstLine="632" w:firstLineChars="200"/>
        <w:rPr>
          <w:rFonts w:hint="eastAsia" w:ascii="Times New Roman" w:hAnsi="Times New Roman"/>
        </w:rPr>
      </w:pPr>
      <w:r>
        <w:rPr>
          <w:rFonts w:hint="eastAsia" w:ascii="Times New Roman" w:hAnsi="Times New Roman"/>
        </w:rPr>
        <w:t>商贸服务型国家物流枢纽。由巴南、江津、秀山等区县的商贸物流设施共同承载。巴南区以跨境公路班车为基础，开展面向东盟及周边的公路运输组织，建设重庆国际商贸物流城。江津区以农产品</w:t>
      </w:r>
      <w:r>
        <w:rPr>
          <w:rFonts w:ascii="Times New Roman" w:hAnsi="Times New Roman"/>
        </w:rPr>
        <w:t>区域</w:t>
      </w:r>
      <w:r>
        <w:rPr>
          <w:rFonts w:hint="eastAsia" w:ascii="Times New Roman" w:hAnsi="Times New Roman"/>
        </w:rPr>
        <w:t>集散</w:t>
      </w:r>
      <w:r>
        <w:rPr>
          <w:rFonts w:ascii="Times New Roman" w:hAnsi="Times New Roman"/>
        </w:rPr>
        <w:t>分拨</w:t>
      </w:r>
      <w:r>
        <w:rPr>
          <w:rFonts w:hint="eastAsia" w:ascii="Times New Roman" w:hAnsi="Times New Roman"/>
        </w:rPr>
        <w:t>规模化</w:t>
      </w:r>
      <w:r>
        <w:rPr>
          <w:rFonts w:ascii="Times New Roman" w:hAnsi="Times New Roman"/>
        </w:rPr>
        <w:t>发展为基础，</w:t>
      </w:r>
      <w:r>
        <w:rPr>
          <w:rFonts w:hint="eastAsia" w:ascii="Times New Roman" w:hAnsi="Times New Roman"/>
        </w:rPr>
        <w:t>利用中欧班列（成渝）号、西部陆海新通道，发展欧洲红酒、东南亚水果、水产品等高品质食品进口</w:t>
      </w:r>
      <w:r>
        <w:rPr>
          <w:rFonts w:ascii="Times New Roman" w:hAnsi="Times New Roman"/>
        </w:rPr>
        <w:t>业务</w:t>
      </w:r>
      <w:r>
        <w:rPr>
          <w:rFonts w:hint="eastAsia" w:ascii="Times New Roman" w:hAnsi="Times New Roman"/>
        </w:rPr>
        <w:t>，</w:t>
      </w:r>
      <w:r>
        <w:rPr>
          <w:rFonts w:ascii="Times New Roman" w:hAnsi="Times New Roman"/>
        </w:rPr>
        <w:t>开展面向</w:t>
      </w:r>
      <w:r>
        <w:rPr>
          <w:rFonts w:hint="eastAsia" w:ascii="Times New Roman" w:hAnsi="Times New Roman"/>
        </w:rPr>
        <w:t>全国的物流</w:t>
      </w:r>
      <w:r>
        <w:rPr>
          <w:rFonts w:ascii="Times New Roman" w:hAnsi="Times New Roman"/>
        </w:rPr>
        <w:t>辐射</w:t>
      </w:r>
      <w:r>
        <w:rPr>
          <w:rFonts w:hint="eastAsia" w:ascii="Times New Roman" w:hAnsi="Times New Roman"/>
        </w:rPr>
        <w:t>，提升对成渝地区双城经济圈的农产品冷链物流组织化水平和辐射能级。秀山县重点发展快递物流、电商物流、多式联运等，面向渝黔湘三省市结合部开展商品交易和物流辐射。</w:t>
      </w:r>
    </w:p>
    <w:p>
      <w:pPr>
        <w:ind w:firstLine="632" w:firstLineChars="200"/>
        <w:rPr>
          <w:rFonts w:hint="eastAsia" w:ascii="Times New Roman" w:hAnsi="Times New Roman"/>
        </w:rPr>
      </w:pPr>
      <w:r>
        <w:rPr>
          <w:rFonts w:hint="eastAsia" w:ascii="Times New Roman" w:hAnsi="Times New Roman"/>
        </w:rPr>
        <w:t>生产服务型国家物流枢纽。由万州区、涪陵区和长寿区优势物流设施共同承载，利用良好的制造业基础，以培育壮大大宗商品、资源循环利用和满足区域内需的临港产业为突破口，提供从原材料供应到产品分销的供应链服务，打造服务西南腹地的供应链服务平台。建设区域大宗商品物流组织中心，开展面向临港产业的保税物流、交易结算、期货交割、分拨配送组织等服务。依托生产服务型国家物流枢纽，建设长江航运库区内循环物流服务系统</w:t>
      </w:r>
      <w:r>
        <w:rPr>
          <w:rFonts w:ascii="Times New Roman" w:hAnsi="Times New Roman"/>
        </w:rPr>
        <w:t>，</w:t>
      </w:r>
      <w:r>
        <w:rPr>
          <w:rFonts w:hint="eastAsia" w:ascii="Times New Roman" w:hAnsi="Times New Roman"/>
        </w:rPr>
        <w:t>支撑</w:t>
      </w:r>
      <w:r>
        <w:rPr>
          <w:rFonts w:ascii="Times New Roman" w:hAnsi="Times New Roman"/>
        </w:rPr>
        <w:t>库区产业链</w:t>
      </w:r>
      <w:r>
        <w:rPr>
          <w:rFonts w:hint="eastAsia" w:ascii="Times New Roman" w:hAnsi="Times New Roman"/>
        </w:rPr>
        <w:t>延伸</w:t>
      </w:r>
      <w:r>
        <w:rPr>
          <w:rFonts w:ascii="Times New Roman" w:hAnsi="Times New Roman"/>
        </w:rPr>
        <w:t>做强</w:t>
      </w:r>
      <w:r>
        <w:rPr>
          <w:rFonts w:hint="eastAsia" w:ascii="Times New Roman" w:hAnsi="Times New Roman"/>
        </w:rPr>
        <w:t>。</w:t>
      </w:r>
    </w:p>
    <w:p>
      <w:pPr>
        <w:ind w:firstLine="632" w:firstLineChars="200"/>
        <w:outlineLvl w:val="1"/>
        <w:rPr>
          <w:rFonts w:hint="eastAsia" w:ascii="Times New Roman" w:hAnsi="Times New Roman" w:eastAsia="方正楷体_GBK"/>
        </w:rPr>
      </w:pPr>
      <w:bookmarkStart w:id="101" w:name="_Toc61863753"/>
      <w:bookmarkStart w:id="102" w:name="_Toc7691"/>
      <w:bookmarkStart w:id="103" w:name="_Toc11968"/>
      <w:bookmarkStart w:id="104" w:name="_Toc29099"/>
      <w:bookmarkStart w:id="105" w:name="_Toc12579"/>
      <w:r>
        <w:rPr>
          <w:rFonts w:hint="eastAsia" w:ascii="Times New Roman" w:hAnsi="Times New Roman" w:eastAsia="方正楷体_GBK"/>
        </w:rPr>
        <w:t>（二）完善广覆盖物流设施网络</w:t>
      </w:r>
      <w:bookmarkEnd w:id="101"/>
      <w:bookmarkEnd w:id="102"/>
      <w:bookmarkEnd w:id="103"/>
      <w:bookmarkEnd w:id="104"/>
      <w:bookmarkEnd w:id="105"/>
    </w:p>
    <w:p>
      <w:pPr>
        <w:ind w:firstLine="632" w:firstLineChars="200"/>
        <w:rPr>
          <w:rFonts w:hint="eastAsia" w:ascii="Times New Roman" w:hAnsi="Times New Roman"/>
        </w:rPr>
      </w:pPr>
      <w:r>
        <w:rPr>
          <w:rFonts w:hint="eastAsia" w:ascii="Times New Roman" w:hAnsi="Times New Roman"/>
        </w:rPr>
        <w:t>物流园区。围绕全市的综合交通枢纽、产业集聚区，合理布局区域性物流园区，形成覆盖</w:t>
      </w:r>
      <w:r>
        <w:rPr>
          <w:rFonts w:ascii="Times New Roman" w:hAnsi="Times New Roman"/>
        </w:rPr>
        <w:t>全</w:t>
      </w:r>
      <w:r>
        <w:rPr>
          <w:rFonts w:hint="eastAsia" w:ascii="Times New Roman" w:hAnsi="Times New Roman"/>
        </w:rPr>
        <w:t>市域的骨干节点设施集群。依托主要沿江港口建设港口物流园区，与依托枢纽港建设的国家物流枢纽功能互补、</w:t>
      </w:r>
      <w:r>
        <w:rPr>
          <w:rFonts w:ascii="Times New Roman" w:hAnsi="Times New Roman"/>
        </w:rPr>
        <w:t>业务协同</w:t>
      </w:r>
      <w:r>
        <w:rPr>
          <w:rFonts w:hint="eastAsia" w:ascii="Times New Roman" w:hAnsi="Times New Roman"/>
        </w:rPr>
        <w:t>，重点支撑临港产业规模扩张和区域水运货物集散。围绕成渝地区双城经济圈建设，打造荣昌川南渝西综合物流园区等毗邻物流园区。各区县根据各自产业发展特点和物流需求合理布局建设物流</w:t>
      </w:r>
      <w:r>
        <w:rPr>
          <w:rFonts w:ascii="Times New Roman" w:hAnsi="Times New Roman"/>
        </w:rPr>
        <w:t>园区</w:t>
      </w:r>
      <w:r>
        <w:rPr>
          <w:rFonts w:hint="eastAsia" w:ascii="Times New Roman" w:hAnsi="Times New Roman"/>
        </w:rPr>
        <w:t>，</w:t>
      </w:r>
      <w:r>
        <w:rPr>
          <w:rFonts w:ascii="Times New Roman" w:hAnsi="Times New Roman"/>
        </w:rPr>
        <w:t>明确功能定位，完善服务网络</w:t>
      </w:r>
      <w:r>
        <w:rPr>
          <w:rFonts w:hint="eastAsia" w:ascii="Times New Roman" w:hAnsi="Times New Roman"/>
        </w:rPr>
        <w:t>。</w:t>
      </w:r>
    </w:p>
    <w:p>
      <w:pPr>
        <w:ind w:firstLine="632" w:firstLineChars="200"/>
        <w:rPr>
          <w:rFonts w:ascii="Times New Roman" w:hAnsi="Times New Roman"/>
        </w:rPr>
      </w:pPr>
      <w:r>
        <w:rPr>
          <w:rFonts w:hint="eastAsia" w:ascii="Times New Roman" w:hAnsi="Times New Roman"/>
        </w:rPr>
        <w:t>物流中心。衔接国家物流枢纽和物流园区，加大对区域港口物流、生产生活物流资源的整合力度，布局一定规模的专业物流中心。围绕港口重点布局丰都水天坪冷链物流中心、奉节夔门港物流中心等，重点发展大宗商品物流和冷链物流。围绕各区县主导产业集聚区，重点布局长寿化工物流中心、涪陵白涛化工物流中心等专业物流中心等，补足危化品物流资质和设施短板。围绕各区县生产生活需求，集中布局璧山物流中心、九龙坡白市驿站铁路物流中心、涪陵快递物流中心等。各区县根据自身产业发展阶段和物流需求情况，合理布局用地规模适中的各类物流中心和配送中心。</w:t>
      </w:r>
    </w:p>
    <w:p>
      <w:pPr>
        <w:ind w:firstLine="632" w:firstLineChars="200"/>
        <w:rPr>
          <w:rFonts w:ascii="Times New Roman" w:hAnsi="Times New Roman"/>
        </w:rPr>
      </w:pPr>
      <w:r>
        <w:rPr>
          <w:rFonts w:hint="eastAsia" w:ascii="Times New Roman" w:hAnsi="Times New Roman"/>
        </w:rPr>
        <w:t>配送中心。以服务重庆中心城区和区县城区生活物流需求为重点，加快完善城市配送中心和末端配送网点。依托商贸服务</w:t>
      </w:r>
      <w:r>
        <w:rPr>
          <w:rFonts w:ascii="Times New Roman" w:hAnsi="Times New Roman"/>
        </w:rPr>
        <w:t>型国家物流枢纽等</w:t>
      </w:r>
      <w:r>
        <w:rPr>
          <w:rFonts w:hint="eastAsia" w:ascii="Times New Roman" w:hAnsi="Times New Roman"/>
        </w:rPr>
        <w:t>，建设全市一级分拨中心；依托全市</w:t>
      </w:r>
      <w:r>
        <w:rPr>
          <w:rFonts w:ascii="Times New Roman" w:hAnsi="Times New Roman"/>
        </w:rPr>
        <w:t>主要</w:t>
      </w:r>
      <w:r>
        <w:rPr>
          <w:rFonts w:hint="eastAsia" w:ascii="Times New Roman" w:hAnsi="Times New Roman"/>
        </w:rPr>
        <w:t>综合物流园区，建设二级公共配送中心；建设覆盖1026个街道、乡镇、民族乡的三级配送站；完善自然村、社区、学校、厂区、商务中心等末端配送网点。</w:t>
      </w:r>
    </w:p>
    <w:p>
      <w:pPr>
        <w:jc w:val="center"/>
        <w:rPr>
          <w:rFonts w:ascii="Times New Roman" w:hAnsi="Times New Roman" w:eastAsia="黑体"/>
          <w:sz w:val="28"/>
          <w:szCs w:val="28"/>
        </w:rPr>
      </w:pPr>
      <w:r>
        <w:rPr>
          <w:rFonts w:hint="eastAsia" w:ascii="Times New Roman" w:hAnsi="Times New Roman" w:eastAsia="方正黑体_GBK"/>
          <w:sz w:val="28"/>
          <w:szCs w:val="28"/>
        </w:rPr>
        <w:t>表</w:t>
      </w:r>
      <w:r>
        <w:rPr>
          <w:rFonts w:hint="eastAsia" w:ascii="Times New Roman" w:hAnsi="Times New Roman" w:eastAsia="黑体"/>
          <w:sz w:val="28"/>
          <w:szCs w:val="28"/>
        </w:rPr>
        <w:t>5-1</w:t>
      </w:r>
      <w:r>
        <w:rPr>
          <w:rFonts w:ascii="Times New Roman" w:hAnsi="Times New Roman" w:eastAsia="黑体"/>
          <w:sz w:val="28"/>
          <w:szCs w:val="28"/>
        </w:rPr>
        <w:t xml:space="preserve">  </w:t>
      </w:r>
      <w:r>
        <w:rPr>
          <w:rFonts w:hint="eastAsia" w:ascii="Times New Roman" w:hAnsi="Times New Roman" w:eastAsia="方正黑体_GBK"/>
          <w:sz w:val="28"/>
          <w:szCs w:val="28"/>
        </w:rPr>
        <w:t>重庆市国家物流枢纽设施布局</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1"/>
        <w:gridCol w:w="1701"/>
        <w:gridCol w:w="5836"/>
      </w:tblGrid>
      <w:tr>
        <w:trPr>
          <w:trHeight w:val="718" w:hRule="atLeast"/>
          <w:wAfter w:w="0" w:type="dxa"/>
          <w:wBefore w:w="0" w:type="dxa"/>
        </w:trPr>
        <w:tc>
          <w:tcPr>
            <w:tcW w:w="1011" w:type="dxa"/>
            <w:vAlign w:val="center"/>
          </w:tcPr>
          <w:p>
            <w:pPr>
              <w:jc w:val="center"/>
              <w:snapToGrid w:val="0"/>
              <w:rPr>
                <w:kern w:val="0"/>
                <w:rFonts w:hint="eastAsia" w:ascii="Times New Roman" w:hAnsi="Times New Roman" w:eastAsia="方正黑体_GBK"/>
                <w:sz w:val="24"/>
                <w:szCs w:val="24"/>
              </w:rPr>
            </w:pPr>
            <w:r>
              <w:rPr>
                <w:kern w:val="0"/>
                <w:rFonts w:hint="eastAsia" w:ascii="Times New Roman" w:hAnsi="Times New Roman" w:eastAsia="方正黑体_GBK"/>
                <w:sz w:val="24"/>
                <w:szCs w:val="24"/>
              </w:rPr>
              <w:t xml:space="preserve">名 称</w:t>
            </w:r>
          </w:p>
        </w:tc>
        <w:tc>
          <w:tcPr>
            <w:tcW w:w="1701" w:type="dxa"/>
            <w:vAlign w:val="center"/>
          </w:tcPr>
          <w:p>
            <w:pPr>
              <w:jc w:val="center"/>
              <w:snapToGrid w:val="0"/>
              <w:rPr>
                <w:kern w:val="0"/>
                <w:rFonts w:hint="eastAsia" w:ascii="Times New Roman" w:hAnsi="Times New Roman" w:eastAsia="方正黑体_GBK"/>
                <w:sz w:val="24"/>
                <w:szCs w:val="24"/>
              </w:rPr>
            </w:pPr>
            <w:r>
              <w:rPr>
                <w:kern w:val="0"/>
                <w:rFonts w:hint="eastAsia" w:ascii="Times New Roman" w:hAnsi="Times New Roman" w:eastAsia="方正黑体_GBK"/>
                <w:sz w:val="24"/>
                <w:szCs w:val="24"/>
              </w:rPr>
              <w:t xml:space="preserve">选 址</w:t>
            </w:r>
          </w:p>
        </w:tc>
        <w:tc>
          <w:tcPr>
            <w:tcW w:w="5836" w:type="dxa"/>
            <w:vAlign w:val="center"/>
          </w:tcPr>
          <w:p>
            <w:pPr>
              <w:jc w:val="center"/>
              <w:snapToGrid w:val="0"/>
              <w:rPr>
                <w:kern w:val="0"/>
                <w:rFonts w:hint="eastAsia" w:ascii="Times New Roman" w:hAnsi="Times New Roman" w:eastAsia="方正黑体_GBK"/>
                <w:sz w:val="24"/>
                <w:szCs w:val="24"/>
              </w:rPr>
            </w:pPr>
            <w:r>
              <w:rPr>
                <w:kern w:val="0"/>
                <w:rFonts w:hint="eastAsia" w:ascii="Times New Roman" w:hAnsi="Times New Roman" w:eastAsia="方正黑体_GBK"/>
                <w:sz w:val="24"/>
                <w:szCs w:val="24"/>
              </w:rPr>
              <w:t>服务功能</w:t>
            </w:r>
          </w:p>
        </w:tc>
      </w:tr>
      <w:tr>
        <w:trPr>
          <w:trHeight w:val="487" w:hRule="atLeast"/>
          <w:wAfter w:w="0" w:type="dxa"/>
          <w:wBefore w:w="0" w:type="dxa"/>
        </w:trPr>
        <w:tc>
          <w:tcPr>
            <w:tcW w:w="101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港口型国家物流枢纽</w:t>
            </w:r>
          </w:p>
        </w:tc>
        <w:tc>
          <w:tcPr>
            <w:tcW w:w="1701" w:type="dxa"/>
            <w:vAlign w:val="center"/>
          </w:tcPr>
          <w:p>
            <w:pPr>
              <w:snapToGrid w:val="0"/>
              <w:spacing w:afterAutospacing="0" w:beforeAutospacing="0" w:line="480" w:lineRule="atLeast"/>
              <w:rPr>
                <w:kern w:val="0"/>
                <w:rFonts w:ascii="Times New Roman" w:hAnsi="Times New Roman"/>
                <w:sz w:val="24"/>
                <w:szCs w:val="24"/>
              </w:rPr>
            </w:pPr>
            <w:r>
              <w:rPr>
                <w:kern w:val="0"/>
                <w:rFonts w:hint="eastAsia" w:ascii="Times New Roman" w:hAnsi="Times New Roman"/>
                <w:sz w:val="24"/>
                <w:szCs w:val="24"/>
              </w:rPr>
              <w:t>两江新区、渝北区</w:t>
            </w:r>
          </w:p>
        </w:tc>
        <w:tc>
          <w:tcPr>
            <w:tcW w:w="5836" w:type="dxa"/>
            <w:vAlign w:val="center"/>
          </w:tcPr>
          <w:p>
            <w:pPr>
              <w:ind w:firstLine="24" w:firstLineChars="10"/>
              <w:snapToGrid w:val="0"/>
              <w:spacing w:afterAutospacing="0" w:beforeAutospacing="0" w:line="480" w:lineRule="atLeast"/>
              <w:rPr>
                <w:kern w:val="0"/>
                <w:rFonts w:ascii="Times New Roman" w:hAnsi="Times New Roman"/>
                <w:sz w:val="24"/>
                <w:szCs w:val="24"/>
              </w:rPr>
            </w:pPr>
            <w:r>
              <w:rPr>
                <w:kern w:val="0"/>
                <w:rFonts w:hint="eastAsia" w:ascii="Times New Roman" w:hAnsi="Times New Roman"/>
                <w:sz w:val="24"/>
                <w:szCs w:val="24"/>
              </w:rPr>
              <w:t>打造成国际多式联运枢纽、长江上游航运中心运营基地，重点依托黄金水道开展集装箱江海联运组织，利用</w:t>
            </w:r>
            <w:r>
              <w:rPr>
                <w:kern w:val="0"/>
                <w:rFonts w:ascii="Times New Roman" w:hAnsi="Times New Roman"/>
                <w:sz w:val="24"/>
                <w:szCs w:val="24"/>
              </w:rPr>
              <w:t>长</w:t>
            </w:r>
            <w:r>
              <w:rPr>
                <w:kern w:val="0"/>
                <w:rFonts w:hint="eastAsia" w:ascii="Times New Roman" w:hAnsi="Times New Roman"/>
                <w:sz w:val="24"/>
                <w:szCs w:val="24"/>
              </w:rPr>
              <w:t>江</w:t>
            </w:r>
            <w:r>
              <w:rPr>
                <w:kern w:val="0"/>
                <w:rFonts w:ascii="Times New Roman" w:hAnsi="Times New Roman"/>
                <w:sz w:val="24"/>
                <w:szCs w:val="24"/>
              </w:rPr>
              <w:t>干支航道和铁路干线</w:t>
            </w:r>
            <w:r>
              <w:rPr>
                <w:kern w:val="0"/>
                <w:rFonts w:hint="eastAsia" w:ascii="Times New Roman" w:hAnsi="Times New Roman"/>
                <w:sz w:val="24"/>
                <w:szCs w:val="24"/>
              </w:rPr>
              <w:t>开展铁水联运组织，推进西部陆海新通道、中欧班列和长江黄金水道无缝衔接，建成内陆型开放口岸、国际港航枢纽和大宗商品交易中心“三合一”的现代化枢纽港</w:t>
            </w:r>
          </w:p>
        </w:tc>
      </w:tr>
      <w:tr>
        <w:trPr>
          <w:trHeight w:val="2358" w:hRule="atLeast"/>
          <w:wAfter w:w="0" w:type="dxa"/>
          <w:wBefore w:w="0" w:type="dxa"/>
        </w:trPr>
        <w:tc>
          <w:tcPr>
            <w:tcW w:w="101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陆港型国家物流枢纽</w:t>
            </w:r>
          </w:p>
        </w:tc>
        <w:tc>
          <w:tcPr>
            <w:tcW w:w="170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沙坪坝区、江津区、北碚区</w:t>
            </w:r>
          </w:p>
        </w:tc>
        <w:tc>
          <w:tcPr>
            <w:tcW w:w="5836" w:type="dxa"/>
            <w:vAlign w:val="center"/>
          </w:tcPr>
          <w:p>
            <w:pPr>
              <w:ind w:firstLine="24" w:firstLineChars="10"/>
              <w:snapToGrid w:val="0"/>
              <w:spacing w:afterAutospacing="0" w:beforeAutospacing="0" w:line="480" w:lineRule="atLeast"/>
              <w:rPr>
                <w:kern w:val="0"/>
                <w:rFonts w:ascii="Times New Roman" w:hAnsi="Times New Roman"/>
                <w:sz w:val="24"/>
                <w:szCs w:val="24"/>
              </w:rPr>
            </w:pPr>
            <w:r>
              <w:rPr>
                <w:kern w:val="0"/>
                <w:rFonts w:hint="eastAsia" w:ascii="Times New Roman" w:hAnsi="Times New Roman"/>
                <w:sz w:val="24"/>
                <w:szCs w:val="24"/>
              </w:rPr>
              <w:t>打造成国际陆路物流组织中心、区域公铁和公水联运基地，重点提升铁路干线物流组织能力，拓展保税物流、保税展示、交易结算等功能，大力发展公铁、公水、铁水多式联运，开展区域分拨配送业务，扩大辐射腹地</w:t>
            </w:r>
          </w:p>
        </w:tc>
      </w:tr>
      <w:tr>
        <w:trPr>
          <w:trHeight w:val="2471" w:hRule="atLeast"/>
          <w:wAfter w:w="0" w:type="dxa"/>
          <w:wBefore w:w="0" w:type="dxa"/>
        </w:trPr>
        <w:tc>
          <w:tcPr>
            <w:tcW w:w="101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空港型国家物流枢纽</w:t>
            </w:r>
          </w:p>
        </w:tc>
        <w:tc>
          <w:tcPr>
            <w:tcW w:w="1701" w:type="dxa"/>
            <w:vAlign w:val="center"/>
          </w:tcPr>
          <w:p>
            <w:pPr>
              <w:ind w:firstLine="24" w:firstLineChars="10"/>
              <w:snapToGrid w:val="0"/>
              <w:spacing w:afterAutospacing="0" w:beforeAutospacing="0" w:line="480" w:lineRule="atLeast"/>
              <w:rPr>
                <w:kern w:val="0"/>
                <w:rFonts w:ascii="Times New Roman" w:hAnsi="Times New Roman"/>
                <w:sz w:val="24"/>
                <w:szCs w:val="24"/>
              </w:rPr>
            </w:pPr>
            <w:r>
              <w:rPr>
                <w:kern w:val="0"/>
                <w:rFonts w:hint="eastAsia" w:ascii="Times New Roman" w:hAnsi="Times New Roman"/>
                <w:sz w:val="24"/>
                <w:szCs w:val="24"/>
              </w:rPr>
              <w:t>重庆航空物流园区、两路寸滩保税港区和重庆新机场物流功能区</w:t>
            </w:r>
          </w:p>
        </w:tc>
        <w:tc>
          <w:tcPr>
            <w:tcW w:w="5836" w:type="dxa"/>
            <w:vAlign w:val="center"/>
          </w:tcPr>
          <w:p>
            <w:pPr>
              <w:ind w:firstLine="24" w:firstLineChars="10"/>
              <w:snapToGrid w:val="0"/>
              <w:spacing w:afterAutospacing="0" w:beforeAutospacing="0" w:line="480" w:lineRule="atLeast"/>
              <w:rPr>
                <w:kern w:val="0"/>
                <w:rFonts w:ascii="Times New Roman" w:hAnsi="Times New Roman"/>
                <w:sz w:val="24"/>
                <w:szCs w:val="24"/>
              </w:rPr>
            </w:pPr>
            <w:r>
              <w:rPr>
                <w:kern w:val="0"/>
                <w:rFonts w:hint="eastAsia" w:ascii="Times New Roman" w:hAnsi="Times New Roman"/>
                <w:sz w:val="24"/>
                <w:szCs w:val="24"/>
              </w:rPr>
              <w:t>建设国际航空物流分拨中心，打造国际航空物流枢纽，西部重要的航空物流集散地、区域高端物流运作平台，重点搭建航空物流信息平台，促进航空运输、中转集散、保税展示交易、国际结算、电商、快递、冷链等高端物流集聚发展，面向西南进行航空物流辐射</w:t>
            </w:r>
          </w:p>
        </w:tc>
      </w:tr>
      <w:tr>
        <w:trPr>
          <w:trHeight w:val="1959" w:hRule="atLeast"/>
          <w:wAfter w:w="0" w:type="dxa"/>
          <w:wBefore w:w="0" w:type="dxa"/>
        </w:trPr>
        <w:tc>
          <w:tcPr>
            <w:tcW w:w="101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商贸服务型国家物流枢纽</w:t>
            </w:r>
          </w:p>
        </w:tc>
        <w:tc>
          <w:tcPr>
            <w:tcW w:w="170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巴南区、江津区、秀山县</w:t>
            </w:r>
          </w:p>
        </w:tc>
        <w:tc>
          <w:tcPr>
            <w:tcW w:w="5836"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建设</w:t>
            </w:r>
            <w:r>
              <w:rPr>
                <w:kern w:val="0"/>
                <w:rFonts w:hint="eastAsia" w:ascii="Times New Roman" w:hAnsi="Times New Roman"/>
                <w:sz w:val="24"/>
                <w:szCs w:val="24"/>
              </w:rPr>
              <w:t>重庆国际商贸物流城</w:t>
            </w:r>
            <w:r>
              <w:rPr>
                <w:kern w:val="0"/>
                <w:rFonts w:hint="eastAsia" w:ascii="Times New Roman" w:hAnsi="Times New Roman"/>
                <w:sz w:val="24"/>
                <w:szCs w:val="24"/>
              </w:rPr>
              <w:t>、打造西部地区重要的国际农产品冷链物流基地、渝黔湘商贸物流集散中心，重点大规模进口欧洲红酒、东南亚水果等高品质食品和农产品，搭建农产品和电商物流平台，面向周边地区进行农产品辐射</w:t>
            </w:r>
          </w:p>
        </w:tc>
      </w:tr>
      <w:tr>
        <w:trPr>
          <w:trHeight w:val="2336" w:hRule="atLeast"/>
          <w:wAfter w:w="0" w:type="dxa"/>
          <w:wBefore w:w="0" w:type="dxa"/>
        </w:trPr>
        <w:tc>
          <w:tcPr>
            <w:tcW w:w="101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生产服务型国家物流枢纽</w:t>
            </w:r>
          </w:p>
        </w:tc>
        <w:tc>
          <w:tcPr>
            <w:tcW w:w="1701"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万州区、涪陵区、长寿区</w:t>
            </w:r>
          </w:p>
        </w:tc>
        <w:tc>
          <w:tcPr>
            <w:tcW w:w="5836" w:type="dxa"/>
            <w:vAlign w:val="center"/>
          </w:tcPr>
          <w:p>
            <w:pPr>
              <w:ind w:firstLine="24" w:firstLineChars="10"/>
              <w:snapToGrid w:val="0"/>
              <w:spacing w:afterAutospacing="0" w:beforeAutospacing="0" w:line="480" w:lineRule="atLeast"/>
              <w:rPr>
                <w:kern w:val="0"/>
                <w:rFonts w:hint="eastAsia" w:ascii="Times New Roman" w:hAnsi="Times New Roman"/>
                <w:sz w:val="24"/>
                <w:szCs w:val="24"/>
              </w:rPr>
            </w:pPr>
            <w:r>
              <w:rPr>
                <w:kern w:val="0"/>
                <w:rFonts w:hint="eastAsia" w:ascii="Times New Roman" w:hAnsi="Times New Roman"/>
                <w:sz w:val="24"/>
                <w:szCs w:val="24"/>
              </w:rPr>
              <w:t>打造成西南生产制造业供应链服务平台、区域大宗商品物流组织中心，重点为临港产业提供从原材料供应到产品分销的供应链服务，扩大面向四川、陕西、贵州等腹地的煤炭、矿石等原材料供应物流服务能力，延伸保税物流、交易结算、期货交割、分拨配送组织功能</w:t>
            </w:r>
          </w:p>
        </w:tc>
      </w:tr>
    </w:tbl>
    <w:p>
      <w:pPr>
        <w:pStyle w:val="16"/>
        <w:rPr>
          <w:rFonts w:hint="eastAsia" w:ascii="Times New Roman" w:hAnsi="Times New Roman"/>
        </w:rPr>
      </w:pPr>
    </w:p>
    <w:p>
      <w:pPr>
        <w:ind w:firstLine="632" w:firstLineChars="200"/>
        <w:outlineLvl w:val="1"/>
        <w:rPr>
          <w:rFonts w:hint="eastAsia" w:ascii="Times New Roman" w:hAnsi="Times New Roman" w:eastAsia="方正楷体_GBK"/>
        </w:rPr>
      </w:pPr>
      <w:bookmarkStart w:id="106" w:name="_Toc20345"/>
      <w:bookmarkStart w:id="107" w:name="_Toc25373"/>
      <w:bookmarkStart w:id="108" w:name="_Toc32323"/>
      <w:bookmarkStart w:id="109" w:name="_Toc32315"/>
      <w:bookmarkStart w:id="110" w:name="_Toc61863754"/>
      <w:r>
        <w:rPr>
          <w:rFonts w:hint="eastAsia" w:ascii="Times New Roman" w:hAnsi="Times New Roman" w:eastAsia="方正楷体_GBK"/>
        </w:rPr>
        <w:t>（三）推动协同化物流服务运营</w:t>
      </w:r>
      <w:bookmarkEnd w:id="106"/>
      <w:bookmarkEnd w:id="107"/>
      <w:bookmarkEnd w:id="108"/>
      <w:bookmarkEnd w:id="109"/>
      <w:bookmarkEnd w:id="110"/>
    </w:p>
    <w:p>
      <w:pPr>
        <w:ind w:firstLine="632" w:firstLineChars="200"/>
        <w:rPr>
          <w:rFonts w:hint="eastAsia" w:ascii="Times New Roman" w:hAnsi="Times New Roman"/>
        </w:rPr>
      </w:pPr>
      <w:r>
        <w:rPr>
          <w:rFonts w:hint="eastAsia" w:ascii="Times New Roman" w:hAnsi="Times New Roman"/>
        </w:rPr>
        <w:t>统筹国家物流枢纽协同运行。建立重庆五种国家物流枢纽运营主体企业之间的协同机制，以信息共享、资源共用和国际国内全程一体化物流组织为核心，加快推进物流和运营组织中心建设。开展跨区域国家物流枢纽间运营主体和业务层级的协同，按照不同类型枢纽功能、通道方向，采取业务对接</w:t>
      </w:r>
      <w:r>
        <w:rPr>
          <w:rFonts w:ascii="Times New Roman" w:hAnsi="Times New Roman"/>
        </w:rPr>
        <w:t>、战略</w:t>
      </w:r>
      <w:r>
        <w:rPr>
          <w:rFonts w:hint="eastAsia" w:ascii="Times New Roman" w:hAnsi="Times New Roman"/>
        </w:rPr>
        <w:t>合作、资本</w:t>
      </w:r>
      <w:r>
        <w:rPr>
          <w:rFonts w:ascii="Times New Roman" w:hAnsi="Times New Roman"/>
        </w:rPr>
        <w:t>运营</w:t>
      </w:r>
      <w:r>
        <w:rPr>
          <w:rFonts w:hint="eastAsia" w:ascii="Times New Roman" w:hAnsi="Times New Roman"/>
        </w:rPr>
        <w:t>等多种手段，提高重庆跨区域物流服务组织能力。强化</w:t>
      </w:r>
      <w:r>
        <w:rPr>
          <w:rFonts w:ascii="Times New Roman" w:hAnsi="Times New Roman"/>
        </w:rPr>
        <w:t>国家物流枢纽</w:t>
      </w:r>
      <w:r>
        <w:rPr>
          <w:rFonts w:hint="eastAsia" w:ascii="Times New Roman" w:hAnsi="Times New Roman"/>
        </w:rPr>
        <w:t>应急物流功能，对接</w:t>
      </w:r>
      <w:r>
        <w:rPr>
          <w:rFonts w:ascii="Times New Roman" w:hAnsi="Times New Roman"/>
        </w:rPr>
        <w:t>国家</w:t>
      </w:r>
      <w:r>
        <w:rPr>
          <w:rFonts w:hint="eastAsia" w:ascii="Times New Roman" w:hAnsi="Times New Roman"/>
        </w:rPr>
        <w:t>应急物流系统。</w:t>
      </w:r>
    </w:p>
    <w:p>
      <w:pPr>
        <w:ind w:firstLine="632" w:firstLineChars="200"/>
        <w:rPr>
          <w:rFonts w:hint="eastAsia" w:ascii="Times New Roman" w:hAnsi="Times New Roman"/>
        </w:rPr>
      </w:pPr>
      <w:r>
        <w:rPr>
          <w:rFonts w:hint="eastAsia" w:ascii="Times New Roman" w:hAnsi="Times New Roman"/>
        </w:rPr>
        <w:t>强化物流节点业务对接。引导</w:t>
      </w:r>
      <w:r>
        <w:rPr>
          <w:rFonts w:ascii="Times New Roman" w:hAnsi="Times New Roman"/>
        </w:rPr>
        <w:t>国家物流枢纽、物流园区、物流中心等物流节点</w:t>
      </w:r>
      <w:r>
        <w:rPr>
          <w:rFonts w:hint="eastAsia" w:ascii="Times New Roman" w:hAnsi="Times New Roman"/>
        </w:rPr>
        <w:t>在业务功能、操作规范、信息互联互通等方面建立合作机制，强化节点间业务协作。依托国家物流枢纽建设综合信息平台，</w:t>
      </w:r>
      <w:r>
        <w:rPr>
          <w:rFonts w:ascii="Times New Roman" w:hAnsi="Times New Roman"/>
        </w:rPr>
        <w:t>加强</w:t>
      </w:r>
      <w:r>
        <w:rPr>
          <w:rFonts w:hint="eastAsia" w:ascii="Times New Roman" w:hAnsi="Times New Roman"/>
        </w:rPr>
        <w:t>与重庆物流公共信息平台和龙头物流企业平台</w:t>
      </w:r>
      <w:r>
        <w:rPr>
          <w:rFonts w:ascii="Times New Roman" w:hAnsi="Times New Roman"/>
        </w:rPr>
        <w:t>的对接</w:t>
      </w:r>
      <w:r>
        <w:rPr>
          <w:rFonts w:hint="eastAsia" w:ascii="Times New Roman" w:hAnsi="Times New Roman"/>
        </w:rPr>
        <w:t>，做好跨区域枢纽间、市域物流节点间信息平台互联互通，根据业务对接和服务协同需要</w:t>
      </w:r>
      <w:r>
        <w:rPr>
          <w:rFonts w:ascii="Times New Roman" w:hAnsi="Times New Roman"/>
        </w:rPr>
        <w:t>，</w:t>
      </w:r>
      <w:r>
        <w:rPr>
          <w:rFonts w:hint="eastAsia" w:ascii="Times New Roman" w:hAnsi="Times New Roman"/>
        </w:rPr>
        <w:t>统一完善</w:t>
      </w:r>
      <w:r>
        <w:rPr>
          <w:rFonts w:ascii="Times New Roman" w:hAnsi="Times New Roman"/>
        </w:rPr>
        <w:t>相关</w:t>
      </w:r>
      <w:r>
        <w:rPr>
          <w:rFonts w:hint="eastAsia" w:ascii="Times New Roman" w:hAnsi="Times New Roman"/>
        </w:rPr>
        <w:t>技术、功能、接口等。</w:t>
      </w:r>
    </w:p>
    <w:p>
      <w:pPr>
        <w:ind w:firstLine="632" w:firstLineChars="200"/>
        <w:rPr>
          <w:rFonts w:hint="eastAsia" w:ascii="Times New Roman" w:hAnsi="Times New Roman"/>
        </w:rPr>
      </w:pPr>
      <w:r>
        <w:rPr>
          <w:rFonts w:hint="eastAsia" w:ascii="Times New Roman" w:hAnsi="Times New Roman"/>
        </w:rPr>
        <w:t>依托物流枢纽优化城市产业空间格局。渝东北片区依托生产服务型国家物流枢纽，利用龙头港和新田港辐射黄金水道沿线港口码头，促进粮食加工、新材料等产业规模聚集，带动临港经济发展。渝东南片区依托商贸服务型国家物流枢纽，提高生态型农产品全国辐射能力，联动电商物流，打通线上线下流通</w:t>
      </w:r>
      <w:r>
        <w:rPr>
          <w:rFonts w:ascii="Times New Roman" w:hAnsi="Times New Roman"/>
        </w:rPr>
        <w:t>环节</w:t>
      </w:r>
      <w:r>
        <w:rPr>
          <w:rFonts w:hint="eastAsia" w:ascii="Times New Roman" w:hAnsi="Times New Roman"/>
        </w:rPr>
        <w:t>，发展商贸物流枢纽经济。西部片区依托空港型国家物流枢纽，加快航空物流、临空制造、航空服务等产业发展和规模扩张，培育壮大临空经济。</w:t>
      </w:r>
    </w:p>
    <w:p>
      <w:pPr>
        <w:ind w:firstLine="632" w:firstLineChars="200"/>
        <w:outlineLvl w:val="0"/>
        <w:rPr>
          <w:rFonts w:hint="eastAsia" w:ascii="Times New Roman" w:hAnsi="Times New Roman" w:eastAsia="方正黑体_GBK"/>
        </w:rPr>
      </w:pPr>
      <w:bookmarkStart w:id="111" w:name="_Toc9371"/>
      <w:bookmarkStart w:id="112" w:name="_Toc23139"/>
      <w:bookmarkStart w:id="113" w:name="_Toc12286"/>
      <w:bookmarkStart w:id="114" w:name="_Toc32338"/>
      <w:bookmarkStart w:id="115" w:name="_Toc61863755"/>
      <w:r>
        <w:rPr>
          <w:rFonts w:hint="eastAsia" w:ascii="Times New Roman" w:hAnsi="Times New Roman" w:eastAsia="方正黑体_GBK"/>
        </w:rPr>
        <w:t>六、创建西部重要物流产业组织中心</w:t>
      </w:r>
      <w:bookmarkEnd w:id="111"/>
      <w:bookmarkEnd w:id="112"/>
      <w:bookmarkEnd w:id="113"/>
      <w:bookmarkEnd w:id="114"/>
      <w:bookmarkEnd w:id="115"/>
    </w:p>
    <w:p>
      <w:pPr>
        <w:ind w:firstLine="632" w:firstLineChars="200"/>
        <w:rPr>
          <w:rFonts w:ascii="Times New Roman" w:hAnsi="Times New Roman"/>
        </w:rPr>
      </w:pPr>
      <w:bookmarkStart w:id="116" w:name="_Toc31254"/>
      <w:r>
        <w:rPr>
          <w:rFonts w:hint="eastAsia" w:ascii="Times New Roman" w:hAnsi="Times New Roman"/>
        </w:rPr>
        <w:t>以国际物流大通道为主要载体，构建物流运营组织平台，分类聚集物流资源，强化国家物流枢纽资源整合作用，提高通道整体运行效率，将重庆打造</w:t>
      </w:r>
      <w:r>
        <w:rPr>
          <w:rFonts w:ascii="Times New Roman" w:hAnsi="Times New Roman"/>
        </w:rPr>
        <w:t>成为西部重要</w:t>
      </w:r>
      <w:r>
        <w:rPr>
          <w:rFonts w:hint="eastAsia" w:ascii="Times New Roman" w:hAnsi="Times New Roman"/>
        </w:rPr>
        <w:t>物流产业组织中心。</w:t>
      </w:r>
    </w:p>
    <w:p>
      <w:pPr>
        <w:ind w:firstLine="632" w:firstLineChars="200"/>
        <w:outlineLvl w:val="1"/>
        <w:rPr>
          <w:rFonts w:hint="eastAsia" w:ascii="Times New Roman" w:hAnsi="Times New Roman" w:eastAsia="方正楷体_GBK"/>
        </w:rPr>
      </w:pPr>
      <w:bookmarkStart w:id="117" w:name="_Toc31316"/>
      <w:bookmarkStart w:id="118" w:name="_Toc61863756"/>
      <w:bookmarkStart w:id="119" w:name="_Toc31250"/>
      <w:bookmarkStart w:id="120" w:name="_Toc5802"/>
      <w:r>
        <w:rPr>
          <w:rFonts w:hint="eastAsia" w:ascii="Times New Roman" w:hAnsi="Times New Roman" w:eastAsia="方正楷体_GBK"/>
        </w:rPr>
        <w:t>（一）创新建设西部陆海新通道物流和运营组织中心</w:t>
      </w:r>
      <w:bookmarkEnd w:id="117"/>
      <w:bookmarkEnd w:id="118"/>
      <w:bookmarkEnd w:id="119"/>
      <w:bookmarkEnd w:id="120"/>
    </w:p>
    <w:p>
      <w:pPr>
        <w:ind w:firstLine="632" w:firstLineChars="200"/>
        <w:rPr>
          <w:rFonts w:hint="eastAsia" w:ascii="Times New Roman" w:hAnsi="Times New Roman"/>
        </w:rPr>
      </w:pPr>
      <w:r>
        <w:rPr>
          <w:rFonts w:hint="eastAsia" w:ascii="Times New Roman" w:hAnsi="Times New Roman"/>
        </w:rPr>
        <w:t>强化通道物流和运营组织中心作用。继续推进通道物流和运营组织中心建设，围绕核心功能，合理设置任务体系，完善工作机制，发挥重要合作平台和重大事项协调主体作用。用好西部陆海新通道省际协商联席会议制度，共商形成通道整体发展战略，统筹区域合作与政策协同，凝聚沿线各方力量，共同将西部陆海新通道打造成世界级的物流产业走廊。</w:t>
      </w:r>
    </w:p>
    <w:p>
      <w:pPr>
        <w:ind w:firstLine="632" w:firstLineChars="200"/>
        <w:rPr>
          <w:rFonts w:hint="eastAsia" w:ascii="Times New Roman" w:hAnsi="Times New Roman"/>
        </w:rPr>
      </w:pPr>
      <w:r>
        <w:rPr>
          <w:rFonts w:hint="eastAsia" w:ascii="Times New Roman" w:hAnsi="Times New Roman"/>
        </w:rPr>
        <w:t>推进通道运营组织</w:t>
      </w:r>
      <w:r>
        <w:rPr>
          <w:rFonts w:ascii="Times New Roman" w:hAnsi="Times New Roman"/>
        </w:rPr>
        <w:t>各类</w:t>
      </w:r>
      <w:r>
        <w:rPr>
          <w:rFonts w:hint="eastAsia" w:ascii="Times New Roman" w:hAnsi="Times New Roman"/>
        </w:rPr>
        <w:t>平台建设。依托陆海新通道运营有限公司，推进通道统筹运营、统一品牌、统一规则、统一运作，在具备条件其具有需求的地区设立区域运营公司。加强通道沿线地区海关、口岸、交通等部门信息资源共享，建设</w:t>
      </w:r>
      <w:r>
        <w:rPr>
          <w:rFonts w:ascii="Times New Roman" w:hAnsi="Times New Roman"/>
        </w:rPr>
        <w:t>通道公共</w:t>
      </w:r>
      <w:r>
        <w:rPr>
          <w:rFonts w:hint="eastAsia" w:ascii="Times New Roman" w:hAnsi="Times New Roman"/>
        </w:rPr>
        <w:t>信息平台，整合接入铁路、航运、航空等各类物流服务资源信息。建立通道物流要素交易平台，以集装箱共享调拨体系建设为突破口，培育全通道挂车、集装箱、托盘等标准化载运设备统一市场，做大做强租赁、交易等业务，加强制度设计和服务创新，提升通道物流资源市场化配置效率和循环共用水平。</w:t>
      </w:r>
    </w:p>
    <w:p>
      <w:pPr>
        <w:ind w:firstLine="632" w:firstLineChars="200"/>
        <w:rPr>
          <w:rFonts w:hint="eastAsia" w:ascii="Times New Roman" w:hAnsi="Times New Roman"/>
        </w:rPr>
      </w:pPr>
      <w:r>
        <w:rPr>
          <w:rFonts w:hint="eastAsia" w:ascii="Times New Roman" w:hAnsi="Times New Roman"/>
        </w:rPr>
        <w:t>提升通道整体组织水平与服务质量。依托通道主、辅枢纽和干支联动节点，强化分工协作与联动组织，培育规模运作的通道服务和区域辐射支撑网络。全面提升区域合作能力和通关便利化水平，发展多种模式国际联运产品，加密线路班次，扩大重庆始发跨境集装箱班列、专列、公路班车规模。推动西部陆海新通道与其他出海出境大通道物流组织联动，打造重庆多通道中转联运组织中心。引导企业加强通道海外节点建设，强化内外联动，提升国际供应链服务功能。立足成渝地区双城经济圈建设，扩大通道对遂宁、南充等</w:t>
      </w:r>
      <w:r>
        <w:rPr>
          <w:rFonts w:ascii="Times New Roman" w:hAnsi="Times New Roman"/>
        </w:rPr>
        <w:t>节点</w:t>
      </w:r>
      <w:r>
        <w:rPr>
          <w:rFonts w:hint="eastAsia" w:ascii="Times New Roman" w:hAnsi="Times New Roman"/>
        </w:rPr>
        <w:t>城市的区域分拨网络</w:t>
      </w:r>
      <w:r>
        <w:rPr>
          <w:rFonts w:ascii="Times New Roman" w:hAnsi="Times New Roman"/>
        </w:rPr>
        <w:t>覆盖</w:t>
      </w:r>
      <w:r>
        <w:rPr>
          <w:rFonts w:hint="eastAsia" w:ascii="Times New Roman" w:hAnsi="Times New Roman"/>
        </w:rPr>
        <w:t>，支撑经济圈经济产业一体化发展。</w:t>
      </w:r>
    </w:p>
    <w:p>
      <w:pPr>
        <w:ind w:firstLine="632" w:firstLineChars="200"/>
        <w:outlineLvl w:val="1"/>
        <w:rPr>
          <w:rFonts w:hint="eastAsia" w:ascii="Times New Roman" w:hAnsi="Times New Roman" w:eastAsia="方正楷体_GBK"/>
        </w:rPr>
      </w:pPr>
      <w:bookmarkStart w:id="121" w:name="_Toc180"/>
      <w:bookmarkStart w:id="122" w:name="_Toc2891"/>
      <w:bookmarkStart w:id="123" w:name="_Toc15015"/>
      <w:bookmarkStart w:id="124" w:name="_Toc61863757"/>
      <w:bookmarkStart w:id="125" w:name="_Toc9699"/>
      <w:r>
        <w:rPr>
          <w:rFonts w:hint="eastAsia" w:ascii="Times New Roman" w:hAnsi="Times New Roman" w:eastAsia="方正楷体_GBK"/>
        </w:rPr>
        <w:t>（二）加快推进长江上游航运中心建设</w:t>
      </w:r>
      <w:bookmarkEnd w:id="121"/>
      <w:bookmarkEnd w:id="122"/>
      <w:bookmarkEnd w:id="123"/>
      <w:bookmarkEnd w:id="124"/>
      <w:bookmarkEnd w:id="125"/>
    </w:p>
    <w:p>
      <w:pPr>
        <w:ind w:firstLine="632" w:firstLineChars="200"/>
        <w:rPr>
          <w:rFonts w:hint="eastAsia" w:ascii="Times New Roman" w:hAnsi="Times New Roman"/>
        </w:rPr>
      </w:pPr>
      <w:r>
        <w:rPr>
          <w:rFonts w:hint="eastAsia" w:ascii="Times New Roman" w:hAnsi="Times New Roman"/>
        </w:rPr>
        <w:t>整合航运交易平台。以重庆港口型国家物流枢纽和库区内循环物流服务系统建设为依托，加强全市港口</w:t>
      </w:r>
      <w:r>
        <w:rPr>
          <w:rFonts w:ascii="Times New Roman" w:hAnsi="Times New Roman"/>
        </w:rPr>
        <w:t>与</w:t>
      </w:r>
      <w:r>
        <w:rPr>
          <w:rFonts w:hint="eastAsia" w:ascii="Times New Roman" w:hAnsi="Times New Roman"/>
        </w:rPr>
        <w:t>航运平台业务整合，打造统一的航运交易平台，拓展</w:t>
      </w:r>
      <w:r>
        <w:rPr>
          <w:rFonts w:ascii="Times New Roman" w:hAnsi="Times New Roman"/>
        </w:rPr>
        <w:t>增值</w:t>
      </w:r>
      <w:r>
        <w:rPr>
          <w:rFonts w:hint="eastAsia" w:ascii="Times New Roman" w:hAnsi="Times New Roman"/>
        </w:rPr>
        <w:t>服务功能。加强长江上游</w:t>
      </w:r>
      <w:r>
        <w:rPr>
          <w:rFonts w:ascii="Times New Roman" w:hAnsi="Times New Roman"/>
        </w:rPr>
        <w:t>航运市场</w:t>
      </w:r>
      <w:r>
        <w:rPr>
          <w:rFonts w:hint="eastAsia" w:ascii="Times New Roman" w:hAnsi="Times New Roman"/>
        </w:rPr>
        <w:t>资源整合，促进供需有效对接。密切联动上海国际航运中心，强化</w:t>
      </w:r>
      <w:r>
        <w:rPr>
          <w:rFonts w:ascii="Times New Roman" w:hAnsi="Times New Roman"/>
        </w:rPr>
        <w:t>江海联运业务协同</w:t>
      </w:r>
      <w:r>
        <w:rPr>
          <w:rFonts w:hint="eastAsia" w:ascii="Times New Roman" w:hAnsi="Times New Roman"/>
        </w:rPr>
        <w:t>，与沿江其他港口</w:t>
      </w:r>
      <w:r>
        <w:rPr>
          <w:rFonts w:ascii="Times New Roman" w:hAnsi="Times New Roman"/>
        </w:rPr>
        <w:t>和</w:t>
      </w:r>
      <w:r>
        <w:rPr>
          <w:rFonts w:hint="eastAsia" w:ascii="Times New Roman" w:hAnsi="Times New Roman"/>
        </w:rPr>
        <w:t>航运组织平台加强信息互联互通，打通</w:t>
      </w:r>
      <w:r>
        <w:rPr>
          <w:rFonts w:ascii="Times New Roman" w:hAnsi="Times New Roman"/>
        </w:rPr>
        <w:t>黄金水道数据链条</w:t>
      </w:r>
      <w:r>
        <w:rPr>
          <w:rFonts w:hint="eastAsia" w:ascii="Times New Roman" w:hAnsi="Times New Roman"/>
        </w:rPr>
        <w:t>，支持</w:t>
      </w:r>
      <w:r>
        <w:rPr>
          <w:rFonts w:ascii="Times New Roman" w:hAnsi="Times New Roman"/>
        </w:rPr>
        <w:t>上下游</w:t>
      </w:r>
      <w:r>
        <w:rPr>
          <w:rFonts w:hint="eastAsia" w:ascii="Times New Roman" w:hAnsi="Times New Roman"/>
        </w:rPr>
        <w:t>航运</w:t>
      </w:r>
      <w:r>
        <w:rPr>
          <w:rFonts w:ascii="Times New Roman" w:hAnsi="Times New Roman"/>
        </w:rPr>
        <w:t>一体化组织</w:t>
      </w:r>
      <w:r>
        <w:rPr>
          <w:rFonts w:hint="eastAsia" w:ascii="Times New Roman" w:hAnsi="Times New Roman"/>
        </w:rPr>
        <w:t>。加强与航运企业、货代企业、无船承运人等合作，高质量组织开行干线班轮运输服务，整合干支配业务。发掘平台大数据价值，精准提升航运服务。</w:t>
      </w:r>
    </w:p>
    <w:p>
      <w:pPr>
        <w:ind w:firstLine="632" w:firstLineChars="200"/>
        <w:rPr>
          <w:rFonts w:hint="eastAsia" w:ascii="Times New Roman" w:hAnsi="Times New Roman"/>
        </w:rPr>
      </w:pPr>
      <w:r>
        <w:rPr>
          <w:rFonts w:hint="eastAsia" w:ascii="Times New Roman" w:hAnsi="Times New Roman"/>
        </w:rPr>
        <w:t>提高港口资源利用效率。引导全市港口聚焦细分市场合理</w:t>
      </w:r>
      <w:r>
        <w:rPr>
          <w:rFonts w:ascii="Times New Roman" w:hAnsi="Times New Roman"/>
        </w:rPr>
        <w:t>分工</w:t>
      </w:r>
      <w:r>
        <w:rPr>
          <w:rFonts w:hint="eastAsia" w:ascii="Times New Roman" w:hAnsi="Times New Roman"/>
        </w:rPr>
        <w:t>，利用航运交易平台进行数据挖掘，为港口明确功能</w:t>
      </w:r>
      <w:r>
        <w:rPr>
          <w:rFonts w:ascii="Times New Roman" w:hAnsi="Times New Roman"/>
        </w:rPr>
        <w:t>定位</w:t>
      </w:r>
      <w:r>
        <w:rPr>
          <w:rFonts w:hint="eastAsia" w:ascii="Times New Roman" w:hAnsi="Times New Roman"/>
        </w:rPr>
        <w:t>、巩固开拓市场和优化结构功能布局提供</w:t>
      </w:r>
      <w:r>
        <w:rPr>
          <w:rFonts w:ascii="Times New Roman" w:hAnsi="Times New Roman"/>
        </w:rPr>
        <w:t>数据支撑</w:t>
      </w:r>
      <w:r>
        <w:rPr>
          <w:rFonts w:hint="eastAsia" w:ascii="Times New Roman" w:hAnsi="Times New Roman"/>
        </w:rPr>
        <w:t>。以</w:t>
      </w:r>
      <w:r>
        <w:rPr>
          <w:rFonts w:ascii="Times New Roman" w:hAnsi="Times New Roman"/>
        </w:rPr>
        <w:t>区县</w:t>
      </w:r>
      <w:r>
        <w:rPr>
          <w:rFonts w:hint="eastAsia" w:ascii="Times New Roman" w:hAnsi="Times New Roman"/>
        </w:rPr>
        <w:t>为主体</w:t>
      </w:r>
      <w:r>
        <w:rPr>
          <w:rFonts w:ascii="Times New Roman" w:hAnsi="Times New Roman"/>
        </w:rPr>
        <w:t>，</w:t>
      </w:r>
      <w:r>
        <w:rPr>
          <w:rFonts w:hint="eastAsia" w:ascii="Times New Roman" w:hAnsi="Times New Roman"/>
        </w:rPr>
        <w:t>推动长江</w:t>
      </w:r>
      <w:r>
        <w:rPr>
          <w:rFonts w:ascii="Times New Roman" w:hAnsi="Times New Roman"/>
        </w:rPr>
        <w:t>干支流</w:t>
      </w:r>
      <w:r>
        <w:rPr>
          <w:rFonts w:hint="eastAsia" w:ascii="Times New Roman" w:hAnsi="Times New Roman"/>
        </w:rPr>
        <w:t>港口资源分段整合，打造系列化港口服务品牌。加强与周边省市合作，推动上游港口货物在重庆枢纽港散改集、小转大，在下游主要港口集拼转运。加强航运平台与港口业务平台对接，统筹沿线港口航线开行和业务协作。鼓励港口之间、港口与航运企业之间依托国家物流枢纽进行资产整合，提高协作发展水平。鼓励重要港口培育干支配一体服务资源与增值服务功能整合，强化供应链集成能力，提高与区域经济融合发展水平。</w:t>
      </w:r>
    </w:p>
    <w:p>
      <w:pPr>
        <w:ind w:firstLine="632" w:firstLineChars="200"/>
        <w:rPr>
          <w:rFonts w:hint="eastAsia" w:ascii="Times New Roman" w:hAnsi="Times New Roman"/>
        </w:rPr>
      </w:pPr>
      <w:r>
        <w:rPr>
          <w:rFonts w:hint="eastAsia" w:ascii="Times New Roman" w:hAnsi="Times New Roman"/>
        </w:rPr>
        <w:t>提高航运服务水平。加强信息沟通与</w:t>
      </w:r>
      <w:r>
        <w:rPr>
          <w:rFonts w:ascii="Times New Roman" w:hAnsi="Times New Roman"/>
        </w:rPr>
        <w:t>组织协调</w:t>
      </w:r>
      <w:r>
        <w:rPr>
          <w:rFonts w:hint="eastAsia" w:ascii="Times New Roman" w:hAnsi="Times New Roman"/>
        </w:rPr>
        <w:t>，</w:t>
      </w:r>
      <w:r>
        <w:rPr>
          <w:rFonts w:ascii="Times New Roman" w:hAnsi="Times New Roman"/>
        </w:rPr>
        <w:t>准确掌握</w:t>
      </w:r>
      <w:r>
        <w:rPr>
          <w:rFonts w:hint="eastAsia" w:ascii="Times New Roman" w:hAnsi="Times New Roman"/>
        </w:rPr>
        <w:t>长江</w:t>
      </w:r>
      <w:r>
        <w:rPr>
          <w:rFonts w:ascii="Times New Roman" w:hAnsi="Times New Roman"/>
        </w:rPr>
        <w:t>过坝</w:t>
      </w:r>
      <w:r>
        <w:rPr>
          <w:rFonts w:hint="eastAsia" w:ascii="Times New Roman" w:hAnsi="Times New Roman"/>
        </w:rPr>
        <w:t>实时</w:t>
      </w:r>
      <w:r>
        <w:rPr>
          <w:rFonts w:ascii="Times New Roman" w:hAnsi="Times New Roman"/>
        </w:rPr>
        <w:t>信息，</w:t>
      </w:r>
      <w:r>
        <w:rPr>
          <w:rFonts w:hint="eastAsia" w:ascii="Times New Roman" w:hAnsi="Times New Roman"/>
        </w:rPr>
        <w:t>引导</w:t>
      </w:r>
      <w:r>
        <w:rPr>
          <w:rFonts w:ascii="Times New Roman" w:hAnsi="Times New Roman"/>
        </w:rPr>
        <w:t>港口、航运企业</w:t>
      </w:r>
      <w:r>
        <w:rPr>
          <w:rFonts w:hint="eastAsia" w:ascii="Times New Roman" w:hAnsi="Times New Roman"/>
        </w:rPr>
        <w:t>优化</w:t>
      </w:r>
      <w:r>
        <w:rPr>
          <w:rFonts w:ascii="Times New Roman" w:hAnsi="Times New Roman"/>
        </w:rPr>
        <w:t>航运组织</w:t>
      </w:r>
      <w:r>
        <w:rPr>
          <w:rFonts w:hint="eastAsia" w:ascii="Times New Roman" w:hAnsi="Times New Roman"/>
        </w:rPr>
        <w:t>。加强与武汉、南京、苏州、上海等沿江重要港口协作，推动到发班轮、货物信息共享，提高班轮作业效率。对接上海港国际航运业务，推进通关一体化，完善起运港退税政策，打造江海国际联运重庆品牌。密切航运服务与库区重化工业和临港产业布局关系，统筹公共码头与货主码头，打造功能强大的库区航运物流服务供应链。</w:t>
      </w:r>
    </w:p>
    <w:p>
      <w:pPr>
        <w:ind w:firstLine="632" w:firstLineChars="200"/>
        <w:outlineLvl w:val="1"/>
        <w:rPr>
          <w:rFonts w:hint="eastAsia" w:ascii="Times New Roman" w:hAnsi="Times New Roman" w:eastAsia="方正楷体_GBK"/>
        </w:rPr>
      </w:pPr>
      <w:bookmarkStart w:id="126" w:name="_Toc9814"/>
      <w:bookmarkStart w:id="127" w:name="_Toc61863758"/>
      <w:bookmarkStart w:id="128" w:name="_Toc17529"/>
      <w:bookmarkStart w:id="129" w:name="_Toc23206"/>
      <w:bookmarkStart w:id="130" w:name="_Toc28847"/>
      <w:r>
        <w:rPr>
          <w:rFonts w:hint="eastAsia" w:ascii="Times New Roman" w:hAnsi="Times New Roman" w:eastAsia="方正楷体_GBK"/>
        </w:rPr>
        <w:t>（三）提升亚欧国际物流大通道运营组织水平</w:t>
      </w:r>
      <w:bookmarkEnd w:id="126"/>
      <w:bookmarkEnd w:id="127"/>
      <w:bookmarkEnd w:id="128"/>
      <w:bookmarkEnd w:id="129"/>
      <w:bookmarkEnd w:id="130"/>
    </w:p>
    <w:p>
      <w:pPr>
        <w:ind w:firstLine="632" w:firstLineChars="200"/>
        <w:rPr>
          <w:rFonts w:ascii="Times New Roman" w:hAnsi="Times New Roman"/>
        </w:rPr>
      </w:pPr>
      <w:r>
        <w:rPr>
          <w:rFonts w:hint="eastAsia" w:ascii="Times New Roman" w:hAnsi="Times New Roman"/>
        </w:rPr>
        <w:t>持续提高通道物流组织效率。以中欧班列运营企业为</w:t>
      </w:r>
      <w:r>
        <w:rPr>
          <w:rFonts w:ascii="Times New Roman" w:hAnsi="Times New Roman"/>
        </w:rPr>
        <w:t>主体</w:t>
      </w:r>
      <w:r>
        <w:rPr>
          <w:rFonts w:hint="eastAsia" w:ascii="Times New Roman" w:hAnsi="Times New Roman"/>
        </w:rPr>
        <w:t>，打造供需对接服务平台，加强</w:t>
      </w:r>
      <w:r>
        <w:rPr>
          <w:rFonts w:ascii="Times New Roman" w:hAnsi="Times New Roman"/>
        </w:rPr>
        <w:t>通道货源组织，</w:t>
      </w:r>
      <w:r>
        <w:rPr>
          <w:rFonts w:hint="eastAsia" w:ascii="Times New Roman" w:hAnsi="Times New Roman"/>
        </w:rPr>
        <w:t>优化</w:t>
      </w:r>
      <w:r>
        <w:rPr>
          <w:rFonts w:ascii="Times New Roman" w:hAnsi="Times New Roman"/>
        </w:rPr>
        <w:t>班列线路班次，</w:t>
      </w:r>
      <w:r>
        <w:rPr>
          <w:rFonts w:hint="eastAsia" w:ascii="Times New Roman" w:hAnsi="Times New Roman"/>
        </w:rPr>
        <w:t>在提高</w:t>
      </w:r>
      <w:r>
        <w:rPr>
          <w:rFonts w:ascii="Times New Roman" w:hAnsi="Times New Roman"/>
        </w:rPr>
        <w:t>对周边</w:t>
      </w:r>
      <w:r>
        <w:rPr>
          <w:rFonts w:hint="eastAsia" w:ascii="Times New Roman" w:hAnsi="Times New Roman"/>
        </w:rPr>
        <w:t>区域</w:t>
      </w:r>
      <w:r>
        <w:rPr>
          <w:rFonts w:ascii="Times New Roman" w:hAnsi="Times New Roman"/>
        </w:rPr>
        <w:t>资源整合和辐射能力</w:t>
      </w:r>
      <w:r>
        <w:rPr>
          <w:rFonts w:hint="eastAsia" w:ascii="Times New Roman" w:hAnsi="Times New Roman"/>
        </w:rPr>
        <w:t>的</w:t>
      </w:r>
      <w:r>
        <w:rPr>
          <w:rFonts w:ascii="Times New Roman" w:hAnsi="Times New Roman"/>
        </w:rPr>
        <w:t>基础上，稳步扩大</w:t>
      </w:r>
      <w:r>
        <w:rPr>
          <w:rFonts w:hint="eastAsia" w:ascii="Times New Roman" w:hAnsi="Times New Roman"/>
        </w:rPr>
        <w:t>开行</w:t>
      </w:r>
      <w:r>
        <w:rPr>
          <w:rFonts w:ascii="Times New Roman" w:hAnsi="Times New Roman"/>
        </w:rPr>
        <w:t>范围</w:t>
      </w:r>
      <w:r>
        <w:rPr>
          <w:rFonts w:hint="eastAsia" w:ascii="Times New Roman" w:hAnsi="Times New Roman"/>
        </w:rPr>
        <w:t>。发挥重庆国际物流枢纽园区的运作支撑作用，加强与西部陆海新通道、长江黄金水道、航空大通道间的服务对接，增加物流服务选择性，形成通道物流网络化协同和规模放大效应。加强与区域网络衔接，扩大通道辐射区域范围。加快中欧班列集结中心建设，强化货物集拼、集成能力，进一步提升班列实载率。加强成渝地区中欧班列合作共建，按照“</w:t>
      </w:r>
      <w:r>
        <w:rPr>
          <w:rFonts w:hint="eastAsia" w:ascii="Times New Roman" w:hAnsi="Times New Roman"/>
          <w:szCs w:val="32"/>
        </w:rPr>
        <w:t>近、中、远”三步走发展思路，形成“统一发展、提质增效、创新融合”新格局，</w:t>
      </w:r>
      <w:r>
        <w:rPr>
          <w:rFonts w:hint="eastAsia" w:ascii="Times New Roman" w:hAnsi="Times New Roman"/>
        </w:rPr>
        <w:t>打造全国统一品牌中欧班列（成渝）号，</w:t>
      </w:r>
      <w:r>
        <w:rPr>
          <w:rFonts w:hint="eastAsia" w:ascii="Times New Roman" w:hAnsi="Times New Roman"/>
          <w:szCs w:val="32"/>
        </w:rPr>
        <w:t>促进两地通道与物流、贸易、产业的融合发展</w:t>
      </w:r>
      <w:r>
        <w:rPr>
          <w:rFonts w:ascii="Times New Roman" w:hAnsi="Times New Roman"/>
          <w:szCs w:val="32"/>
        </w:rPr>
        <w:t>。</w:t>
      </w:r>
    </w:p>
    <w:p>
      <w:pPr>
        <w:ind w:firstLine="632" w:firstLineChars="200"/>
        <w:rPr>
          <w:rFonts w:hint="eastAsia" w:ascii="Times New Roman" w:hAnsi="Times New Roman"/>
        </w:rPr>
      </w:pPr>
      <w:r>
        <w:rPr>
          <w:rFonts w:hint="eastAsia" w:ascii="Times New Roman" w:hAnsi="Times New Roman"/>
        </w:rPr>
        <w:t>引导通道</w:t>
      </w:r>
      <w:r>
        <w:rPr>
          <w:rFonts w:ascii="Times New Roman" w:hAnsi="Times New Roman"/>
        </w:rPr>
        <w:t>与沿线产业相互</w:t>
      </w:r>
      <w:r>
        <w:rPr>
          <w:rFonts w:hint="eastAsia" w:ascii="Times New Roman" w:hAnsi="Times New Roman"/>
        </w:rPr>
        <w:t>支撑</w:t>
      </w:r>
      <w:r>
        <w:rPr>
          <w:rFonts w:ascii="Times New Roman" w:hAnsi="Times New Roman"/>
        </w:rPr>
        <w:t>发展</w:t>
      </w:r>
      <w:r>
        <w:rPr>
          <w:rFonts w:hint="eastAsia" w:ascii="Times New Roman" w:hAnsi="Times New Roman"/>
        </w:rPr>
        <w:t>。发挥通道品牌价值和规模效益，打造物流供应链服务平台，扩大笔电等产业与物流融合发展的</w:t>
      </w:r>
      <w:r>
        <w:rPr>
          <w:rFonts w:ascii="Times New Roman" w:hAnsi="Times New Roman"/>
        </w:rPr>
        <w:t>协同效应</w:t>
      </w:r>
      <w:r>
        <w:rPr>
          <w:rFonts w:hint="eastAsia" w:ascii="Times New Roman" w:hAnsi="Times New Roman"/>
        </w:rPr>
        <w:t>，延伸契合通道方向的关联产业、产品物流服务链条，提升通道综合服务能力，支撑</w:t>
      </w:r>
      <w:r>
        <w:rPr>
          <w:rFonts w:ascii="Times New Roman" w:hAnsi="Times New Roman"/>
        </w:rPr>
        <w:t>相关</w:t>
      </w:r>
      <w:r>
        <w:rPr>
          <w:rFonts w:hint="eastAsia" w:ascii="Times New Roman" w:hAnsi="Times New Roman"/>
        </w:rPr>
        <w:t>产业</w:t>
      </w:r>
      <w:r>
        <w:rPr>
          <w:rFonts w:ascii="Times New Roman" w:hAnsi="Times New Roman"/>
        </w:rPr>
        <w:t>国际竞争力</w:t>
      </w:r>
      <w:r>
        <w:rPr>
          <w:rFonts w:hint="eastAsia" w:ascii="Times New Roman" w:hAnsi="Times New Roman"/>
        </w:rPr>
        <w:t>提升。提高通道带动产业布局发展能力，吸引对</w:t>
      </w:r>
      <w:r>
        <w:rPr>
          <w:rFonts w:ascii="Times New Roman" w:hAnsi="Times New Roman"/>
        </w:rPr>
        <w:t>通道物流服务具有潜在需求的</w:t>
      </w:r>
      <w:r>
        <w:rPr>
          <w:rFonts w:hint="eastAsia" w:ascii="Times New Roman" w:hAnsi="Times New Roman"/>
        </w:rPr>
        <w:t>产业</w:t>
      </w:r>
      <w:r>
        <w:rPr>
          <w:rFonts w:ascii="Times New Roman" w:hAnsi="Times New Roman"/>
        </w:rPr>
        <w:t>沿</w:t>
      </w:r>
      <w:r>
        <w:rPr>
          <w:rFonts w:hint="eastAsia" w:ascii="Times New Roman" w:hAnsi="Times New Roman"/>
        </w:rPr>
        <w:t>通道</w:t>
      </w:r>
      <w:r>
        <w:rPr>
          <w:rFonts w:ascii="Times New Roman" w:hAnsi="Times New Roman"/>
        </w:rPr>
        <w:t>布局</w:t>
      </w:r>
      <w:r>
        <w:rPr>
          <w:rFonts w:hint="eastAsia" w:ascii="Times New Roman" w:hAnsi="Times New Roman"/>
        </w:rPr>
        <w:t>，引导原材料、零部件等</w:t>
      </w:r>
      <w:r>
        <w:rPr>
          <w:rFonts w:ascii="Times New Roman" w:hAnsi="Times New Roman"/>
        </w:rPr>
        <w:t>上下游产业</w:t>
      </w:r>
      <w:r>
        <w:rPr>
          <w:rFonts w:hint="eastAsia" w:ascii="Times New Roman" w:hAnsi="Times New Roman"/>
        </w:rPr>
        <w:t>就近配套，提高产业布局集中度，增强对</w:t>
      </w:r>
      <w:r>
        <w:rPr>
          <w:rFonts w:ascii="Times New Roman" w:hAnsi="Times New Roman"/>
        </w:rPr>
        <w:t>通道运行的</w:t>
      </w:r>
      <w:r>
        <w:rPr>
          <w:rFonts w:hint="eastAsia" w:ascii="Times New Roman" w:hAnsi="Times New Roman"/>
        </w:rPr>
        <w:t>市场需求支撑。加强通道运行的商贸、金融、信息等服务集成，提高物流服务附加值，营造产业提升</w:t>
      </w:r>
      <w:r>
        <w:rPr>
          <w:rFonts w:ascii="Times New Roman" w:hAnsi="Times New Roman"/>
        </w:rPr>
        <w:t>发展和</w:t>
      </w:r>
      <w:r>
        <w:rPr>
          <w:rFonts w:hint="eastAsia" w:ascii="Times New Roman" w:hAnsi="Times New Roman"/>
        </w:rPr>
        <w:t>价值增值的物流环境。</w:t>
      </w:r>
    </w:p>
    <w:p>
      <w:pPr>
        <w:ind w:firstLine="632" w:firstLineChars="200"/>
        <w:outlineLvl w:val="1"/>
        <w:rPr>
          <w:rFonts w:hint="eastAsia" w:ascii="Times New Roman" w:hAnsi="Times New Roman" w:eastAsia="方正楷体_GBK"/>
        </w:rPr>
      </w:pPr>
      <w:bookmarkStart w:id="131" w:name="_Toc11599"/>
      <w:bookmarkStart w:id="132" w:name="_Toc13915"/>
      <w:bookmarkStart w:id="133" w:name="_Toc4999"/>
      <w:bookmarkStart w:id="134" w:name="_Toc61863759"/>
      <w:bookmarkStart w:id="135" w:name="_Toc32082"/>
      <w:r>
        <w:rPr>
          <w:rFonts w:hint="eastAsia" w:ascii="Times New Roman" w:hAnsi="Times New Roman" w:eastAsia="方正楷体_GBK"/>
        </w:rPr>
        <w:t>（四）培育发展航空物流枢纽运营平台</w:t>
      </w:r>
      <w:bookmarkEnd w:id="131"/>
      <w:bookmarkEnd w:id="132"/>
      <w:bookmarkEnd w:id="133"/>
      <w:bookmarkEnd w:id="134"/>
      <w:bookmarkEnd w:id="135"/>
    </w:p>
    <w:p>
      <w:pPr>
        <w:ind w:firstLine="632" w:firstLineChars="200"/>
        <w:rPr>
          <w:rFonts w:hint="eastAsia" w:ascii="Times New Roman" w:hAnsi="Times New Roman"/>
        </w:rPr>
      </w:pPr>
      <w:r>
        <w:rPr>
          <w:rFonts w:hint="eastAsia" w:ascii="Times New Roman" w:hAnsi="Times New Roman"/>
        </w:rPr>
        <w:t>搭建航空物流平台。依托重庆空港型国家物流枢纽，打造航空货运组织平台，整合“1+3+6+N”机场航线资源，根据</w:t>
      </w:r>
      <w:r>
        <w:rPr>
          <w:rFonts w:ascii="Times New Roman" w:hAnsi="Times New Roman"/>
        </w:rPr>
        <w:t>细分市场进行航空物流产品整体设计，创建统一品牌，</w:t>
      </w:r>
      <w:r>
        <w:rPr>
          <w:rFonts w:hint="eastAsia" w:ascii="Times New Roman" w:hAnsi="Times New Roman"/>
        </w:rPr>
        <w:t>对接分散的航空物流需求，提高重庆航空物流组织化水平。支持</w:t>
      </w:r>
      <w:r>
        <w:rPr>
          <w:rFonts w:ascii="Times New Roman" w:hAnsi="Times New Roman"/>
        </w:rPr>
        <w:t>平台</w:t>
      </w:r>
      <w:r>
        <w:rPr>
          <w:rFonts w:hint="eastAsia" w:ascii="Times New Roman" w:hAnsi="Times New Roman"/>
        </w:rPr>
        <w:t>主动对接成都航空物流资源，</w:t>
      </w:r>
      <w:r>
        <w:rPr>
          <w:rFonts w:ascii="Times New Roman" w:hAnsi="Times New Roman"/>
        </w:rPr>
        <w:t>协调线路开辟与班次安排，</w:t>
      </w:r>
      <w:r>
        <w:rPr>
          <w:rFonts w:hint="eastAsia" w:ascii="Times New Roman" w:hAnsi="Times New Roman"/>
        </w:rPr>
        <w:t>协商</w:t>
      </w:r>
      <w:r>
        <w:rPr>
          <w:rFonts w:ascii="Times New Roman" w:hAnsi="Times New Roman"/>
        </w:rPr>
        <w:t>共建区域航空网络，</w:t>
      </w:r>
      <w:r>
        <w:rPr>
          <w:rFonts w:hint="eastAsia" w:ascii="Times New Roman" w:hAnsi="Times New Roman"/>
        </w:rPr>
        <w:t>营造</w:t>
      </w:r>
      <w:r>
        <w:rPr>
          <w:rFonts w:ascii="Times New Roman" w:hAnsi="Times New Roman"/>
        </w:rPr>
        <w:t>高端产业发展的航空物流环境，</w:t>
      </w:r>
      <w:r>
        <w:rPr>
          <w:rFonts w:hint="eastAsia" w:ascii="Times New Roman" w:hAnsi="Times New Roman"/>
        </w:rPr>
        <w:t>共同</w:t>
      </w:r>
      <w:r>
        <w:rPr>
          <w:rFonts w:ascii="Times New Roman" w:hAnsi="Times New Roman"/>
        </w:rPr>
        <w:t>做大做强西南地区航空物流市场，</w:t>
      </w:r>
      <w:r>
        <w:rPr>
          <w:rFonts w:hint="eastAsia" w:ascii="Times New Roman" w:hAnsi="Times New Roman"/>
        </w:rPr>
        <w:t>形成成渝地区双城经济圈航空物流网络规模效应。</w:t>
      </w:r>
    </w:p>
    <w:p>
      <w:pPr>
        <w:ind w:firstLine="632" w:firstLineChars="200"/>
        <w:rPr>
          <w:rFonts w:hint="eastAsia" w:ascii="Times New Roman" w:hAnsi="Times New Roman"/>
        </w:rPr>
      </w:pPr>
      <w:r>
        <w:rPr>
          <w:rFonts w:hint="eastAsia" w:ascii="Times New Roman" w:hAnsi="Times New Roman"/>
        </w:rPr>
        <w:t>完善航空枢纽功能。引进</w:t>
      </w:r>
      <w:r>
        <w:rPr>
          <w:rFonts w:ascii="Times New Roman" w:hAnsi="Times New Roman"/>
        </w:rPr>
        <w:t>专业航空物流企业，</w:t>
      </w:r>
      <w:r>
        <w:rPr>
          <w:rFonts w:hint="eastAsia" w:ascii="Times New Roman" w:hAnsi="Times New Roman"/>
        </w:rPr>
        <w:t>培育</w:t>
      </w:r>
      <w:r>
        <w:rPr>
          <w:rFonts w:ascii="Times New Roman" w:hAnsi="Times New Roman"/>
        </w:rPr>
        <w:t>壮大</w:t>
      </w:r>
      <w:r>
        <w:rPr>
          <w:rFonts w:hint="eastAsia" w:ascii="Times New Roman" w:hAnsi="Times New Roman"/>
        </w:rPr>
        <w:t>全货机航空运输市场，支持企业加密航线网络，鼓励</w:t>
      </w:r>
      <w:r>
        <w:rPr>
          <w:rFonts w:ascii="Times New Roman" w:hAnsi="Times New Roman"/>
        </w:rPr>
        <w:t>发展客机腹舱带货</w:t>
      </w:r>
      <w:r>
        <w:rPr>
          <w:rFonts w:hint="eastAsia" w:ascii="Times New Roman" w:hAnsi="Times New Roman"/>
        </w:rPr>
        <w:t>。加快快递、电商、跨境电商、冷链等航空物流需求资源聚集，发展</w:t>
      </w:r>
      <w:r>
        <w:rPr>
          <w:rFonts w:ascii="Times New Roman" w:hAnsi="Times New Roman"/>
        </w:rPr>
        <w:t>专业化航空物流服务，</w:t>
      </w:r>
      <w:r>
        <w:rPr>
          <w:rFonts w:hint="eastAsia" w:ascii="Times New Roman" w:hAnsi="Times New Roman"/>
        </w:rPr>
        <w:t>加强供需匹配。强化航空干支中转组织，加强地面衔接物流体系建设，发展对接航空干线的“卡车航班”等服务，打造覆盖西部的航空物流集散分拨中心。强化第二机场</w:t>
      </w:r>
      <w:r>
        <w:rPr>
          <w:rFonts w:ascii="Times New Roman" w:hAnsi="Times New Roman"/>
        </w:rPr>
        <w:t>航空货运</w:t>
      </w:r>
      <w:r>
        <w:rPr>
          <w:rFonts w:hint="eastAsia" w:ascii="Times New Roman" w:hAnsi="Times New Roman"/>
        </w:rPr>
        <w:t>功能</w:t>
      </w:r>
      <w:r>
        <w:rPr>
          <w:rFonts w:ascii="Times New Roman" w:hAnsi="Times New Roman"/>
        </w:rPr>
        <w:t>，</w:t>
      </w:r>
      <w:r>
        <w:rPr>
          <w:rFonts w:hint="eastAsia" w:ascii="Times New Roman" w:hAnsi="Times New Roman"/>
        </w:rPr>
        <w:t>发展</w:t>
      </w:r>
      <w:r>
        <w:rPr>
          <w:rFonts w:ascii="Times New Roman" w:hAnsi="Times New Roman"/>
        </w:rPr>
        <w:t>基地航空公司，</w:t>
      </w:r>
      <w:r>
        <w:rPr>
          <w:rFonts w:hint="eastAsia" w:ascii="Times New Roman" w:hAnsi="Times New Roman"/>
        </w:rPr>
        <w:t>探索依托网络型物流企业重构航空网络组织结构，打造</w:t>
      </w:r>
      <w:r>
        <w:rPr>
          <w:rFonts w:ascii="Times New Roman" w:hAnsi="Times New Roman"/>
        </w:rPr>
        <w:t>轴辐式航</w:t>
      </w:r>
      <w:r>
        <w:rPr>
          <w:rFonts w:hint="eastAsia" w:ascii="Times New Roman" w:hAnsi="Times New Roman"/>
        </w:rPr>
        <w:t>线</w:t>
      </w:r>
      <w:r>
        <w:rPr>
          <w:rFonts w:ascii="Times New Roman" w:hAnsi="Times New Roman"/>
        </w:rPr>
        <w:t>网络，</w:t>
      </w:r>
      <w:r>
        <w:rPr>
          <w:rFonts w:hint="eastAsia" w:ascii="Times New Roman" w:hAnsi="Times New Roman"/>
        </w:rPr>
        <w:t>提升重庆航空枢纽地位。</w:t>
      </w:r>
    </w:p>
    <w:p>
      <w:pPr>
        <w:ind w:firstLine="632" w:firstLineChars="200"/>
        <w:rPr>
          <w:rFonts w:hint="eastAsia" w:ascii="Times New Roman" w:hAnsi="Times New Roman"/>
        </w:rPr>
      </w:pPr>
      <w:r>
        <w:rPr>
          <w:rFonts w:hint="eastAsia" w:ascii="Times New Roman" w:hAnsi="Times New Roman"/>
        </w:rPr>
        <w:t>推动临空经济融合发展。结合机场功能定位</w:t>
      </w:r>
      <w:r>
        <w:rPr>
          <w:rFonts w:ascii="Times New Roman" w:hAnsi="Times New Roman"/>
        </w:rPr>
        <w:t>与</w:t>
      </w:r>
      <w:r>
        <w:rPr>
          <w:rFonts w:hint="eastAsia" w:ascii="Times New Roman" w:hAnsi="Times New Roman"/>
        </w:rPr>
        <w:t>空间布局，统筹</w:t>
      </w:r>
      <w:r>
        <w:rPr>
          <w:rFonts w:ascii="Times New Roman" w:hAnsi="Times New Roman"/>
        </w:rPr>
        <w:t>谋划临空产业布局与发展，</w:t>
      </w:r>
      <w:r>
        <w:rPr>
          <w:rFonts w:hint="eastAsia" w:ascii="Times New Roman" w:hAnsi="Times New Roman"/>
        </w:rPr>
        <w:t>加强与航空物流设施空间协同。促进航线培育与临空产业发展融合</w:t>
      </w:r>
      <w:r>
        <w:rPr>
          <w:rFonts w:ascii="Times New Roman" w:hAnsi="Times New Roman"/>
        </w:rPr>
        <w:t>联动</w:t>
      </w:r>
      <w:r>
        <w:rPr>
          <w:rFonts w:hint="eastAsia" w:ascii="Times New Roman" w:hAnsi="Times New Roman"/>
        </w:rPr>
        <w:t>，依托高品质航空物流服务环境，加速传统产业转型升级，引导高端制造、生物医药、生鲜食品等航空需求型产业集聚，形成航空物流供需互促发展格局。推动</w:t>
      </w:r>
      <w:r>
        <w:rPr>
          <w:rFonts w:ascii="Times New Roman" w:hAnsi="Times New Roman"/>
        </w:rPr>
        <w:t>航空物流服务深度嵌入</w:t>
      </w:r>
      <w:r>
        <w:rPr>
          <w:rFonts w:hint="eastAsia" w:ascii="Times New Roman" w:hAnsi="Times New Roman"/>
        </w:rPr>
        <w:t>临空产业供应链，优化物流组织，拓展</w:t>
      </w:r>
      <w:r>
        <w:rPr>
          <w:rFonts w:ascii="Times New Roman" w:hAnsi="Times New Roman"/>
        </w:rPr>
        <w:t>特色服务，</w:t>
      </w:r>
      <w:r>
        <w:rPr>
          <w:rFonts w:hint="eastAsia" w:ascii="Times New Roman" w:hAnsi="Times New Roman"/>
        </w:rPr>
        <w:t>打造航空物流与临空经济</w:t>
      </w:r>
      <w:r>
        <w:rPr>
          <w:rFonts w:ascii="Times New Roman" w:hAnsi="Times New Roman"/>
        </w:rPr>
        <w:t>融合发展新范式</w:t>
      </w:r>
      <w:r>
        <w:rPr>
          <w:rFonts w:hint="eastAsia" w:ascii="Times New Roman" w:hAnsi="Times New Roman"/>
        </w:rPr>
        <w:t>。</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05"/>
      </w:tblGrid>
      <w:tr>
        <w:tc>
          <w:tcPr>
            <w:tcW w:w="8805"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3</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物流产业组织中心建设工程</w:t>
            </w:r>
          </w:p>
        </w:tc>
      </w:tr>
      <w:tr>
        <w:trPr>
          <w:trHeight w:val="416" w:hRule="atLeast"/>
        </w:trPr>
        <w:tc>
          <w:tcPr>
            <w:tcW w:w="8805" w:type="dxa"/>
          </w:tcPr>
          <w:p>
            <w:pPr>
              <w:ind w:firstLine="480"/>
              <w:rPr>
                <w:b w:val="1"/>
                <w:kern w:val="0"/>
                <w:rFonts w:ascii="Times New Roman" w:hAnsi="Times New Roman"/>
                <w:sz w:val="24"/>
                <w:szCs w:val="24"/>
              </w:rPr>
            </w:pPr>
            <w:r>
              <w:rPr>
                <w:b w:val="1"/>
                <w:kern w:val="0"/>
                <w:rFonts w:hint="eastAsia" w:ascii="Times New Roman" w:hAnsi="Times New Roman"/>
                <w:sz w:val="24"/>
                <w:szCs w:val="24"/>
              </w:rPr>
              <w:t>（一）通道运营主体培育工程</w:t>
            </w:r>
          </w:p>
          <w:p>
            <w:pPr>
              <w:ind w:firstLine="480"/>
              <w:rPr>
                <w:kern w:val="0"/>
                <w:rFonts w:ascii="Times New Roman" w:hAnsi="Times New Roman"/>
                <w:sz w:val="24"/>
                <w:szCs w:val="24"/>
              </w:rPr>
            </w:pPr>
            <w:r>
              <w:rPr>
                <w:kern w:val="0"/>
                <w:rFonts w:hint="eastAsia" w:ascii="Times New Roman" w:hAnsi="Times New Roman"/>
                <w:sz w:val="24"/>
                <w:szCs w:val="24"/>
              </w:rPr>
              <w:t>以重庆国际物流集团为主体，加强通道运营平台的信息、业务、资产整合，统筹开展通道运输组织。继续发挥渝新欧公司亚欧国际通道运营主体作用，加快推进重庆中欧班列集结中心示范工程。以港口型国家物流枢纽为运营主体，联动航交所，推进长江上游航运</w:t>
            </w:r>
            <w:r>
              <w:rPr>
                <w:kern w:val="0"/>
                <w:rFonts w:ascii="Times New Roman" w:hAnsi="Times New Roman"/>
                <w:sz w:val="24"/>
                <w:szCs w:val="24"/>
              </w:rPr>
              <w:t>中心</w:t>
            </w:r>
            <w:r>
              <w:rPr>
                <w:kern w:val="0"/>
                <w:rFonts w:hint="eastAsia" w:ascii="Times New Roman" w:hAnsi="Times New Roman"/>
                <w:sz w:val="24"/>
                <w:szCs w:val="24"/>
              </w:rPr>
              <w:t>建设。以空港型</w:t>
            </w:r>
            <w:r>
              <w:rPr>
                <w:kern w:val="0"/>
                <w:rFonts w:ascii="Times New Roman" w:hAnsi="Times New Roman"/>
                <w:sz w:val="24"/>
                <w:szCs w:val="24"/>
              </w:rPr>
              <w:t>国家</w:t>
            </w:r>
            <w:r>
              <w:rPr>
                <w:kern w:val="0"/>
                <w:rFonts w:hint="eastAsia" w:ascii="Times New Roman" w:hAnsi="Times New Roman"/>
                <w:sz w:val="24"/>
                <w:szCs w:val="24"/>
              </w:rPr>
              <w:t>物流枢纽运营</w:t>
            </w:r>
            <w:r>
              <w:rPr>
                <w:kern w:val="0"/>
                <w:rFonts w:ascii="Times New Roman" w:hAnsi="Times New Roman"/>
                <w:sz w:val="24"/>
                <w:szCs w:val="24"/>
              </w:rPr>
              <w:t>主体</w:t>
            </w:r>
            <w:r>
              <w:rPr>
                <w:kern w:val="0"/>
                <w:rFonts w:hint="eastAsia" w:ascii="Times New Roman" w:hAnsi="Times New Roman"/>
                <w:sz w:val="24"/>
                <w:szCs w:val="24"/>
              </w:rPr>
              <w:t>为主</w:t>
            </w:r>
            <w:r>
              <w:rPr>
                <w:kern w:val="0"/>
                <w:rFonts w:ascii="Times New Roman" w:hAnsi="Times New Roman"/>
                <w:sz w:val="24"/>
                <w:szCs w:val="24"/>
              </w:rPr>
              <w:t>，联合主要航空货运企业，</w:t>
            </w:r>
            <w:r>
              <w:rPr>
                <w:kern w:val="0"/>
                <w:rFonts w:hint="eastAsia" w:ascii="Times New Roman" w:hAnsi="Times New Roman"/>
                <w:sz w:val="24"/>
                <w:szCs w:val="24"/>
              </w:rPr>
              <w:t>建设航空物流枢纽运营平台。</w:t>
            </w:r>
          </w:p>
          <w:p>
            <w:pPr>
              <w:ind w:firstLine="480"/>
              <w:rPr>
                <w:b w:val="1"/>
                <w:kern w:val="0"/>
                <w:rFonts w:ascii="Times New Roman" w:hAnsi="Times New Roman"/>
                <w:sz w:val="24"/>
                <w:szCs w:val="24"/>
              </w:rPr>
            </w:pPr>
            <w:r>
              <w:rPr>
                <w:b w:val="1"/>
                <w:kern w:val="0"/>
                <w:rFonts w:hint="eastAsia" w:ascii="Times New Roman" w:hAnsi="Times New Roman"/>
                <w:sz w:val="24"/>
                <w:szCs w:val="24"/>
              </w:rPr>
              <w:t>（二）物流资源流转交易平台建设工程</w:t>
            </w:r>
          </w:p>
          <w:p>
            <w:pPr>
              <w:ind w:firstLine="480"/>
              <w:rPr>
                <w:kern w:val="0"/>
                <w:rFonts w:ascii="Times New Roman" w:hAnsi="Times New Roman"/>
                <w:sz w:val="24"/>
                <w:szCs w:val="24"/>
              </w:rPr>
            </w:pPr>
            <w:r>
              <w:rPr>
                <w:kern w:val="0"/>
                <w:rFonts w:hint="eastAsia" w:ascii="Times New Roman" w:hAnsi="Times New Roman"/>
                <w:sz w:val="24"/>
                <w:szCs w:val="24"/>
              </w:rPr>
              <w:t>建设通道物流要素交易平台，先期在长江黄金水道、西部陆海新通道等通道推进，对接和引进物流装备资产租赁等企业资源，开展挂车等运输工具，集装箱、托盘等标准化器具设备的租赁交易等服务，逐步拓展资源交易领域、服务范围，构建重庆综合</w:t>
            </w:r>
            <w:r>
              <w:rPr>
                <w:kern w:val="0"/>
                <w:rFonts w:ascii="Times New Roman" w:hAnsi="Times New Roman"/>
                <w:sz w:val="24"/>
                <w:szCs w:val="24"/>
              </w:rPr>
              <w:t>性</w:t>
            </w:r>
            <w:r>
              <w:rPr>
                <w:kern w:val="0"/>
                <w:rFonts w:hint="eastAsia" w:ascii="Times New Roman" w:hAnsi="Times New Roman"/>
                <w:sz w:val="24"/>
                <w:szCs w:val="24"/>
              </w:rPr>
              <w:t>物流资源交易体系。</w:t>
            </w:r>
          </w:p>
        </w:tc>
      </w:tr>
    </w:tbl>
    <w:p>
      <w:pPr>
        <w:ind w:firstLine="632" w:firstLineChars="200"/>
        <w:outlineLvl w:val="0"/>
        <w:rPr>
          <w:rFonts w:hint="eastAsia" w:ascii="Times New Roman" w:hAnsi="Times New Roman" w:eastAsia="方正黑体_GBK"/>
        </w:rPr>
      </w:pPr>
      <w:bookmarkStart w:id="136" w:name="_Toc10265"/>
      <w:bookmarkStart w:id="137" w:name="_Toc1964"/>
      <w:bookmarkStart w:id="138" w:name="_Toc561"/>
      <w:bookmarkStart w:id="139" w:name="_Toc25815"/>
      <w:bookmarkStart w:id="140" w:name="_Toc61863760"/>
      <w:r>
        <w:rPr>
          <w:rFonts w:hint="eastAsia" w:ascii="Times New Roman" w:hAnsi="Times New Roman" w:eastAsia="方正黑体_GBK"/>
        </w:rPr>
        <w:t>七、构建支撑产业高质量发展的供应链服务体系</w:t>
      </w:r>
      <w:bookmarkEnd w:id="136"/>
      <w:bookmarkEnd w:id="137"/>
      <w:bookmarkEnd w:id="138"/>
      <w:bookmarkEnd w:id="139"/>
      <w:bookmarkEnd w:id="140"/>
    </w:p>
    <w:p>
      <w:pPr>
        <w:ind w:firstLine="632" w:firstLineChars="200"/>
        <w:rPr>
          <w:rFonts w:ascii="Times New Roman" w:hAnsi="Times New Roman"/>
        </w:rPr>
      </w:pPr>
      <w:bookmarkStart w:id="141" w:name="_Toc30399"/>
      <w:r>
        <w:rPr>
          <w:rFonts w:hint="eastAsia" w:ascii="Times New Roman" w:hAnsi="Times New Roman"/>
        </w:rPr>
        <w:t>引导物流服务嵌入区域重点制造、商贸产业生产流通环节和服务链条，推动区域供应链整合重构，延伸产业链，提升价值链，支撑区域经济高质量发展和加快建设现代产业体系，培育重庆参与国际竞争新优势。</w:t>
      </w:r>
    </w:p>
    <w:p>
      <w:pPr>
        <w:ind w:firstLine="632" w:firstLineChars="200"/>
        <w:outlineLvl w:val="1"/>
        <w:rPr>
          <w:rFonts w:hint="eastAsia" w:ascii="Times New Roman" w:hAnsi="Times New Roman" w:eastAsia="方正楷体_GBK"/>
        </w:rPr>
      </w:pPr>
      <w:bookmarkStart w:id="142" w:name="_Toc7862"/>
      <w:bookmarkStart w:id="143" w:name="_Toc6801"/>
      <w:bookmarkStart w:id="144" w:name="_Toc61863761"/>
      <w:bookmarkStart w:id="145" w:name="_Toc17201"/>
      <w:r>
        <w:rPr>
          <w:rFonts w:hint="eastAsia" w:ascii="Times New Roman" w:hAnsi="Times New Roman" w:eastAsia="方正楷体_GBK"/>
        </w:rPr>
        <w:t>（一）创建制造业供应链物流服务体系</w:t>
      </w:r>
      <w:bookmarkEnd w:id="142"/>
      <w:bookmarkEnd w:id="143"/>
      <w:bookmarkEnd w:id="144"/>
      <w:bookmarkEnd w:id="145"/>
    </w:p>
    <w:p>
      <w:pPr>
        <w:ind w:firstLine="632" w:firstLineChars="200"/>
        <w:rPr>
          <w:rFonts w:hint="eastAsia" w:ascii="Times New Roman" w:hAnsi="Times New Roman"/>
        </w:rPr>
      </w:pPr>
      <w:r>
        <w:rPr>
          <w:rFonts w:hint="eastAsia" w:ascii="Times New Roman" w:hAnsi="Times New Roman"/>
        </w:rPr>
        <w:t>打造重点产业供应链物流服务系统。结合智能制造、智慧工厂等智能化生产体系建设和产业智能化改造，重点聚焦汽车、电子信息、机械制造、新材料、消费品工业等产业，打造重点制造业供应链物流服务系统，提升制造业生产流通效率、降低运行成本。引领制造业物流与生产、营销</w:t>
      </w:r>
      <w:r>
        <w:rPr>
          <w:rFonts w:ascii="Times New Roman" w:hAnsi="Times New Roman"/>
        </w:rPr>
        <w:t>、</w:t>
      </w:r>
      <w:r>
        <w:rPr>
          <w:rFonts w:hint="eastAsia" w:ascii="Times New Roman" w:hAnsi="Times New Roman"/>
        </w:rPr>
        <w:t>金融、信息等发展要素深度融合，全链条打造个性化制造业供应链服务体系。</w:t>
      </w:r>
    </w:p>
    <w:p>
      <w:pPr>
        <w:ind w:firstLine="632" w:firstLineChars="200"/>
        <w:rPr>
          <w:rFonts w:hint="eastAsia" w:ascii="Times New Roman" w:hAnsi="Times New Roman"/>
        </w:rPr>
      </w:pPr>
      <w:r>
        <w:rPr>
          <w:rFonts w:hint="eastAsia" w:ascii="Times New Roman" w:hAnsi="Times New Roman"/>
        </w:rPr>
        <w:t>构建生产供应链公共物流服务系统。以国家物流枢纽产业服务功能区为核心载体，联动工业园区布局，深化制造业企业与贸易、物流、金融企业合作</w:t>
      </w:r>
      <w:r>
        <w:rPr>
          <w:rFonts w:ascii="Times New Roman" w:hAnsi="Times New Roman"/>
        </w:rPr>
        <w:t>，</w:t>
      </w:r>
      <w:r>
        <w:rPr>
          <w:rFonts w:hint="eastAsia" w:ascii="Times New Roman" w:hAnsi="Times New Roman"/>
        </w:rPr>
        <w:t>加快建设公共型物流基础设施和物流组织服务体系，打造高度集成的制造业供应链物流服务平台。发挥物流枢纽对产业集聚扩张发展的引领作用，打造集进出口、集中采购、区域分拨、高端仓储、流通加工、物流信息、供应链金融等于一体的物流服务平台。</w:t>
      </w:r>
    </w:p>
    <w:p>
      <w:pPr>
        <w:ind w:firstLine="632" w:firstLineChars="200"/>
        <w:rPr>
          <w:rFonts w:hint="eastAsia" w:ascii="Times New Roman" w:hAnsi="Times New Roman"/>
        </w:rPr>
      </w:pPr>
      <w:r>
        <w:rPr>
          <w:rFonts w:hint="eastAsia" w:ascii="Times New Roman" w:hAnsi="Times New Roman"/>
        </w:rPr>
        <w:t>提升专业供应链物流集成服务。以汽车及零部件、机械制造等产业为重点</w:t>
      </w:r>
      <w:r>
        <w:rPr>
          <w:rFonts w:ascii="Times New Roman" w:hAnsi="Times New Roman"/>
        </w:rPr>
        <w:t>，</w:t>
      </w:r>
      <w:r>
        <w:rPr>
          <w:rFonts w:hint="eastAsia" w:ascii="Times New Roman" w:hAnsi="Times New Roman"/>
        </w:rPr>
        <w:t>结合主城都市区、万州等地区</w:t>
      </w:r>
      <w:r>
        <w:rPr>
          <w:rFonts w:ascii="Times New Roman" w:hAnsi="Times New Roman"/>
        </w:rPr>
        <w:t>相关</w:t>
      </w:r>
      <w:r>
        <w:rPr>
          <w:rFonts w:hint="eastAsia" w:ascii="Times New Roman" w:hAnsi="Times New Roman"/>
        </w:rPr>
        <w:t>产业布局，构建面向全产业链的专业物流供应链组织服务系统，实施从集中采购、生产制造到产品分销、</w:t>
      </w:r>
      <w:r>
        <w:rPr>
          <w:rFonts w:ascii="Times New Roman" w:hAnsi="Times New Roman"/>
        </w:rPr>
        <w:t>逆向物流</w:t>
      </w:r>
      <w:r>
        <w:rPr>
          <w:rFonts w:hint="eastAsia" w:ascii="Times New Roman" w:hAnsi="Times New Roman"/>
        </w:rPr>
        <w:t>的全过程供应链管理。巩固提升电子信息产业物流供应链，加强国际班列、航空物流等高品质物流服务保障，引导产业布局优化和转型升级，支撑西永综合保税区等电子信息产业向“芯屏器核网”升级发展，加快贴牌生产及配套产业向都市区外围有序转移，支持电子信息产业出口转内销物流服务体系建设。完善装备制造、材料化工、消费品工业等制造业供应链物流网络，加强与周边配套产业联系，促进供应商管理库存、协同式供应链库存管理、供应链运输管理等模式应用，提高</w:t>
      </w:r>
      <w:r>
        <w:rPr>
          <w:rFonts w:ascii="Times New Roman" w:hAnsi="Times New Roman"/>
        </w:rPr>
        <w:t>供应链安全冗余</w:t>
      </w:r>
      <w:r>
        <w:rPr>
          <w:rFonts w:hint="eastAsia" w:ascii="Times New Roman" w:hAnsi="Times New Roman"/>
        </w:rPr>
        <w:t>与</w:t>
      </w:r>
      <w:r>
        <w:rPr>
          <w:rFonts w:ascii="Times New Roman" w:hAnsi="Times New Roman"/>
        </w:rPr>
        <w:t>保障水平</w:t>
      </w:r>
      <w:r>
        <w:rPr>
          <w:rFonts w:hint="eastAsia" w:ascii="Times New Roman" w:hAnsi="Times New Roman"/>
        </w:rPr>
        <w:t>。</w:t>
      </w:r>
    </w:p>
    <w:p>
      <w:pPr>
        <w:ind w:firstLine="632" w:firstLineChars="200"/>
        <w:outlineLvl w:val="1"/>
        <w:rPr>
          <w:rFonts w:hint="eastAsia" w:ascii="Times New Roman" w:hAnsi="Times New Roman" w:eastAsia="方正楷体_GBK"/>
        </w:rPr>
      </w:pPr>
      <w:bookmarkStart w:id="146" w:name="_Toc3357"/>
      <w:bookmarkStart w:id="147" w:name="_Toc32491"/>
      <w:bookmarkStart w:id="148" w:name="_Toc61863762"/>
      <w:bookmarkStart w:id="149" w:name="_Toc6718"/>
      <w:bookmarkStart w:id="150" w:name="_Toc2065"/>
      <w:r>
        <w:rPr>
          <w:rFonts w:hint="eastAsia" w:ascii="Times New Roman" w:hAnsi="Times New Roman" w:eastAsia="方正楷体_GBK"/>
        </w:rPr>
        <w:t>（二）打造大宗商品物流供应链服务体系</w:t>
      </w:r>
      <w:bookmarkEnd w:id="146"/>
      <w:bookmarkEnd w:id="147"/>
      <w:bookmarkEnd w:id="148"/>
      <w:bookmarkEnd w:id="149"/>
      <w:bookmarkEnd w:id="150"/>
    </w:p>
    <w:p>
      <w:pPr>
        <w:ind w:firstLine="632" w:firstLineChars="200"/>
        <w:rPr>
          <w:rFonts w:hint="eastAsia" w:ascii="Times New Roman" w:hAnsi="Times New Roman"/>
        </w:rPr>
      </w:pPr>
      <w:r>
        <w:rPr>
          <w:rFonts w:hint="eastAsia" w:ascii="Times New Roman" w:hAnsi="Times New Roman"/>
        </w:rPr>
        <w:t>完善大宗物流基础设施布局。结合全市钢铁、冶金、石化、能源、种养殖、造纸等产业空间布局，引导铁矿石、煤炭、钢铁、石油化工及产品、粮食和林木等大宗物资集中采购、存储、中转、交易、流通等需求集聚整合。依托长寿、涪陵、綦江—万盛、永川、大足、合川等资源产地和工业园区，以及果园港、珞璜港、长寿港、龙头港、新田港等物流枢纽，完善大宗物资物流节点设施布局，配套专业物流设施建设，重点优化“陕煤入渝”储备转运等设施。</w:t>
      </w:r>
    </w:p>
    <w:p>
      <w:pPr>
        <w:ind w:firstLine="632" w:firstLineChars="200"/>
        <w:rPr>
          <w:rFonts w:hint="eastAsia" w:ascii="Times New Roman" w:hAnsi="Times New Roman"/>
        </w:rPr>
      </w:pPr>
      <w:r>
        <w:rPr>
          <w:rFonts w:hint="eastAsia" w:ascii="Times New Roman" w:hAnsi="Times New Roman"/>
        </w:rPr>
        <w:t>提升大宗物资供应链服务水平。聚焦煤炭、金属矿石、钢材、粮食等大宗物资，培育建设国际大宗商品交易中心，构建集在线交易、实物交割、物流服务、金融服务等于一体的大宗商品采购交易服务体系。建设大宗商品交易与物流服务平台，创新供应链融资、贸易融资、仓单质押等服务功能，开展行业综合指数、商品价格指数、物流指数等信息咨询增值服务，优化提升供应链全链条一体化服务能力。</w:t>
      </w:r>
    </w:p>
    <w:p>
      <w:pPr>
        <w:ind w:firstLine="632" w:firstLineChars="200"/>
        <w:rPr>
          <w:rFonts w:hint="eastAsia" w:ascii="Times New Roman" w:hAnsi="Times New Roman"/>
        </w:rPr>
      </w:pPr>
      <w:r>
        <w:rPr>
          <w:rFonts w:hint="eastAsia" w:ascii="Times New Roman" w:hAnsi="Times New Roman"/>
        </w:rPr>
        <w:t>优化大宗物资物流组织方式。提高国家物流枢纽、物流大通道对煤炭、矿石、粮食等大宗物流的承载能力，完善物流组织功能，加快物资周转，提升系统效率，降低物流成本。提高大宗物资第三方物流比例，以枢纽和干线运输企业为主体，主动对接大货主、大客户，推广定制化物流服务。发展铁路散粮运输和煤炭、矿石等重载运输，研究利用集装箱班列开展高附加值的粮食、煤炭等大宗物资运输。以沿江枢纽港口为重点，加大铁水联运、水水中转比例，加快“公转铁”运输结构调整。</w:t>
      </w:r>
    </w:p>
    <w:p>
      <w:pPr>
        <w:ind w:firstLine="632" w:firstLineChars="200"/>
        <w:outlineLvl w:val="1"/>
        <w:rPr>
          <w:rFonts w:hint="eastAsia" w:ascii="Times New Roman" w:hAnsi="Times New Roman" w:eastAsia="方正楷体_GBK"/>
        </w:rPr>
      </w:pPr>
      <w:bookmarkStart w:id="151" w:name="_Toc61863763"/>
      <w:bookmarkStart w:id="152" w:name="_Toc19151"/>
      <w:bookmarkStart w:id="153" w:name="_Toc26076"/>
      <w:bookmarkStart w:id="154" w:name="_Toc16448"/>
      <w:bookmarkStart w:id="155" w:name="_Toc30906"/>
      <w:r>
        <w:rPr>
          <w:rFonts w:hint="eastAsia" w:ascii="Times New Roman" w:hAnsi="Times New Roman" w:eastAsia="方正楷体_GBK"/>
        </w:rPr>
        <w:t>（三）赋能商贸与电商物流供应链服务体系</w:t>
      </w:r>
      <w:bookmarkEnd w:id="151"/>
      <w:bookmarkEnd w:id="152"/>
      <w:bookmarkEnd w:id="153"/>
      <w:bookmarkEnd w:id="154"/>
      <w:bookmarkEnd w:id="155"/>
    </w:p>
    <w:p>
      <w:pPr>
        <w:ind w:firstLine="632" w:firstLineChars="200"/>
        <w:rPr>
          <w:rFonts w:hint="eastAsia" w:ascii="Times New Roman" w:hAnsi="Times New Roman"/>
        </w:rPr>
      </w:pPr>
      <w:r>
        <w:rPr>
          <w:rFonts w:hint="eastAsia" w:ascii="Times New Roman" w:hAnsi="Times New Roman"/>
        </w:rPr>
        <w:t>加快推动传统商贸物流转型升级。以国家物流枢纽商贸服务功能区为主要载体，加强干支衔接，建设覆盖全市的商贸物流基础设施网络体系，满足城市商贸物流高质量发展和辐射西部地区强大国内市场需要。统筹“一区两群”一体发展需求，整合和转型升级既有市场群，有序引导大型生产、生活资料交易市场向都市区外转移，提高渝东北、渝东南城镇群商贸物流产业承载能力和服务水平。对无拓展空间、承担区域辐射功能的市场，结合城市空间规划修编，实施前瞻性搬迁改造或原址提档升级。推动商贸物流产业集群与电子商务、跨境电商线上线下融合联动，扩大市场国际国内辐射能力。</w:t>
      </w:r>
    </w:p>
    <w:p>
      <w:pPr>
        <w:ind w:firstLine="632" w:firstLineChars="200"/>
        <w:rPr>
          <w:rFonts w:hint="eastAsia" w:ascii="Times New Roman" w:hAnsi="Times New Roman"/>
        </w:rPr>
      </w:pPr>
      <w:r>
        <w:rPr>
          <w:rFonts w:hint="eastAsia" w:ascii="Times New Roman" w:hAnsi="Times New Roman"/>
        </w:rPr>
        <w:t>建设支撑商贸与电商发展的高效物流体系。重点围绕特色农产品、优势消费品、跨境电商主要品类等，提供集成原材料采购、加工、包装、物流、分销、金融等在内的全产业链和供应链服务，带动商贸物流产业集群发展。支持主城都市区支点和桥头堡城市、渝东南城镇群、渝东北城镇群主动承接和打造木材、家具、纸业、白酒饮料等具有自身特色的商贸物流产业集群。鼓励大型网络化、平台型电商物流企业依托国家物流枢纽建立电商物流分拨中心和区域性快递转运中心。加强国家物流枢纽对商贸、电商、物流等信息资源和业务整合，为电商提供广覆盖、强辐射的专业物流服务。大力发展跨境电商物流，完善通关、保税、结算等功能，提高跨境电商物流一体化服务能力。加快发展农村电商物流，深入推进“快递进村”行动，打通特色农副产品电商物流“出村进城”末端微循环，重点发展农产品及冷链电商物流。</w:t>
      </w:r>
    </w:p>
    <w:p>
      <w:pPr>
        <w:ind w:firstLine="632" w:firstLineChars="200"/>
        <w:rPr>
          <w:rFonts w:hint="eastAsia" w:ascii="Times New Roman" w:hAnsi="Times New Roman"/>
        </w:rPr>
      </w:pPr>
      <w:r>
        <w:rPr>
          <w:rFonts w:hint="eastAsia" w:ascii="Times New Roman" w:hAnsi="Times New Roman"/>
        </w:rPr>
        <w:t>构建开放共享跨境电商物流体系。依托西永综合保税区、两路寸滩保税港区、江津综合保税区、涪陵综合保税区、万州综合保税区、永川综合保税区、长寿综合保税区等枢纽节点，集聚跨境电商企业、进出口供应商、国际贸易商、国际物流、保税物流、金融、信息服务、报关报检等要素资源，打造境内外双向互动、服务国家“优进优出”战略的国际跨境电商物流体系。鼓励国际流通企业在海关特殊监管区内设立保税仓库、“一带一路”商品展示交易中心等，打造境外商品物流分拨中心、配送中心和展示交易中心，发展跨境电商O2O模式。鼓励本土电商物流龙头企业，布局建设海外物流基地和仓配中心。研究打造西部地区国家进口商品博览会平台。</w:t>
      </w:r>
    </w:p>
    <w:p>
      <w:pPr>
        <w:ind w:firstLine="632" w:firstLineChars="200"/>
        <w:outlineLvl w:val="0"/>
        <w:rPr>
          <w:rFonts w:hint="eastAsia" w:ascii="Times New Roman" w:hAnsi="Times New Roman" w:eastAsia="方正黑体_GBK"/>
        </w:rPr>
      </w:pPr>
      <w:bookmarkStart w:id="156" w:name="_Toc29877"/>
      <w:bookmarkStart w:id="157" w:name="_Toc61863764"/>
      <w:bookmarkStart w:id="158" w:name="_Toc19482"/>
      <w:bookmarkStart w:id="159" w:name="_Toc15000"/>
      <w:bookmarkStart w:id="160" w:name="_Toc23824"/>
      <w:r>
        <w:rPr>
          <w:rFonts w:hint="eastAsia" w:ascii="Times New Roman" w:hAnsi="Times New Roman" w:eastAsia="方正黑体_GBK"/>
        </w:rPr>
        <w:t>八、推动重点领域物流加快发展</w:t>
      </w:r>
      <w:bookmarkEnd w:id="156"/>
      <w:bookmarkEnd w:id="157"/>
      <w:bookmarkEnd w:id="158"/>
      <w:bookmarkEnd w:id="159"/>
      <w:bookmarkEnd w:id="160"/>
    </w:p>
    <w:p>
      <w:pPr>
        <w:ind w:firstLine="632" w:firstLineChars="200"/>
        <w:rPr>
          <w:rFonts w:ascii="Times New Roman" w:hAnsi="Times New Roman"/>
        </w:rPr>
      </w:pPr>
      <w:bookmarkStart w:id="161" w:name="_Toc24734"/>
      <w:r>
        <w:rPr>
          <w:rFonts w:hint="eastAsia" w:ascii="Times New Roman" w:hAnsi="Times New Roman"/>
        </w:rPr>
        <w:t>结合重庆大城市、大农村、大山区、大库区等特点，着眼资源禀赋与优势产业，聚焦物流短板弱项，按照智能绿色、安全韧性等发展要求，加快推动重点物流领域发展，加大市场主体培育，促进全市物流服务突破升级。</w:t>
      </w:r>
    </w:p>
    <w:p>
      <w:pPr>
        <w:ind w:firstLine="632" w:firstLineChars="200"/>
        <w:outlineLvl w:val="1"/>
        <w:rPr>
          <w:rFonts w:hint="eastAsia" w:ascii="Times New Roman" w:hAnsi="Times New Roman" w:eastAsia="方正楷体_GBK"/>
        </w:rPr>
      </w:pPr>
      <w:bookmarkStart w:id="162" w:name="_Toc12995"/>
      <w:bookmarkStart w:id="163" w:name="_Toc25387"/>
      <w:bookmarkStart w:id="164" w:name="_Toc32506"/>
      <w:bookmarkStart w:id="165" w:name="_Toc61863765"/>
      <w:r>
        <w:rPr>
          <w:rFonts w:hint="eastAsia" w:ascii="Times New Roman" w:hAnsi="Times New Roman" w:eastAsia="方正楷体_GBK"/>
        </w:rPr>
        <w:t>（一）大力发展多式联运</w:t>
      </w:r>
      <w:bookmarkEnd w:id="162"/>
      <w:bookmarkEnd w:id="163"/>
      <w:bookmarkEnd w:id="164"/>
      <w:bookmarkEnd w:id="165"/>
    </w:p>
    <w:p>
      <w:pPr>
        <w:ind w:firstLine="632" w:firstLineChars="200"/>
        <w:rPr>
          <w:rFonts w:hint="eastAsia" w:ascii="Times New Roman" w:hAnsi="Times New Roman"/>
        </w:rPr>
      </w:pPr>
      <w:r>
        <w:rPr>
          <w:rFonts w:hint="eastAsia" w:ascii="Times New Roman" w:hAnsi="Times New Roman"/>
        </w:rPr>
        <w:t>加快完善多式联运基础设施。以果园港等国家物流枢纽为核心载体，加快补足多式联运转运设施、铁路专用线、集疏运体系等短板，推动铁水、公铁、公水、公空、空铁等多类型联运功能区建设，提升枢纽多式联运服务能力。推动大宗货物年运量150万吨以上的大型工矿企业、新建物流园区建设铁路专用线，加快江津珞璜、万州新田、涪陵龙头等枢纽港口和港区铁路专用线以及小南垭、鱼嘴等铁路物流基地建设，强化与公路港、物流中心、工矿厂区物流设施的联动对接，完善甩挂运输网络，打造多式联运分级、分类节点设施体系。</w:t>
      </w:r>
    </w:p>
    <w:p>
      <w:pPr>
        <w:ind w:firstLine="632" w:firstLineChars="200"/>
        <w:rPr>
          <w:rFonts w:hint="eastAsia" w:ascii="Times New Roman" w:hAnsi="Times New Roman"/>
        </w:rPr>
      </w:pPr>
      <w:r>
        <w:rPr>
          <w:rFonts w:hint="eastAsia" w:ascii="Times New Roman" w:hAnsi="Times New Roman"/>
        </w:rPr>
        <w:t>创新优化多式联运组织服务。以国家物流枢纽运营企业为主体，加强与港口、航运、铁路等企业合作，用好国家物流枢纽联盟平台，培育打造具备全网络组织运行能力的多式联运经营人。以供应链整体协同组织为基础，优化集装箱联运组织方式，创新全程门到门联运服务产品。大力推广铁水、江海、陆空联运，开发面向四川、贵州、陕西、甘肃等地的铁水联运精品线路。加强与北部湾港、宁波舟山港、上海港、广州港、湛江港、洋浦港等合作，稳定开行西部陆海新通道、渝穗、渝甬班列，根据市场需要开发更多铁海联运线路。拓展集装箱水水中转业务，开发公共支线。研发推广江海直达船型，发展江海联运。发展“卡车航班”，拓展空港型枢纽辐射范围，形成联结腹地园区、企业的陆空联运网络。探索多式联运“一单制”，实现“一单到底、货达全球”。推进多式联运示范工程，持续深化以国家物流枢纽为核心的多式联运组织方案创新研究，加大推广应用。推动标准化、集装化运输装备升级换代，广泛应用物联网、互联网等现代信息技术，发展多式联运新模式。</w:t>
      </w:r>
    </w:p>
    <w:p>
      <w:pPr>
        <w:ind w:firstLine="632" w:firstLineChars="200"/>
        <w:rPr>
          <w:rFonts w:hint="eastAsia" w:ascii="Times New Roman" w:hAnsi="Times New Roman"/>
        </w:rPr>
      </w:pPr>
      <w:r>
        <w:rPr>
          <w:rFonts w:hint="eastAsia" w:ascii="Times New Roman" w:hAnsi="Times New Roman"/>
        </w:rPr>
        <w:t>协同</w:t>
      </w:r>
      <w:r>
        <w:rPr>
          <w:rFonts w:ascii="Times New Roman" w:hAnsi="Times New Roman"/>
        </w:rPr>
        <w:t>推进</w:t>
      </w:r>
      <w:r>
        <w:rPr>
          <w:rFonts w:hint="eastAsia" w:ascii="Times New Roman" w:hAnsi="Times New Roman"/>
        </w:rPr>
        <w:t>国际多式联运发</w:t>
      </w:r>
      <w:r>
        <w:rPr>
          <w:rFonts w:ascii="Times New Roman" w:hAnsi="Times New Roman"/>
        </w:rPr>
        <w:t>展</w:t>
      </w:r>
      <w:r>
        <w:rPr>
          <w:rFonts w:hint="eastAsia" w:ascii="Times New Roman" w:hAnsi="Times New Roman"/>
        </w:rPr>
        <w:t>。以国家物流枢纽为载体，支持成立国际多式联运联盟。依托重庆物流公共信息平台，加强“一带一路”、长江经济带、西部陆海新通道的铁路、公路、港口、民航、口岸等物流信息资源整合，推进信息开放共享和互联互通，提高大数据、</w:t>
      </w:r>
      <w:r>
        <w:rPr>
          <w:rFonts w:ascii="Times New Roman" w:hAnsi="Times New Roman"/>
        </w:rPr>
        <w:t>云计算等现代信息技术</w:t>
      </w:r>
      <w:r>
        <w:rPr>
          <w:rFonts w:hint="eastAsia" w:ascii="Times New Roman" w:hAnsi="Times New Roman"/>
        </w:rPr>
        <w:t>对国际多式联运运行组织与决策支持。依托中欧班列（成渝）、西部陆海新通道班列等开行的基础条件，利用好中新（重庆）战略性互联互通示范项目等国际合作平台，推进完善国际多式联运协调机制，推动技术标准、单证票据</w:t>
      </w:r>
      <w:r>
        <w:rPr>
          <w:rFonts w:ascii="Times New Roman" w:hAnsi="Times New Roman"/>
        </w:rPr>
        <w:t>、</w:t>
      </w:r>
      <w:r>
        <w:rPr>
          <w:rFonts w:hint="eastAsia" w:ascii="Times New Roman" w:hAnsi="Times New Roman"/>
        </w:rPr>
        <w:t>服务规范、作业流程、运输规则等有效接轨。</w:t>
      </w:r>
    </w:p>
    <w:p>
      <w:pPr>
        <w:ind w:firstLine="632" w:firstLineChars="200"/>
        <w:outlineLvl w:val="1"/>
        <w:rPr>
          <w:rFonts w:hint="eastAsia" w:ascii="Times New Roman" w:hAnsi="Times New Roman" w:eastAsia="方正楷体_GBK"/>
        </w:rPr>
      </w:pPr>
      <w:bookmarkStart w:id="166" w:name="_Toc21500"/>
      <w:bookmarkStart w:id="167" w:name="_Toc839"/>
      <w:bookmarkStart w:id="168" w:name="_Toc29816"/>
      <w:bookmarkStart w:id="169" w:name="_Toc61863766"/>
      <w:bookmarkStart w:id="170" w:name="_Toc13021"/>
      <w:r>
        <w:rPr>
          <w:rFonts w:hint="eastAsia" w:ascii="Times New Roman" w:hAnsi="Times New Roman" w:eastAsia="方正楷体_GBK"/>
        </w:rPr>
        <w:t>（二）加快发展冷链物流</w:t>
      </w:r>
      <w:bookmarkEnd w:id="166"/>
      <w:bookmarkEnd w:id="167"/>
      <w:bookmarkEnd w:id="168"/>
      <w:bookmarkEnd w:id="169"/>
      <w:bookmarkEnd w:id="170"/>
    </w:p>
    <w:p>
      <w:pPr>
        <w:ind w:firstLine="632" w:firstLineChars="200"/>
        <w:rPr>
          <w:rFonts w:hint="eastAsia" w:ascii="Times New Roman" w:hAnsi="Times New Roman"/>
        </w:rPr>
      </w:pPr>
      <w:r>
        <w:rPr>
          <w:rFonts w:hint="eastAsia" w:ascii="Times New Roman" w:hAnsi="Times New Roman"/>
        </w:rPr>
        <w:t>打造冷链物流产业生态。依托冷链物流枢纽、冷链</w:t>
      </w:r>
      <w:r>
        <w:rPr>
          <w:rFonts w:ascii="Times New Roman" w:hAnsi="Times New Roman"/>
        </w:rPr>
        <w:t>产业园区、</w:t>
      </w:r>
      <w:r>
        <w:rPr>
          <w:rFonts w:hint="eastAsia" w:ascii="Times New Roman" w:hAnsi="Times New Roman"/>
        </w:rPr>
        <w:t>冷链企业等，优化生产、存储、销售各环节冷链设施布局。对接生物</w:t>
      </w:r>
      <w:r>
        <w:rPr>
          <w:rFonts w:ascii="Times New Roman" w:hAnsi="Times New Roman"/>
        </w:rPr>
        <w:t>医药、</w:t>
      </w:r>
      <w:r>
        <w:rPr>
          <w:rFonts w:hint="eastAsia" w:ascii="Times New Roman" w:hAnsi="Times New Roman"/>
        </w:rPr>
        <w:t>现代农业、</w:t>
      </w:r>
      <w:r>
        <w:rPr>
          <w:rFonts w:ascii="Times New Roman" w:hAnsi="Times New Roman"/>
        </w:rPr>
        <w:t>食品加工</w:t>
      </w:r>
      <w:r>
        <w:rPr>
          <w:rFonts w:hint="eastAsia" w:ascii="Times New Roman" w:hAnsi="Times New Roman"/>
        </w:rPr>
        <w:t>等产业，重点针对医药品、低温食品、肉类、果蔬、水产品等适冷商品，提升冷链物流专业化水平。建设重庆冷链物流公共信息平台，打造集电子商务、交易结算、物流配送、流通加工、产品溯源、信息服务于一体的冷链产业供应链，加快融入国际国内冷链物流网络。培育发展冷链运输车辆、制冷预冷设备、冷链载具等冷链装备制造产业。</w:t>
      </w:r>
    </w:p>
    <w:p>
      <w:pPr>
        <w:ind w:firstLine="632" w:firstLineChars="200"/>
        <w:rPr>
          <w:rFonts w:hint="eastAsia" w:ascii="Times New Roman" w:hAnsi="Times New Roman"/>
        </w:rPr>
      </w:pPr>
      <w:r>
        <w:rPr>
          <w:rFonts w:hint="eastAsia" w:ascii="Times New Roman" w:hAnsi="Times New Roman"/>
        </w:rPr>
        <w:t>完善冷链物流枢纽网络。充分利用存量、稳步拓展增量，布局联动全国、辐射区域，实现“最先”和“最后”一公里全覆盖的三级冷链物流网络。加强与对外</w:t>
      </w:r>
      <w:r>
        <w:rPr>
          <w:rFonts w:ascii="Times New Roman" w:hAnsi="Times New Roman"/>
        </w:rPr>
        <w:t>物流大</w:t>
      </w:r>
      <w:r>
        <w:rPr>
          <w:rFonts w:hint="eastAsia" w:ascii="Times New Roman" w:hAnsi="Times New Roman"/>
        </w:rPr>
        <w:t>通道沿线农产品、水产品、肉类等产销地对接</w:t>
      </w:r>
      <w:r>
        <w:rPr>
          <w:rFonts w:ascii="Times New Roman" w:hAnsi="Times New Roman"/>
        </w:rPr>
        <w:t>，联动成渝地区双城经济圈</w:t>
      </w:r>
      <w:r>
        <w:rPr>
          <w:rFonts w:hint="eastAsia" w:ascii="Times New Roman" w:hAnsi="Times New Roman"/>
        </w:rPr>
        <w:t>主要区域分拨中心和城市配送中心，扩大冷链物流网络辐射范围。推动重庆港进境肉类和进境水果指定监管场地、重庆国际物流枢纽园区铁路保税物流中心（B型）、两江新区果园港保税物流中心（B型）、江津综合保税区冷库、重庆江北国际机场进境冰鲜水产品、水果、肉类指定监管场地等有序发展，构建国际国内衔接顺畅的进出口冷链物流服务体系，发展跨境冷链物流。围绕重庆医药集团等主要制药企业现代物流基地与第三方医药冷链物流基地，完善专业医药冷链物流基础设施体系。</w:t>
      </w:r>
    </w:p>
    <w:p>
      <w:pPr>
        <w:ind w:firstLine="632" w:firstLineChars="200"/>
        <w:rPr>
          <w:rFonts w:ascii="Times New Roman" w:hAnsi="Times New Roman"/>
        </w:rPr>
      </w:pPr>
      <w:r>
        <w:rPr>
          <w:rFonts w:hint="eastAsia" w:ascii="Times New Roman" w:hAnsi="Times New Roman"/>
        </w:rPr>
        <w:t>加快冷链物流业态与运营模式创新。推广冷链</w:t>
      </w:r>
      <w:r>
        <w:rPr>
          <w:rFonts w:ascii="Times New Roman" w:hAnsi="Times New Roman"/>
        </w:rPr>
        <w:t>流通</w:t>
      </w:r>
      <w:r>
        <w:rPr>
          <w:rFonts w:hint="eastAsia" w:ascii="Times New Roman" w:hAnsi="Times New Roman"/>
        </w:rPr>
        <w:t>包装、冷藏技术标准应用，规范冷链设施建设运营和冷链物流</w:t>
      </w:r>
      <w:r>
        <w:rPr>
          <w:rFonts w:ascii="Times New Roman" w:hAnsi="Times New Roman"/>
        </w:rPr>
        <w:t>操作流程</w:t>
      </w:r>
      <w:r>
        <w:rPr>
          <w:rFonts w:hint="eastAsia" w:ascii="Times New Roman" w:hAnsi="Times New Roman"/>
        </w:rPr>
        <w:t>，提高标准化冷链流通率。鼓励企业依托国家骨干冷链物流基地探索发展铁路冷藏车厢加挂、国际国内集装箱冷链班列等服务</w:t>
      </w:r>
      <w:r>
        <w:rPr>
          <w:rFonts w:ascii="Times New Roman" w:hAnsi="Times New Roman"/>
        </w:rPr>
        <w:t>模式</w:t>
      </w:r>
      <w:r>
        <w:rPr>
          <w:rFonts w:hint="eastAsia" w:ascii="Times New Roman" w:hAnsi="Times New Roman"/>
        </w:rPr>
        <w:t>，积极发展航空、公路冷链物流，扩大冷链物流干线运输规模。支持一、二级冷链物流节点建设面向城市消费的低温加工处理中心，发展冷链共同配送、“生鲜电商+冷链宅配”、“中央厨房+食材冷链配送”、“社区家庭厨房”等新模式。加快区县特色冷链物流中心设施功能与服务升级，培育发展大型电商、连锁商超及消费终端冷链直供模式。做大做强医药冷链物流，重点聚焦进口医药分拨等领域，鼓励发展冷链运输、低温多式联运，创新共享医药冷藏箱等新模式，打造特色化、专业化、标准化高品质医药物流服务体系。打造</w:t>
      </w:r>
      <w:r>
        <w:rPr>
          <w:rFonts w:ascii="Times New Roman" w:hAnsi="Times New Roman"/>
        </w:rPr>
        <w:t>智慧冷链，</w:t>
      </w:r>
      <w:r>
        <w:rPr>
          <w:rFonts w:hint="eastAsia" w:ascii="Times New Roman" w:hAnsi="Times New Roman"/>
        </w:rPr>
        <w:t>利用</w:t>
      </w:r>
      <w:r>
        <w:rPr>
          <w:rFonts w:ascii="Times New Roman" w:hAnsi="Times New Roman"/>
        </w:rPr>
        <w:t>物联网</w:t>
      </w:r>
      <w:r>
        <w:rPr>
          <w:rFonts w:hint="eastAsia" w:ascii="Times New Roman" w:hAnsi="Times New Roman"/>
        </w:rPr>
        <w:t>、大数据、人工智能、区块链等新技术，加强全程温控和信息追溯，提高食品药品</w:t>
      </w:r>
      <w:r>
        <w:rPr>
          <w:rFonts w:ascii="Times New Roman" w:hAnsi="Times New Roman"/>
        </w:rPr>
        <w:t>等</w:t>
      </w:r>
      <w:r>
        <w:rPr>
          <w:rFonts w:hint="eastAsia" w:ascii="Times New Roman" w:hAnsi="Times New Roman"/>
        </w:rPr>
        <w:t>质量安全保障。</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35"/>
      </w:tblGrid>
      <w:tr>
        <w:tc>
          <w:tcPr>
            <w:tcW w:w="8835" w:type="dxa"/>
          </w:tcPr>
          <w:p>
            <w:pPr>
              <w:jc w:val="center"/>
              <w:rPr>
                <w:b w:val="1"/>
                <w:kern w:val="0"/>
                <w:rFonts w:hint="eastAsia"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4</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三级冷链</w:t>
            </w:r>
            <w:r>
              <w:rPr>
                <w:b w:val="1"/>
                <w:kern w:val="0"/>
                <w:rFonts w:ascii="Times New Roman" w:hAnsi="Times New Roman" w:eastAsia="黑体"/>
                <w:sz w:val="24"/>
                <w:szCs w:val="24"/>
              </w:rPr>
              <w:t>物流服务网络建设</w:t>
            </w:r>
          </w:p>
        </w:tc>
      </w:tr>
      <w:tr>
        <w:tc>
          <w:tcPr>
            <w:tcW w:w="8835" w:type="dxa"/>
          </w:tcPr>
          <w:p>
            <w:pPr>
              <w:ind w:firstLine="480"/>
              <w:rPr>
                <w:kern w:val="0"/>
                <w:rFonts w:ascii="Times New Roman" w:hAnsi="Times New Roman"/>
                <w:sz w:val="24"/>
                <w:szCs w:val="24"/>
              </w:rPr>
            </w:pPr>
            <w:r>
              <w:rPr>
                <w:kern w:val="0"/>
                <w:rFonts w:hint="eastAsia" w:ascii="Times New Roman" w:hAnsi="Times New Roman"/>
                <w:sz w:val="24"/>
                <w:szCs w:val="24"/>
              </w:rPr>
              <w:t>依托重庆高新区明品福、大渡口万吨冷库、万州冷链物流中心、江津双福国际农产品物流园区、江津综保区远郑温控供应链产业园等大型冷链交易仓储和物流集散基地，申建国家骨干冷链物流基地，加快存量设施设备升级改造，高起点新建必要冷链设施，开展大规模冷冻冷藏、战略储备、国际国内集散分拨、批发交易等服务，建设对接国际国内、面向西部区域、服务全市的一级冷链物流节点。加快荣昌、合川、涪陵、万州、丰都、黔江、秀山等地大型农产品批发市场、综合物流园区、冷链物流中心冷链设施升级改造和集聚发展，配备冷冻库、恒温恒湿库等不同类型冷库设施，开展区域性冷链仓储、批零、包装及流通加工等服务，建设主要服务</w:t>
            </w:r>
            <w:r>
              <w:rPr>
                <w:kern w:val="0"/>
                <w:rFonts w:hint="eastAsia" w:ascii="Times New Roman" w:hAnsi="Times New Roman"/>
                <w:sz w:val="24"/>
                <w:szCs w:val="24"/>
              </w:rPr>
              <w:t>成渝地区双城经济圈</w:t>
            </w:r>
            <w:r>
              <w:rPr>
                <w:kern w:val="0"/>
                <w:rFonts w:hint="eastAsia" w:ascii="Times New Roman" w:hAnsi="Times New Roman"/>
                <w:sz w:val="24"/>
                <w:szCs w:val="24"/>
              </w:rPr>
              <w:t>和本地的二级冷链物流节点，发展本地特色冷链物流服务。满足冷链物流产地采摘和禽畜屠宰“最先一公里”预冷、包装、转运需求，以及城镇社区零售“最后一公里”保鲜需求，推动三级冷链物流节点市域全覆盖。</w:t>
            </w:r>
          </w:p>
        </w:tc>
      </w:tr>
    </w:tbl>
    <w:p>
      <w:pPr>
        <w:pStyle w:val="16"/>
        <w:rPr>
          <w:rFonts w:hint="eastAsia" w:ascii="Times New Roman" w:hAnsi="Times New Roman"/>
        </w:rPr>
      </w:pPr>
    </w:p>
    <w:p>
      <w:pPr>
        <w:ind w:firstLine="632" w:firstLineChars="200"/>
        <w:outlineLvl w:val="1"/>
        <w:rPr>
          <w:rFonts w:hint="eastAsia" w:ascii="Times New Roman" w:hAnsi="Times New Roman" w:eastAsia="方正楷体_GBK"/>
        </w:rPr>
      </w:pPr>
      <w:bookmarkStart w:id="171" w:name="_Toc3274"/>
      <w:bookmarkStart w:id="172" w:name="_Toc31552"/>
      <w:bookmarkStart w:id="173" w:name="_Toc30328"/>
      <w:bookmarkStart w:id="174" w:name="_Toc28126"/>
      <w:bookmarkStart w:id="175" w:name="_Toc61863767"/>
      <w:r>
        <w:rPr>
          <w:rFonts w:hint="eastAsia" w:ascii="Times New Roman" w:hAnsi="Times New Roman" w:eastAsia="方正楷体_GBK"/>
        </w:rPr>
        <w:t>（三）推进城乡物流发展</w:t>
      </w:r>
      <w:bookmarkEnd w:id="171"/>
      <w:bookmarkEnd w:id="172"/>
      <w:bookmarkEnd w:id="173"/>
      <w:bookmarkEnd w:id="174"/>
      <w:bookmarkEnd w:id="175"/>
    </w:p>
    <w:p>
      <w:pPr>
        <w:ind w:firstLine="632" w:firstLineChars="200"/>
        <w:rPr>
          <w:rFonts w:hint="eastAsia" w:ascii="Times New Roman" w:hAnsi="Times New Roman"/>
        </w:rPr>
      </w:pPr>
      <w:r>
        <w:rPr>
          <w:rFonts w:hint="eastAsia" w:ascii="Times New Roman" w:hAnsi="Times New Roman"/>
        </w:rPr>
        <w:t>加快完善三级城乡配送体系。重点依托主要国家物流枢纽商贸物流设施、产销集中区、生活消费集聚区、中转分拨节点等，优化布局城市配送资源。利用干线运行低成本环境，集中主城都市区日用品、家居、食品、冷链等领域统一物流配送需求，打造城市配送集中运作和组织设施。推进城市配送分层分级网络建设，提升以国家物流枢纽为核心的一级分拨中心、城市二级公共配送节点、社区和乡镇配送服务网点、自提箱等设施配套能力，完善区域“干线运输+区域分拨+城市配送”一体服务体系，构建组织化程度高、层级合理、高效率、低成本的城乡配送服务体系。</w:t>
      </w:r>
    </w:p>
    <w:p>
      <w:pPr>
        <w:ind w:firstLine="632" w:firstLineChars="200"/>
        <w:rPr>
          <w:rFonts w:ascii="Times New Roman" w:hAnsi="Times New Roman"/>
        </w:rPr>
      </w:pPr>
      <w:r>
        <w:rPr>
          <w:rFonts w:hint="eastAsia" w:ascii="Times New Roman" w:hAnsi="Times New Roman"/>
        </w:rPr>
        <w:t>培育发展城乡共同配送服务。以大型网络化电商、快递、商超、城市配送、邮政、供销社等企业为主体，培育一体化共同配送服务组织，加快推动城乡物流服务均等化一体运作。鼓励配送企业业务合作与联合经营，开展多领域共同配送服务网络化协同，提高配送企业运力资源利用效率，扩大共同配送市场规模，降低物流成本。推动共建城市配送公共平台，利用大数据、云计算、车联网等技术，高效整合城乡配送需求，优化运力资源供给，推进城乡配送供需精准匹配。积极推广基于大数据管理的前置仓统一配送、中央厨房等新型配送服务模式，发展“同仓共配、末端共享”智能配送模式，构建智能网络运行体系。推广应用智能快（邮）件箱，完善城乡智能物流配送体系。</w:t>
      </w:r>
    </w:p>
    <w:p>
      <w:pPr>
        <w:ind w:firstLine="632" w:firstLineChars="200"/>
        <w:rPr>
          <w:rFonts w:hint="eastAsia" w:ascii="Times New Roman" w:hAnsi="Times New Roman"/>
        </w:rPr>
      </w:pPr>
      <w:r>
        <w:rPr>
          <w:rFonts w:hint="eastAsia" w:ascii="Times New Roman" w:hAnsi="Times New Roman"/>
        </w:rPr>
        <w:t>补足城乡物流设施与服务短板。推动主城都市区农村地区物流基础设施提档升级，打造城乡一体化物流服务体系。渝东南城镇群、渝东北城镇群加快县域及农村地区物流集散网络资源整合，对接区域内国家物流枢纽、物流</w:t>
      </w:r>
      <w:r>
        <w:rPr>
          <w:rFonts w:ascii="Times New Roman" w:hAnsi="Times New Roman"/>
        </w:rPr>
        <w:t>园区、物流中心</w:t>
      </w:r>
      <w:r>
        <w:rPr>
          <w:rFonts w:hint="eastAsia" w:ascii="Times New Roman" w:hAnsi="Times New Roman"/>
        </w:rPr>
        <w:t>等</w:t>
      </w:r>
      <w:r>
        <w:rPr>
          <w:rFonts w:ascii="Times New Roman" w:hAnsi="Times New Roman"/>
        </w:rPr>
        <w:t>，</w:t>
      </w:r>
      <w:r>
        <w:rPr>
          <w:rFonts w:hint="eastAsia" w:ascii="Times New Roman" w:hAnsi="Times New Roman"/>
        </w:rPr>
        <w:t>衔接主干网络，积极</w:t>
      </w:r>
      <w:r>
        <w:rPr>
          <w:rFonts w:ascii="Times New Roman" w:hAnsi="Times New Roman"/>
        </w:rPr>
        <w:t>融入全市物流网络</w:t>
      </w:r>
      <w:r>
        <w:rPr>
          <w:rFonts w:hint="eastAsia" w:ascii="Times New Roman" w:hAnsi="Times New Roman"/>
        </w:rPr>
        <w:t>。推进县域公路客货运场站、电商物流配送中心、农资配送中心等设施与邮政快件处理场所集中布局，加快邮政、交通、供销、快递等系统融合发展，</w:t>
      </w:r>
      <w:r>
        <w:rPr>
          <w:rFonts w:ascii="Times New Roman" w:hAnsi="Times New Roman"/>
        </w:rPr>
        <w:t>建设“</w:t>
      </w:r>
      <w:r>
        <w:rPr>
          <w:rFonts w:hint="eastAsia" w:ascii="Times New Roman" w:hAnsi="Times New Roman"/>
        </w:rPr>
        <w:t>多站合一</w:t>
      </w:r>
      <w:r>
        <w:rPr>
          <w:rFonts w:ascii="Times New Roman" w:hAnsi="Times New Roman"/>
        </w:rPr>
        <w:t>”</w:t>
      </w:r>
      <w:r>
        <w:rPr>
          <w:rFonts w:hint="eastAsia" w:ascii="Times New Roman" w:hAnsi="Times New Roman"/>
        </w:rPr>
        <w:t>的县域</w:t>
      </w:r>
      <w:r>
        <w:rPr>
          <w:rFonts w:ascii="Times New Roman" w:hAnsi="Times New Roman"/>
        </w:rPr>
        <w:t>物流网点，</w:t>
      </w:r>
      <w:r>
        <w:rPr>
          <w:rFonts w:hint="eastAsia" w:ascii="Times New Roman" w:hAnsi="Times New Roman"/>
        </w:rPr>
        <w:t>整合站</w:t>
      </w:r>
      <w:r>
        <w:rPr>
          <w:rFonts w:ascii="Times New Roman" w:hAnsi="Times New Roman"/>
        </w:rPr>
        <w:t>点和</w:t>
      </w:r>
      <w:r>
        <w:rPr>
          <w:rFonts w:hint="eastAsia" w:ascii="Times New Roman" w:hAnsi="Times New Roman"/>
        </w:rPr>
        <w:t>班线网络，统筹配送线路和物流时效，开展“定时、定点、定线”货运服务，提升县域城乡物流配送水平</w:t>
      </w:r>
      <w:r>
        <w:rPr>
          <w:rFonts w:ascii="Times New Roman" w:hAnsi="Times New Roman"/>
        </w:rPr>
        <w:t>。</w:t>
      </w:r>
      <w:r>
        <w:rPr>
          <w:rFonts w:hint="eastAsia" w:ascii="Times New Roman" w:hAnsi="Times New Roman"/>
        </w:rPr>
        <w:t>引导全网型快递、电商等平台企业对接邮政物流服务系统及落地配企业，通过联盟、合资等方式，发展共同配送、集中配送、沿途取送、循环配送等物流模式。推进农资、农机、日用工业品配送下乡，发展农产品产地到销地直销配送，畅通城乡双向物流渠道。</w:t>
      </w:r>
    </w:p>
    <w:p>
      <w:pPr>
        <w:ind w:firstLine="632" w:firstLineChars="200"/>
        <w:outlineLvl w:val="1"/>
        <w:rPr>
          <w:rFonts w:hint="eastAsia" w:ascii="Times New Roman" w:hAnsi="Times New Roman" w:eastAsia="方正楷体_GBK"/>
        </w:rPr>
      </w:pPr>
      <w:bookmarkStart w:id="176" w:name="_Toc61863768"/>
      <w:bookmarkStart w:id="177" w:name="_Toc14439"/>
      <w:bookmarkStart w:id="178" w:name="_Toc32587"/>
      <w:bookmarkStart w:id="179" w:name="_Toc22832"/>
      <w:bookmarkStart w:id="180" w:name="_Toc31202"/>
      <w:r>
        <w:rPr>
          <w:rFonts w:hint="eastAsia" w:ascii="Times New Roman" w:hAnsi="Times New Roman" w:eastAsia="方正楷体_GBK"/>
        </w:rPr>
        <w:t>（四）挖掘库区物流潜力</w:t>
      </w:r>
      <w:bookmarkEnd w:id="176"/>
      <w:bookmarkEnd w:id="177"/>
      <w:bookmarkEnd w:id="178"/>
      <w:bookmarkEnd w:id="179"/>
      <w:bookmarkEnd w:id="180"/>
    </w:p>
    <w:p>
      <w:pPr>
        <w:ind w:firstLine="632" w:firstLineChars="200"/>
        <w:rPr>
          <w:rFonts w:ascii="Times New Roman" w:hAnsi="Times New Roman"/>
        </w:rPr>
      </w:pPr>
      <w:r>
        <w:rPr>
          <w:rFonts w:hint="eastAsia" w:ascii="Times New Roman" w:hAnsi="Times New Roman"/>
        </w:rPr>
        <w:t>打造</w:t>
      </w:r>
      <w:r>
        <w:rPr>
          <w:rFonts w:ascii="Times New Roman" w:hAnsi="Times New Roman"/>
        </w:rPr>
        <w:t>库区深水航道物流系统。</w:t>
      </w:r>
      <w:r>
        <w:rPr>
          <w:rFonts w:hint="eastAsia" w:ascii="Times New Roman" w:hAnsi="Times New Roman"/>
        </w:rPr>
        <w:t>用好库区深水航道资源，加强坝上港口码头之间的协同联动</w:t>
      </w:r>
      <w:r>
        <w:rPr>
          <w:rFonts w:ascii="Times New Roman" w:hAnsi="Times New Roman"/>
        </w:rPr>
        <w:t>，</w:t>
      </w:r>
      <w:r>
        <w:rPr>
          <w:rFonts w:hint="eastAsia" w:ascii="Times New Roman" w:hAnsi="Times New Roman"/>
        </w:rPr>
        <w:t>完善</w:t>
      </w:r>
      <w:r>
        <w:rPr>
          <w:rFonts w:ascii="Times New Roman" w:hAnsi="Times New Roman"/>
        </w:rPr>
        <w:t>航线网络，</w:t>
      </w:r>
      <w:r>
        <w:rPr>
          <w:rFonts w:hint="eastAsia" w:ascii="Times New Roman" w:hAnsi="Times New Roman"/>
        </w:rPr>
        <w:t>发展</w:t>
      </w:r>
      <w:r>
        <w:rPr>
          <w:rFonts w:ascii="Times New Roman" w:hAnsi="Times New Roman"/>
        </w:rPr>
        <w:t>库区</w:t>
      </w:r>
      <w:r>
        <w:rPr>
          <w:rFonts w:hint="eastAsia" w:ascii="Times New Roman" w:hAnsi="Times New Roman"/>
        </w:rPr>
        <w:t>内循环深水航运服务。优化港口后方物流园区布局建设，强化大宗物流、制造业物流服务功能，完善库区物流枢纽与通道网络系统。科学合理确定采砂点，结合</w:t>
      </w:r>
      <w:r>
        <w:rPr>
          <w:rFonts w:ascii="Times New Roman" w:hAnsi="Times New Roman"/>
        </w:rPr>
        <w:t>长江</w:t>
      </w:r>
      <w:r>
        <w:rPr>
          <w:rFonts w:hint="eastAsia" w:ascii="Times New Roman" w:hAnsi="Times New Roman"/>
        </w:rPr>
        <w:t>上游</w:t>
      </w:r>
      <w:r>
        <w:rPr>
          <w:rFonts w:ascii="Times New Roman" w:hAnsi="Times New Roman"/>
        </w:rPr>
        <w:t>地区</w:t>
      </w:r>
      <w:r>
        <w:rPr>
          <w:rFonts w:hint="eastAsia" w:ascii="Times New Roman" w:hAnsi="Times New Roman"/>
        </w:rPr>
        <w:t>工程</w:t>
      </w:r>
      <w:r>
        <w:rPr>
          <w:rFonts w:ascii="Times New Roman" w:hAnsi="Times New Roman"/>
        </w:rPr>
        <w:t>项目、城镇建设</w:t>
      </w:r>
      <w:r>
        <w:rPr>
          <w:rFonts w:hint="eastAsia" w:ascii="Times New Roman" w:hAnsi="Times New Roman"/>
        </w:rPr>
        <w:t>等需求</w:t>
      </w:r>
      <w:r>
        <w:rPr>
          <w:rFonts w:ascii="Times New Roman" w:hAnsi="Times New Roman"/>
        </w:rPr>
        <w:t>，</w:t>
      </w:r>
      <w:r>
        <w:rPr>
          <w:rFonts w:hint="eastAsia" w:ascii="Times New Roman" w:hAnsi="Times New Roman"/>
        </w:rPr>
        <w:t>建设库区采砂、用砂循环物流系统，减少过坝砂石运输。引导坝上</w:t>
      </w:r>
      <w:r>
        <w:rPr>
          <w:rFonts w:ascii="Times New Roman" w:hAnsi="Times New Roman"/>
        </w:rPr>
        <w:t>地区</w:t>
      </w:r>
      <w:r>
        <w:rPr>
          <w:rFonts w:hint="eastAsia" w:ascii="Times New Roman" w:hAnsi="Times New Roman"/>
        </w:rPr>
        <w:t>产业链就近</w:t>
      </w:r>
      <w:r>
        <w:rPr>
          <w:rFonts w:ascii="Times New Roman" w:hAnsi="Times New Roman"/>
        </w:rPr>
        <w:t>配套</w:t>
      </w:r>
      <w:r>
        <w:rPr>
          <w:rFonts w:hint="eastAsia" w:ascii="Times New Roman" w:hAnsi="Times New Roman"/>
        </w:rPr>
        <w:t>和供应链就近</w:t>
      </w:r>
      <w:r>
        <w:rPr>
          <w:rFonts w:ascii="Times New Roman" w:hAnsi="Times New Roman"/>
        </w:rPr>
        <w:t>布局</w:t>
      </w:r>
      <w:r>
        <w:rPr>
          <w:rFonts w:hint="eastAsia" w:ascii="Times New Roman" w:hAnsi="Times New Roman"/>
        </w:rPr>
        <w:t>，推动原材料、半成品和产成品等在库区范围内形成生产和物流内部循环，缓解货物过坝压力。</w:t>
      </w:r>
    </w:p>
    <w:p>
      <w:pPr>
        <w:ind w:firstLine="632" w:firstLineChars="200"/>
        <w:rPr>
          <w:rFonts w:hint="eastAsia" w:ascii="Times New Roman" w:hAnsi="Times New Roman"/>
        </w:rPr>
      </w:pPr>
      <w:r>
        <w:rPr>
          <w:rFonts w:hint="eastAsia" w:ascii="Times New Roman" w:hAnsi="Times New Roman"/>
        </w:rPr>
        <w:t>做大做强库区产业链供应链。依托</w:t>
      </w:r>
      <w:r>
        <w:rPr>
          <w:rFonts w:ascii="Times New Roman" w:hAnsi="Times New Roman"/>
        </w:rPr>
        <w:t>库区深水航道物流服务系统</w:t>
      </w:r>
      <w:r>
        <w:rPr>
          <w:rFonts w:hint="eastAsia" w:ascii="Times New Roman" w:hAnsi="Times New Roman"/>
        </w:rPr>
        <w:t>打造的低成本、高效率物流环境，提高库区钢铁、化工、汽车制造、矿建等产业发展规模与质量，带动上下游产业链联动发展，打造产业集群，支撑库区供应链物流发展壮大。支持</w:t>
      </w:r>
      <w:r>
        <w:rPr>
          <w:rFonts w:ascii="Times New Roman" w:hAnsi="Times New Roman"/>
        </w:rPr>
        <w:t>库区深水航道物流</w:t>
      </w:r>
      <w:r>
        <w:rPr>
          <w:rFonts w:hint="eastAsia" w:ascii="Times New Roman" w:hAnsi="Times New Roman"/>
        </w:rPr>
        <w:t>系统服务内需市场，以周边500公里范围为重点，发挥国家物流枢纽吸引辐射作用，对接长江航运、中欧班列（成渝）号、西部陆海新通道班列、国际货运航线等既有通道化物流服务平台，扩大</w:t>
      </w:r>
      <w:r>
        <w:rPr>
          <w:rFonts w:ascii="Times New Roman" w:hAnsi="Times New Roman"/>
        </w:rPr>
        <w:t>库区深水航道物流</w:t>
      </w:r>
      <w:r>
        <w:rPr>
          <w:rFonts w:hint="eastAsia" w:ascii="Times New Roman" w:hAnsi="Times New Roman"/>
        </w:rPr>
        <w:t>系统辐射范围，培育网络化经营物流龙头企业，构建以库区为核心服务区域，覆盖坝上、</w:t>
      </w:r>
      <w:r>
        <w:rPr>
          <w:rFonts w:ascii="Times New Roman" w:hAnsi="Times New Roman"/>
        </w:rPr>
        <w:t>辐射西北</w:t>
      </w:r>
      <w:r>
        <w:rPr>
          <w:rFonts w:hint="eastAsia" w:ascii="Times New Roman" w:hAnsi="Times New Roman"/>
        </w:rPr>
        <w:t>广大地区的内需导向型产业物流服务系统。</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50"/>
      </w:tblGrid>
      <w:tr>
        <w:tc>
          <w:tcPr>
            <w:tcW w:w="8850"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5</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库区内循环物流服务系统建设工程</w:t>
            </w:r>
          </w:p>
        </w:tc>
      </w:tr>
      <w:tr>
        <w:trPr>
          <w:trHeight w:val="473" w:hRule="atLeast"/>
        </w:trPr>
        <w:tc>
          <w:tcPr>
            <w:tcW w:w="8850" w:type="dxa"/>
          </w:tcPr>
          <w:p>
            <w:pPr>
              <w:ind w:firstLine="482"/>
              <w:rPr>
                <w:b w:val="1"/>
                <w:kern w:val="0"/>
                <w:rFonts w:ascii="Times New Roman" w:hAnsi="Times New Roman"/>
                <w:sz w:val="24"/>
                <w:szCs w:val="24"/>
              </w:rPr>
            </w:pPr>
            <w:r>
              <w:rPr>
                <w:b w:val="1"/>
                <w:kern w:val="0"/>
                <w:rFonts w:hint="eastAsia" w:ascii="Times New Roman" w:hAnsi="Times New Roman"/>
                <w:sz w:val="24"/>
                <w:szCs w:val="24"/>
              </w:rPr>
              <w:t>（一）库区深水航道物流系统</w:t>
            </w:r>
          </w:p>
          <w:p>
            <w:pPr>
              <w:ind w:firstLine="480"/>
              <w:rPr>
                <w:kern w:val="0"/>
                <w:rFonts w:ascii="Times New Roman" w:hAnsi="Times New Roman"/>
                <w:sz w:val="24"/>
                <w:szCs w:val="24"/>
              </w:rPr>
            </w:pPr>
            <w:r>
              <w:rPr>
                <w:kern w:val="0"/>
                <w:rFonts w:hint="eastAsia" w:ascii="Times New Roman" w:hAnsi="Times New Roman"/>
                <w:sz w:val="24"/>
                <w:szCs w:val="24"/>
              </w:rPr>
              <w:t>依托重庆港口型国家物流枢纽及万州新田港、涪陵龙头港、长寿港等主要港口和后方物流枢纽设施，利用深水航道条件，提供针对库区产业体系联动的航运服务。建设集接卸码头、装卸设施、集疏运通道等于一体的库区采砂、用砂内循环物流系统。</w:t>
            </w:r>
          </w:p>
          <w:p>
            <w:pPr>
              <w:ind w:firstLine="482"/>
              <w:rPr>
                <w:b w:val="1"/>
                <w:kern w:val="0"/>
                <w:rFonts w:ascii="Times New Roman" w:hAnsi="Times New Roman"/>
                <w:sz w:val="24"/>
                <w:szCs w:val="24"/>
              </w:rPr>
            </w:pPr>
            <w:r>
              <w:rPr>
                <w:b w:val="1"/>
                <w:kern w:val="0"/>
                <w:rFonts w:hint="eastAsia" w:ascii="Times New Roman" w:hAnsi="Times New Roman"/>
                <w:sz w:val="24"/>
                <w:szCs w:val="24"/>
              </w:rPr>
              <w:t>（二）库区供应链物流系统</w:t>
            </w:r>
          </w:p>
          <w:p>
            <w:pPr>
              <w:ind w:firstLine="480"/>
              <w:rPr>
                <w:rFonts w:ascii="Times New Roman" w:hAnsi="Times New Roman"/>
                <w:sz w:val="24"/>
                <w:szCs w:val="24"/>
              </w:rPr>
            </w:pPr>
            <w:r>
              <w:rPr>
                <w:kern w:val="0"/>
                <w:rFonts w:hint="eastAsia" w:ascii="Times New Roman" w:hAnsi="Times New Roman"/>
                <w:sz w:val="24"/>
                <w:szCs w:val="24"/>
              </w:rPr>
              <w:t>鼓励航运平台嵌入生产制造业供应链服务体系，结合不同类型产业个性化需求，开行港口间直航货轮及联通枢纽港、喂给港的快速集装箱班轮，探索滚装运输、大客户定制化班轮等个性化服务。</w:t>
            </w:r>
          </w:p>
        </w:tc>
      </w:tr>
    </w:tbl>
    <w:p>
      <w:pPr>
        <w:ind w:firstLine="632" w:firstLineChars="200"/>
        <w:outlineLvl w:val="1"/>
        <w:rPr>
          <w:rFonts w:hint="eastAsia" w:ascii="Times New Roman" w:hAnsi="Times New Roman" w:eastAsia="方正楷体_GBK"/>
        </w:rPr>
      </w:pPr>
      <w:bookmarkStart w:id="181" w:name="_Toc9863"/>
      <w:bookmarkStart w:id="182" w:name="_Toc14510"/>
      <w:bookmarkStart w:id="183" w:name="_Toc15199"/>
      <w:bookmarkStart w:id="184" w:name="_Toc21904"/>
      <w:bookmarkStart w:id="185" w:name="_Toc61863769"/>
      <w:r>
        <w:rPr>
          <w:rFonts w:hint="eastAsia" w:ascii="Times New Roman" w:hAnsi="Times New Roman" w:eastAsia="方正楷体_GBK"/>
        </w:rPr>
        <w:t>（五）创新应急物流发展</w:t>
      </w:r>
      <w:bookmarkEnd w:id="181"/>
      <w:bookmarkEnd w:id="182"/>
      <w:bookmarkEnd w:id="183"/>
      <w:bookmarkEnd w:id="184"/>
      <w:bookmarkEnd w:id="185"/>
    </w:p>
    <w:p>
      <w:pPr>
        <w:ind w:firstLine="632" w:firstLineChars="200"/>
        <w:rPr>
          <w:rFonts w:hint="eastAsia" w:ascii="Times New Roman" w:hAnsi="Times New Roman"/>
        </w:rPr>
      </w:pPr>
      <w:r>
        <w:rPr>
          <w:rFonts w:hint="eastAsia" w:ascii="Times New Roman" w:hAnsi="Times New Roman"/>
        </w:rPr>
        <w:t>建立协同运作的应急物流响应机制。政府牵头，以专业物流企业为主体，联合交通物流行业协会及公益组织、志愿团体等，组建社会化应急物流储备力量，平时服务、灾时应急，建立系统性应急响应机制。预判重庆应急物流响应情景，分类分级制定应急物流预案，细化管理操作流程、资源投入结构、运行组织方式等，明确分工职责，加强应急演练，明确平时转急时转换条件，确保应急状况下管理链路通畅，行政指令与企业运作无缝衔接。重点依托国家物流枢纽和重庆物流公共信息平台，联动物流企业和其他社会物流平台，建设应急物流快速响应和调度系统，对接国家应急物流运行系统。探索应急物流系统嵌入常规物流运行系统方案，发挥骨干物流网络一体化运作能力，推动干、支、配、储各环节协同运行，保障应急状态下，物流要素齐备、通道顺畅、运行高效。完善技术应用、服务标准、付费补偿、追责评价等保障机制和运行体系。</w:t>
      </w:r>
    </w:p>
    <w:p>
      <w:pPr>
        <w:ind w:firstLine="632" w:firstLineChars="200"/>
        <w:rPr>
          <w:rFonts w:ascii="Times New Roman" w:hAnsi="Times New Roman"/>
        </w:rPr>
      </w:pPr>
      <w:r>
        <w:rPr>
          <w:rFonts w:hint="eastAsia" w:ascii="Times New Roman" w:hAnsi="Times New Roman"/>
        </w:rPr>
        <w:t>优化应急物流资源储备。补足应急物流仓储、运力资源等短板，优化全市应急物流储备结构，引导应急储备物资向便于开展干线运输、快速集散、多向调运的国家物流枢纽设施集聚，区县内实施多点分布布局，形成区域全面兼顾、政企能力整合、快速网络协同的应急物流储备结构。积极申报国家应急物资储备基地，协调产能布局与物资储备，完善供应链保障体系。建立应急运力储备池和企业名录，实现急时运力充足供给与快速调用。</w:t>
      </w:r>
    </w:p>
    <w:p>
      <w:pPr>
        <w:ind w:firstLine="632" w:firstLineChars="200"/>
        <w:rPr>
          <w:rFonts w:hint="eastAsia" w:ascii="Times New Roman" w:hAnsi="Times New Roman"/>
        </w:rPr>
      </w:pPr>
      <w:r>
        <w:rPr>
          <w:rFonts w:hint="eastAsia" w:ascii="Times New Roman" w:hAnsi="Times New Roman"/>
        </w:rPr>
        <w:t>加强大数据等技术手段在应急物流中的应用。建立互联网企业大数据资源合理利用机制，提高利用大数据对物流需求发生重大变化的预研、预判能力，缩短响应时间，为应急状态下生产、流通、物流的合理组织提供全链条数据化引导支撑。</w:t>
      </w:r>
    </w:p>
    <w:p>
      <w:pPr>
        <w:ind w:firstLine="632" w:firstLineChars="200"/>
        <w:outlineLvl w:val="1"/>
        <w:rPr>
          <w:rFonts w:hint="eastAsia" w:ascii="Times New Roman" w:hAnsi="Times New Roman" w:eastAsia="方正楷体_GBK"/>
        </w:rPr>
      </w:pPr>
      <w:bookmarkStart w:id="186" w:name="_Toc9149"/>
      <w:bookmarkStart w:id="187" w:name="_Toc30896"/>
      <w:bookmarkStart w:id="188" w:name="_Toc24290"/>
      <w:bookmarkStart w:id="189" w:name="_Toc61863770"/>
      <w:bookmarkStart w:id="190" w:name="_Toc7111"/>
      <w:r>
        <w:rPr>
          <w:rFonts w:hint="eastAsia" w:ascii="Times New Roman" w:hAnsi="Times New Roman" w:eastAsia="方正楷体_GBK"/>
        </w:rPr>
        <w:t>（六）优先发展智慧物流</w:t>
      </w:r>
      <w:bookmarkEnd w:id="186"/>
      <w:bookmarkEnd w:id="187"/>
      <w:bookmarkEnd w:id="188"/>
      <w:bookmarkEnd w:id="189"/>
      <w:bookmarkEnd w:id="190"/>
    </w:p>
    <w:p>
      <w:pPr>
        <w:ind w:firstLine="632" w:firstLineChars="200"/>
        <w:rPr>
          <w:rFonts w:hint="eastAsia" w:ascii="Times New Roman" w:hAnsi="Times New Roman"/>
        </w:rPr>
      </w:pPr>
      <w:r>
        <w:rPr>
          <w:rFonts w:hint="eastAsia" w:ascii="Times New Roman" w:hAnsi="Times New Roman"/>
        </w:rPr>
        <w:t>加快构建以“1+5+N”为核心的物流信息平台体系。建设重庆物流信息平台，构建全市一体化的“物流单一窗口”，统筹水、公、铁、空、园区资源，满足市场主体“一次委托、全程服务、门到门交接”的多式联运需求。建设五大功能型物流标准化服务平台，建立水运、公路、铁路、航空、物流园区五类物流枢纽信息标准体系，形成五类标准化功能模块。支持各类商业平台与重庆市物流信息平台对接，全面提高全市物流业信息化应用水平。建立信息互联互通共享共用机制，实现“1+5+N”平台之间，以及跨区域物流信息高效流转。以物流信息平台为牵引，促进数字物流、智慧物流蓬勃发展。</w:t>
      </w:r>
    </w:p>
    <w:p>
      <w:pPr>
        <w:ind w:firstLine="632" w:firstLineChars="200"/>
        <w:rPr>
          <w:rFonts w:hint="eastAsia" w:ascii="Times New Roman" w:hAnsi="Times New Roman"/>
        </w:rPr>
      </w:pPr>
      <w:r>
        <w:rPr>
          <w:rFonts w:hint="eastAsia" w:ascii="Times New Roman" w:hAnsi="Times New Roman"/>
        </w:rPr>
        <w:t>完善智慧物流设施装备建设。推进云计算、大数据、物联网、北斗导航、移动互联网、5G、区块链等技术在物流、商贸等领域应用，加快云（云计算）、网（宽带网）、端（各种终端）等智能物流基础设施建设，发展新型物流基础设施。支持物流企业建设智能化立体仓库、应用智能化物流装备，加大无人车、无人船、无人机等智能载运工具的应用，鼓励RFID等技术在医药、集装箱、冷链、不停车收费系统、口岸大通关等领域集成应用，提升仓储、运输、配送、分拨、分拣、包装等作业效率。</w:t>
      </w:r>
    </w:p>
    <w:p>
      <w:pPr>
        <w:ind w:firstLine="632" w:firstLineChars="200"/>
        <w:rPr>
          <w:rFonts w:hint="eastAsia" w:ascii="Times New Roman" w:hAnsi="Times New Roman"/>
        </w:rPr>
      </w:pPr>
      <w:r>
        <w:rPr>
          <w:rFonts w:hint="eastAsia" w:ascii="Times New Roman" w:hAnsi="Times New Roman"/>
        </w:rPr>
        <w:t>加快“互联网+”高效物流服务发展。完善电子口岸、国际贸易“单一窗口”功能，建设智慧口岸。支持企业建设各类社会物流平台，发展车货匹配、运力优化、仓储交易、供应链等一体化、智能化综合物流服务。构建大数据采集、分析、挖掘和决策服务系统，加快发展基于大数据分析的消费者需求挖掘、精准营销、精准物流和市场决策等智能化服务。通过重庆物流公共信息平台，发布全市通用基础类、公共类、服务类及专业类物流标准，推进物流标准化建设。</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05"/>
      </w:tblGrid>
      <w:tr>
        <w:tc>
          <w:tcPr>
            <w:tcW w:w="8805"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6</w:t>
            </w:r>
            <w:r>
              <w:rPr>
                <w:b w:val="1"/>
                <w:kern w:val="0"/>
                <w:rFonts w:ascii="Times New Roman" w:hAnsi="Times New Roman" w:eastAsia="黑体"/>
                <w:sz w:val="24"/>
                <w:szCs w:val="24"/>
              </w:rPr>
              <w:t xml:space="preserve"> </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智慧物流重点平台建设及改造工程</w:t>
            </w:r>
          </w:p>
        </w:tc>
      </w:tr>
      <w:tr>
        <w:tc>
          <w:tcPr>
            <w:tcW w:w="8805" w:type="dxa"/>
          </w:tcPr>
          <w:p>
            <w:pPr>
              <w:ind w:firstLine="482"/>
              <w:rPr>
                <w:b w:val="1"/>
                <w:kern w:val="0"/>
                <w:rFonts w:hint="eastAsia" w:ascii="Times New Roman" w:hAnsi="Times New Roman"/>
                <w:sz w:val="24"/>
                <w:szCs w:val="24"/>
              </w:rPr>
            </w:pPr>
            <w:r>
              <w:rPr>
                <w:b w:val="1"/>
                <w:kern w:val="0"/>
                <w:rFonts w:hint="eastAsia" w:ascii="Times New Roman" w:hAnsi="Times New Roman"/>
                <w:sz w:val="24"/>
                <w:szCs w:val="24"/>
              </w:rPr>
              <w:t>（一）重庆市物流信息平台建设工程</w:t>
            </w:r>
          </w:p>
          <w:p>
            <w:pPr>
              <w:ind w:firstLine="482"/>
              <w:rPr>
                <w:kern w:val="0"/>
                <w:rFonts w:hint="eastAsia" w:ascii="Times New Roman" w:hAnsi="Times New Roman"/>
                <w:sz w:val="24"/>
                <w:szCs w:val="24"/>
              </w:rPr>
            </w:pPr>
            <w:r>
              <w:rPr>
                <w:kern w:val="0"/>
                <w:rFonts w:hint="eastAsia" w:ascii="Times New Roman" w:hAnsi="Times New Roman"/>
                <w:sz w:val="24"/>
                <w:szCs w:val="24"/>
              </w:rPr>
              <w:t>构建全市一体化的“物流单一窗口”，统筹水、公、铁、空、园区资源，满足市场主体“一次委托、全程服务、门到门交接”的多式联运需求，实现前台界面统一、后台高效协作。探索引入区块链、人工智能等技术，实现口岸、交通、市场等监管部门间信息互通共享，提供资质资格、认证许可、口岸通关、全程物流等一站式综合信息服务。</w:t>
            </w:r>
          </w:p>
          <w:p>
            <w:pPr>
              <w:ind w:firstLine="482"/>
              <w:rPr>
                <w:b w:val="1"/>
                <w:kern w:val="0"/>
                <w:rFonts w:hint="eastAsia" w:ascii="Times New Roman" w:hAnsi="Times New Roman"/>
                <w:sz w:val="24"/>
                <w:szCs w:val="24"/>
              </w:rPr>
            </w:pPr>
            <w:r>
              <w:rPr>
                <w:b w:val="1"/>
                <w:kern w:val="0"/>
                <w:rFonts w:hint="eastAsia" w:ascii="Times New Roman" w:hAnsi="Times New Roman"/>
                <w:sz w:val="24"/>
                <w:szCs w:val="24"/>
              </w:rPr>
              <w:t>（二）5大功能型物流标准化服务平台建设工程</w:t>
            </w:r>
          </w:p>
          <w:p>
            <w:pPr>
              <w:ind w:firstLine="482"/>
              <w:rPr>
                <w:kern w:val="0"/>
                <w:rFonts w:hint="eastAsia" w:ascii="Times New Roman" w:hAnsi="Times New Roman"/>
                <w:sz w:val="24"/>
                <w:szCs w:val="24"/>
              </w:rPr>
            </w:pPr>
            <w:r>
              <w:rPr>
                <w:kern w:val="0"/>
                <w:rFonts w:hint="eastAsia" w:ascii="Times New Roman" w:hAnsi="Times New Roman"/>
                <w:sz w:val="24"/>
                <w:szCs w:val="24"/>
              </w:rPr>
              <w:t>建立水运、公路、铁路、航空、物流园区五类物流枢纽信息标准体系，形成五类标准化功能模块。在重庆市物流信息平台体系框架下，以现有物流枢纽为基础，灵活调用五类标准化模块，分别形成基于港口、机场、铁路、公路基地和物流园区，支持多种运输方式高效联运的物流标准化服务平台。</w:t>
            </w:r>
          </w:p>
          <w:p>
            <w:pPr>
              <w:ind w:firstLine="482"/>
              <w:rPr>
                <w:b w:val="1"/>
                <w:kern w:val="0"/>
                <w:rFonts w:hint="eastAsia" w:ascii="Times New Roman" w:hAnsi="Times New Roman"/>
                <w:sz w:val="24"/>
                <w:szCs w:val="24"/>
              </w:rPr>
            </w:pPr>
            <w:r>
              <w:rPr>
                <w:b w:val="1"/>
                <w:kern w:val="0"/>
                <w:rFonts w:hint="eastAsia" w:ascii="Times New Roman" w:hAnsi="Times New Roman"/>
                <w:sz w:val="24"/>
                <w:szCs w:val="24"/>
              </w:rPr>
              <w:t>（三）支持“N”类商务平台建设发展</w:t>
            </w:r>
          </w:p>
          <w:p>
            <w:pPr>
              <w:ind w:firstLine="482"/>
              <w:rPr>
                <w:kern w:val="0"/>
                <w:rFonts w:hint="eastAsia" w:ascii="Times New Roman" w:hAnsi="Times New Roman"/>
                <w:sz w:val="24"/>
                <w:szCs w:val="24"/>
              </w:rPr>
            </w:pPr>
            <w:r>
              <w:rPr>
                <w:kern w:val="0"/>
                <w:rFonts w:hint="eastAsia" w:ascii="Times New Roman" w:hAnsi="Times New Roman"/>
                <w:sz w:val="24"/>
                <w:szCs w:val="24"/>
              </w:rPr>
              <w:t>与企业商务平台对接，包括生产、货代、仓储、运输、报关、物流通道、撮合、金融、行业协会以及其他各类商业化物流信息平台。为商业平台提供公平、免费、高效的公共资源和服务，打通商业平台之间的数据壁垒，降低商业平台运营成本，构建良好营商环境，推动物流综合成本下降。着力培育一批在经营管理、货代服务、仓储管理、集装箱管理、运输管理、报关服务、通道运营、市场撮合、金融服务、综合服务等领域的品牌商业平台，鼓励其创新功能和运营模式，开辟发展新领域，催生新业态。</w:t>
            </w:r>
          </w:p>
          <w:p>
            <w:pPr>
              <w:ind w:firstLine="482"/>
              <w:rPr>
                <w:b w:val="1"/>
                <w:kern w:val="0"/>
                <w:rFonts w:ascii="Times New Roman" w:hAnsi="Times New Roman"/>
                <w:sz w:val="24"/>
                <w:szCs w:val="24"/>
              </w:rPr>
            </w:pPr>
            <w:r>
              <w:rPr>
                <w:b w:val="1"/>
                <w:kern w:val="0"/>
                <w:rFonts w:hint="eastAsia" w:ascii="Times New Roman" w:hAnsi="Times New Roman"/>
                <w:sz w:val="24"/>
                <w:szCs w:val="24"/>
              </w:rPr>
              <w:t>（四）智慧物流提升改造工程</w:t>
            </w:r>
          </w:p>
          <w:p>
            <w:pPr>
              <w:ind w:firstLine="482"/>
              <w:rPr>
                <w:rFonts w:ascii="Times New Roman" w:hAnsi="Times New Roman"/>
                <w:sz w:val="24"/>
                <w:szCs w:val="24"/>
              </w:rPr>
            </w:pPr>
            <w:r>
              <w:rPr>
                <w:b w:val="1"/>
                <w:kern w:val="0"/>
                <w:rFonts w:hint="eastAsia" w:ascii="Times New Roman" w:hAnsi="Times New Roman"/>
                <w:sz w:val="24"/>
                <w:szCs w:val="24"/>
              </w:rPr>
              <w:t>物流园区智能化改造。</w:t>
            </w:r>
            <w:r>
              <w:rPr>
                <w:kern w:val="0"/>
                <w:rFonts w:hint="eastAsia" w:ascii="Times New Roman" w:hAnsi="Times New Roman"/>
                <w:sz w:val="24"/>
                <w:szCs w:val="24"/>
              </w:rPr>
              <w:t>支持物流园区采用</w:t>
            </w:r>
            <w:r>
              <w:rPr>
                <w:kern w:val="0"/>
                <w:rFonts w:ascii="Times New Roman" w:hAnsi="Times New Roman"/>
                <w:sz w:val="24"/>
                <w:szCs w:val="24"/>
              </w:rPr>
              <w:t>RFID</w:t>
            </w:r>
            <w:r>
              <w:rPr>
                <w:kern w:val="0"/>
                <w:rFonts w:hint="eastAsia" w:ascii="Times New Roman" w:hAnsi="Times New Roman"/>
                <w:sz w:val="24"/>
                <w:szCs w:val="24"/>
              </w:rPr>
              <w:t>、视频监控等技术，建设集智能云卡口、可视化监控、园内一卡通、货品溯源等功能为一体的智能园区设施体系。</w:t>
            </w:r>
          </w:p>
          <w:p>
            <w:pPr>
              <w:ind w:firstLine="482"/>
              <w:rPr>
                <w:rFonts w:ascii="Times New Roman" w:hAnsi="Times New Roman"/>
                <w:sz w:val="24"/>
                <w:szCs w:val="24"/>
              </w:rPr>
            </w:pPr>
            <w:r>
              <w:rPr>
                <w:b w:val="1"/>
                <w:kern w:val="0"/>
                <w:rFonts w:hint="eastAsia" w:ascii="Times New Roman" w:hAnsi="Times New Roman"/>
                <w:sz w:val="24"/>
                <w:szCs w:val="24"/>
              </w:rPr>
              <w:t>港口智能化改造。</w:t>
            </w:r>
            <w:r>
              <w:rPr>
                <w:kern w:val="0"/>
                <w:rFonts w:hint="eastAsia" w:ascii="Times New Roman" w:hAnsi="Times New Roman"/>
                <w:sz w:val="24"/>
                <w:szCs w:val="24"/>
              </w:rPr>
              <w:t>加快现有码头智能化改造，推广前沿和堆场无人操作系统、航运岸基协同系统建设，加强航运基础设施与智能船舶、靠离泊、装卸货的智能化衔接配套。</w:t>
            </w:r>
          </w:p>
          <w:p>
            <w:pPr>
              <w:ind w:firstLine="482"/>
              <w:rPr>
                <w:rFonts w:ascii="Times New Roman" w:hAnsi="Times New Roman"/>
                <w:sz w:val="24"/>
                <w:szCs w:val="24"/>
              </w:rPr>
            </w:pPr>
            <w:r>
              <w:rPr>
                <w:b w:val="1"/>
                <w:kern w:val="0"/>
                <w:rFonts w:hint="eastAsia" w:ascii="Times New Roman" w:hAnsi="Times New Roman"/>
                <w:sz w:val="24"/>
                <w:szCs w:val="24"/>
              </w:rPr>
              <w:t>智能通关系统改造。</w:t>
            </w:r>
            <w:r>
              <w:rPr>
                <w:kern w:val="0"/>
                <w:rFonts w:hint="eastAsia" w:ascii="Times New Roman" w:hAnsi="Times New Roman"/>
                <w:sz w:val="24"/>
                <w:szCs w:val="24"/>
              </w:rPr>
              <w:t>支持口岸部门应用智能化查验设施设备，推动口岸物流信息化，改善通关流程，压缩整体通关时间，提高口岸物流服务效率，提升国际物流服务便利化水平。</w:t>
            </w:r>
          </w:p>
          <w:p>
            <w:pPr>
              <w:ind w:firstLine="482"/>
              <w:rPr>
                <w:kern w:val="0"/>
                <w:rFonts w:ascii="Times New Roman" w:hAnsi="Times New Roman"/>
                <w:sz w:val="24"/>
                <w:szCs w:val="24"/>
              </w:rPr>
            </w:pPr>
            <w:r>
              <w:rPr>
                <w:b w:val="1"/>
                <w:kern w:val="0"/>
                <w:rFonts w:hint="eastAsia" w:ascii="Times New Roman" w:hAnsi="Times New Roman"/>
                <w:sz w:val="24"/>
                <w:szCs w:val="24"/>
              </w:rPr>
              <w:t>载运工具智能化改造。</w:t>
            </w:r>
            <w:r>
              <w:rPr>
                <w:kern w:val="0"/>
                <w:rFonts w:hint="eastAsia" w:ascii="Times New Roman" w:hAnsi="Times New Roman"/>
                <w:sz w:val="24"/>
                <w:szCs w:val="24"/>
              </w:rPr>
              <w:t>优化车辆、船舶等载运工具生产、管理行业标准，推动货运载运工具预装北斗定位系统，探索无人驾驶技术、装备在货运领域的应用。依托通用机场，建设无人机配送设施。</w:t>
            </w:r>
          </w:p>
        </w:tc>
      </w:tr>
    </w:tbl>
    <w:p>
      <w:pPr>
        <w:ind w:firstLine="632" w:firstLineChars="200"/>
        <w:outlineLvl w:val="1"/>
        <w:rPr>
          <w:rFonts w:hint="eastAsia" w:ascii="Times New Roman" w:hAnsi="Times New Roman" w:eastAsia="方正楷体_GBK"/>
        </w:rPr>
      </w:pPr>
      <w:bookmarkStart w:id="191" w:name="_Toc3685"/>
      <w:bookmarkStart w:id="192" w:name="_Toc61863771"/>
      <w:bookmarkStart w:id="193" w:name="_Toc25368"/>
      <w:bookmarkStart w:id="194" w:name="_Toc29939"/>
      <w:bookmarkStart w:id="195" w:name="_Toc27738"/>
      <w:r>
        <w:rPr>
          <w:rFonts w:hint="eastAsia" w:ascii="Times New Roman" w:hAnsi="Times New Roman" w:eastAsia="方正楷体_GBK"/>
        </w:rPr>
        <w:t>（七）促进物流绿色发展</w:t>
      </w:r>
      <w:bookmarkEnd w:id="191"/>
      <w:bookmarkEnd w:id="192"/>
      <w:bookmarkEnd w:id="193"/>
      <w:bookmarkEnd w:id="194"/>
      <w:bookmarkEnd w:id="195"/>
    </w:p>
    <w:p>
      <w:pPr>
        <w:ind w:firstLine="632" w:firstLineChars="200"/>
        <w:rPr>
          <w:rFonts w:hint="eastAsia" w:ascii="Times New Roman" w:hAnsi="Times New Roman"/>
        </w:rPr>
      </w:pPr>
      <w:r>
        <w:rPr>
          <w:rFonts w:hint="eastAsia" w:ascii="Times New Roman" w:hAnsi="Times New Roman"/>
        </w:rPr>
        <w:t>构建绿色物流供应链系统。大力倡导绿色制造，推行产品全生命周期绿色管理，在汽车、电器电子、通信、大型成套装备及机械等行业开展绿色供应链管理示范。强化供应链绿色监管，贯彻执行运输、装卸、仓储等环节的绿色标准，鼓励采购绿色产品和服务，扶植绿色产业，推动形成绿色制造供应链体系。积极推行绿色流通，倡导绿色消费理念，培育绿色消费市场。鼓励流通环节节能技术应用，培育一批集节能改造和节能产品销售于一体的绿色流通企业。</w:t>
      </w:r>
    </w:p>
    <w:p>
      <w:pPr>
        <w:ind w:firstLine="632" w:firstLineChars="200"/>
        <w:rPr>
          <w:rFonts w:hint="eastAsia" w:ascii="Times New Roman" w:hAnsi="Times New Roman"/>
        </w:rPr>
      </w:pPr>
      <w:r>
        <w:rPr>
          <w:rFonts w:hint="eastAsia" w:ascii="Times New Roman" w:hAnsi="Times New Roman"/>
        </w:rPr>
        <w:t>鼓励物流设施和运行模式绿色创新发展。优化物流产业空间布局，整合集聚全市物流设施、企业、组织和信息资源，实现行业集约化发展，避免重复建设。调整运输结构，推进大宗货物运输“公转铁”和铁水联运。优化运输组织，发挥国家物流枢纽货物集聚功能，提高干线运输整船、整列、整车发货比例，大力发展甩挂运输、共同配送、统一配送等先进物流组织模式。提高储运工具信息化水平，促进行业节能减排。</w:t>
      </w:r>
    </w:p>
    <w:p>
      <w:pPr>
        <w:ind w:firstLine="632" w:firstLineChars="200"/>
        <w:rPr>
          <w:rFonts w:hint="eastAsia" w:ascii="Times New Roman" w:hAnsi="Times New Roman"/>
        </w:rPr>
      </w:pPr>
      <w:r>
        <w:rPr>
          <w:rFonts w:hint="eastAsia" w:ascii="Times New Roman" w:hAnsi="Times New Roman"/>
        </w:rPr>
        <w:t>推广应用绿色物流技术。加强绿色物流新技术和设备的研究应用，推广LNG、CNG等清洁能源运输装备和装卸设施，鼓励应用新能源运输配送车辆，配套建设加气站等绿色交通能源设施。采用绿色仓储技术和节能装备，提倡绿色包装、简单包装，鼓励包装材料重复使用与回收利用，推广托盘等标准化器具循环利用。逐步完善能耗和碳排放监测、检测、认证制度，加快建立绿色物流评估标准和认证体系。</w:t>
      </w:r>
    </w:p>
    <w:p>
      <w:pPr>
        <w:ind w:firstLine="632" w:firstLineChars="200"/>
        <w:rPr>
          <w:rFonts w:hint="eastAsia" w:ascii="Times New Roman" w:hAnsi="Times New Roman"/>
        </w:rPr>
      </w:pPr>
      <w:r>
        <w:rPr>
          <w:rFonts w:hint="eastAsia" w:ascii="Times New Roman" w:hAnsi="Times New Roman"/>
        </w:rPr>
        <w:t>加快建立逆向物流系统。大力发展再生资源回收物流，提高资源再生及循环利用水平。鼓励建立基于供应链的废旧资源回收利用平台，建设线上废弃物和再生资源交易市场。落实生产者责任延伸制度，重点针对电器电子、汽车产品、轮胎、蓄电池和包装物等产品，优化供应链逆向物流网点布局，促进产品回收和再制造。</w:t>
      </w:r>
    </w:p>
    <w:tbl>
      <w:tblPr>
        <w:tblStyle w:val="1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50"/>
      </w:tblGrid>
      <w:tr>
        <w:trPr>
          <w:wAfter w:w="0" w:type="dxa"/>
          <w:wBefore w:w="0" w:type="dxa"/>
        </w:trPr>
        <w:tc>
          <w:tcPr>
            <w:tcW w:w="8850" w:type="dxa"/>
          </w:tcPr>
          <w:p>
            <w:pPr>
              <w:jc w:val="center"/>
              <w:rPr>
                <w:b w:val="1"/>
                <w:kern w:val="0"/>
                <w:rFonts w:ascii="Times New Roman" w:hAnsi="Times New Roman" w:eastAsia="黑体"/>
                <w:sz w:val="24"/>
                <w:szCs w:val="24"/>
              </w:rPr>
            </w:pPr>
            <w:r>
              <w:rPr>
                <w:b w:val="1"/>
                <w:kern w:val="0"/>
                <w:rFonts w:hint="eastAsia" w:ascii="Times New Roman" w:hAnsi="Times New Roman" w:eastAsia="黑体"/>
                <w:sz w:val="24"/>
                <w:szCs w:val="24"/>
              </w:rPr>
              <w:t>专栏</w:t>
            </w:r>
            <w:r>
              <w:rPr>
                <w:b w:val="1"/>
                <w:kern w:val="0"/>
                <w:rFonts w:hint="eastAsia" w:ascii="Times New Roman" w:hAnsi="Times New Roman" w:eastAsia="黑体"/>
                <w:sz w:val="24"/>
                <w:szCs w:val="24"/>
              </w:rPr>
              <w:t>7</w:t>
            </w:r>
            <w:r>
              <w:rPr>
                <w:b w:val="1"/>
                <w:kern w:val="0"/>
                <w:rFonts w:ascii="Times New Roman" w:hAnsi="Times New Roman" w:eastAsia="黑体"/>
                <w:sz w:val="24"/>
                <w:szCs w:val="24"/>
              </w:rPr>
              <w:t xml:space="preserve">  </w:t>
            </w:r>
            <w:r>
              <w:rPr>
                <w:b w:val="1"/>
                <w:kern w:val="0"/>
                <w:rFonts w:hint="eastAsia" w:ascii="Times New Roman" w:hAnsi="Times New Roman" w:eastAsia="黑体"/>
                <w:sz w:val="24"/>
                <w:szCs w:val="24"/>
              </w:rPr>
              <w:t>绿色物流发展建设工程</w:t>
            </w:r>
          </w:p>
        </w:tc>
      </w:tr>
      <w:tr>
        <w:trPr>
          <w:wAfter w:w="0" w:type="dxa"/>
          <w:wBefore w:w="0" w:type="dxa"/>
        </w:trPr>
        <w:tc>
          <w:tcPr>
            <w:tcW w:w="8850" w:type="dxa"/>
          </w:tcPr>
          <w:p>
            <w:pPr>
              <w:ind w:firstLine="482"/>
              <w:rPr>
                <w:b w:val="1"/>
                <w:kern w:val="0"/>
                <w:rFonts w:ascii="Times New Roman" w:hAnsi="Times New Roman"/>
                <w:sz w:val="24"/>
                <w:szCs w:val="24"/>
              </w:rPr>
            </w:pPr>
            <w:r>
              <w:rPr>
                <w:b w:val="1"/>
                <w:kern w:val="0"/>
                <w:rFonts w:hint="eastAsia" w:ascii="Times New Roman" w:hAnsi="Times New Roman"/>
                <w:sz w:val="24"/>
                <w:szCs w:val="24"/>
              </w:rPr>
              <w:t>（一）绿色港口建设</w:t>
            </w:r>
          </w:p>
          <w:p>
            <w:pPr>
              <w:ind w:firstLine="480"/>
              <w:rPr>
                <w:rFonts w:ascii="Times New Roman" w:hAnsi="Times New Roman"/>
                <w:sz w:val="24"/>
                <w:szCs w:val="24"/>
              </w:rPr>
            </w:pPr>
            <w:r>
              <w:rPr>
                <w:kern w:val="0"/>
                <w:rFonts w:hint="eastAsia" w:ascii="Times New Roman" w:hAnsi="Times New Roman"/>
                <w:sz w:val="24"/>
                <w:szCs w:val="24"/>
              </w:rPr>
              <w:t>支持区县按规划加快推进LNG码头建设，推动新建港口和岸电技术同步建设投用。</w:t>
            </w:r>
          </w:p>
          <w:p>
            <w:pPr>
              <w:ind w:firstLine="482"/>
              <w:rPr>
                <w:b w:val="1"/>
                <w:kern w:val="0"/>
                <w:rFonts w:ascii="Times New Roman" w:hAnsi="Times New Roman"/>
                <w:sz w:val="24"/>
                <w:szCs w:val="24"/>
              </w:rPr>
            </w:pPr>
            <w:r>
              <w:rPr>
                <w:b w:val="1"/>
                <w:kern w:val="0"/>
                <w:rFonts w:hint="eastAsia" w:ascii="Times New Roman" w:hAnsi="Times New Roman"/>
                <w:sz w:val="24"/>
                <w:szCs w:val="24"/>
              </w:rPr>
              <w:t>（二）船舶标准化、清洁化建设</w:t>
            </w:r>
          </w:p>
          <w:p>
            <w:pPr>
              <w:ind w:firstLine="480"/>
              <w:rPr>
                <w:kern w:val="0"/>
                <w:rFonts w:hint="eastAsia" w:ascii="Times New Roman" w:hAnsi="Times New Roman"/>
                <w:sz w:val="24"/>
                <w:szCs w:val="24"/>
              </w:rPr>
            </w:pPr>
            <w:r>
              <w:rPr>
                <w:kern w:val="0"/>
                <w:rFonts w:hint="eastAsia" w:ascii="Times New Roman" w:hAnsi="Times New Roman"/>
                <w:sz w:val="24"/>
                <w:szCs w:val="24"/>
              </w:rPr>
              <w:t>加快淘汰低标准船舶，发展三峡船型，研发推广江海直达船型，长江干线全面实现船型标准化，形成标准化、专业化和科技化的现代船队体系。加快淘汰高污染船舶，推广应用船舶再生能源技术，发展LNG动力船舶。推动</w:t>
            </w:r>
            <w:r>
              <w:rPr>
                <w:kern w:val="0"/>
                <w:rFonts w:ascii="Times New Roman" w:hAnsi="Times New Roman"/>
                <w:sz w:val="24"/>
                <w:szCs w:val="24"/>
              </w:rPr>
              <w:t>船舶停靠</w:t>
            </w:r>
            <w:r>
              <w:rPr>
                <w:kern w:val="0"/>
                <w:rFonts w:hint="eastAsia" w:ascii="Times New Roman" w:hAnsi="Times New Roman"/>
                <w:sz w:val="24"/>
                <w:szCs w:val="24"/>
              </w:rPr>
              <w:t>2小时</w:t>
            </w:r>
            <w:r>
              <w:rPr>
                <w:kern w:val="0"/>
                <w:rFonts w:ascii="Times New Roman" w:hAnsi="Times New Roman"/>
                <w:sz w:val="24"/>
                <w:szCs w:val="24"/>
              </w:rPr>
              <w:t>以上使用岸电。</w:t>
            </w:r>
          </w:p>
          <w:p>
            <w:pPr>
              <w:ind w:firstLine="482"/>
              <w:rPr>
                <w:b w:val="1"/>
                <w:kern w:val="0"/>
                <w:rFonts w:ascii="Times New Roman" w:hAnsi="Times New Roman"/>
                <w:sz w:val="24"/>
                <w:szCs w:val="24"/>
              </w:rPr>
            </w:pPr>
            <w:r>
              <w:rPr>
                <w:b w:val="1"/>
                <w:kern w:val="0"/>
                <w:rFonts w:hint="eastAsia" w:ascii="Times New Roman" w:hAnsi="Times New Roman"/>
                <w:sz w:val="24"/>
                <w:szCs w:val="24"/>
              </w:rPr>
              <w:t>（三）港口、船舶污染物收集、转运和处置</w:t>
            </w:r>
          </w:p>
          <w:p>
            <w:pPr>
              <w:ind w:firstLine="480"/>
              <w:rPr>
                <w:kern w:val="0"/>
                <w:rFonts w:ascii="Times New Roman" w:hAnsi="Times New Roman"/>
                <w:sz w:val="24"/>
                <w:szCs w:val="24"/>
              </w:rPr>
            </w:pPr>
            <w:r>
              <w:rPr>
                <w:kern w:val="0"/>
                <w:rFonts w:hint="eastAsia" w:ascii="Times New Roman" w:hAnsi="Times New Roman"/>
                <w:sz w:val="24"/>
                <w:szCs w:val="24"/>
              </w:rPr>
              <w:t>加快建设船舶污染物接收转运设施，改造升级涪陵泽胜、长寿川维等洗舱基地。</w:t>
            </w:r>
          </w:p>
          <w:p>
            <w:pPr>
              <w:ind w:firstLine="482"/>
              <w:rPr>
                <w:b w:val="1"/>
                <w:kern w:val="0"/>
                <w:rFonts w:hint="eastAsia" w:ascii="Times New Roman" w:hAnsi="Times New Roman"/>
                <w:sz w:val="24"/>
                <w:szCs w:val="24"/>
              </w:rPr>
            </w:pPr>
            <w:r>
              <w:rPr>
                <w:b w:val="1"/>
                <w:kern w:val="0"/>
                <w:rFonts w:hint="eastAsia" w:ascii="Times New Roman" w:hAnsi="Times New Roman"/>
                <w:sz w:val="24"/>
                <w:szCs w:val="24"/>
              </w:rPr>
              <w:t>（四）新能源车辆及配套设施建设</w:t>
            </w:r>
          </w:p>
          <w:p>
            <w:pPr>
              <w:ind w:firstLine="480"/>
              <w:rPr>
                <w:kern w:val="0"/>
                <w:rFonts w:hint="eastAsia" w:ascii="Times New Roman" w:hAnsi="Times New Roman"/>
                <w:sz w:val="24"/>
                <w:szCs w:val="24"/>
              </w:rPr>
            </w:pPr>
            <w:r>
              <w:rPr>
                <w:kern w:val="0"/>
                <w:rFonts w:hint="eastAsia" w:ascii="Times New Roman" w:hAnsi="Times New Roman"/>
                <w:sz w:val="24"/>
                <w:szCs w:val="24"/>
              </w:rPr>
              <w:t>加快淘汰高耗能车辆，对物流企业换用LNG、CNG、纯电等新能源物流车辆给予资金补助。加快新能源车辆配套设施建设，支持物流园区建设LNG加气站、充电桩等。</w:t>
            </w:r>
          </w:p>
          <w:p>
            <w:pPr>
              <w:ind w:firstLine="482"/>
              <w:rPr>
                <w:b w:val="1"/>
                <w:kern w:val="0"/>
                <w:rFonts w:ascii="Times New Roman" w:hAnsi="Times New Roman"/>
                <w:sz w:val="24"/>
                <w:szCs w:val="24"/>
              </w:rPr>
            </w:pPr>
            <w:r>
              <w:rPr>
                <w:b w:val="1"/>
                <w:kern w:val="0"/>
                <w:rFonts w:hint="eastAsia" w:ascii="Times New Roman" w:hAnsi="Times New Roman"/>
                <w:sz w:val="24"/>
                <w:szCs w:val="24"/>
              </w:rPr>
              <w:t>（五）物流载运单元循环公用</w:t>
            </w:r>
          </w:p>
          <w:p>
            <w:pPr>
              <w:ind w:firstLine="480"/>
              <w:rPr>
                <w:kern w:val="0"/>
                <w:rFonts w:hint="eastAsia" w:ascii="Times New Roman" w:hAnsi="Times New Roman"/>
                <w:sz w:val="24"/>
                <w:szCs w:val="24"/>
              </w:rPr>
            </w:pPr>
            <w:r>
              <w:rPr>
                <w:kern w:val="0"/>
                <w:rFonts w:hint="eastAsia" w:ascii="Times New Roman" w:hAnsi="Times New Roman"/>
                <w:sz w:val="24"/>
                <w:szCs w:val="24"/>
              </w:rPr>
              <w:t>加快建设托盘共用体系、再生资源回收利用系统和新能源物流车辆装备租赁平台。</w:t>
            </w:r>
          </w:p>
          <w:p>
            <w:pPr>
              <w:ind w:firstLine="480"/>
              <w:rPr>
                <w:kern w:val="0"/>
                <w:rFonts w:hint="eastAsia" w:ascii="Times New Roman" w:hAnsi="Times New Roman"/>
                <w:sz w:val="24"/>
                <w:szCs w:val="24"/>
              </w:rPr>
            </w:pPr>
            <w:r>
              <w:rPr>
                <w:kern w:val="0"/>
                <w:rFonts w:hint="eastAsia" w:ascii="Times New Roman" w:hAnsi="Times New Roman"/>
                <w:sz w:val="24"/>
                <w:szCs w:val="24"/>
              </w:rPr>
              <w:t>（六）再生资源回收利用体系建设</w:t>
            </w:r>
          </w:p>
          <w:p>
            <w:pPr>
              <w:ind w:firstLine="480"/>
              <w:rPr>
                <w:kern w:val="0"/>
                <w:rFonts w:hint="eastAsia" w:ascii="Times New Roman" w:hAnsi="Times New Roman"/>
                <w:sz w:val="24"/>
                <w:szCs w:val="24"/>
              </w:rPr>
            </w:pPr>
            <w:r>
              <w:rPr>
                <w:kern w:val="0"/>
                <w:rFonts w:hint="eastAsia" w:ascii="Times New Roman" w:hAnsi="Times New Roman"/>
                <w:sz w:val="24"/>
                <w:szCs w:val="24"/>
              </w:rPr>
              <w:t>进一步完善以回收站点、分拣中心和集散市场建设为核心的“三位一体”再生资源回收体系。加快建设服务重庆市循环经济发展和“无废城市”建设的静脉产业物流枢纽经济区。</w:t>
            </w:r>
          </w:p>
        </w:tc>
      </w:tr>
    </w:tbl>
    <w:p>
      <w:pPr>
        <w:ind w:firstLine="632" w:firstLineChars="200"/>
        <w:outlineLvl w:val="1"/>
        <w:rPr>
          <w:rFonts w:hint="eastAsia" w:ascii="Times New Roman" w:hAnsi="Times New Roman" w:eastAsia="方正楷体_GBK"/>
        </w:rPr>
      </w:pPr>
      <w:bookmarkStart w:id="196" w:name="_Toc61863772"/>
      <w:bookmarkStart w:id="197" w:name="_Toc28212"/>
      <w:bookmarkStart w:id="198" w:name="_Toc2290"/>
      <w:bookmarkStart w:id="199" w:name="_Toc16886"/>
      <w:bookmarkStart w:id="200" w:name="_Toc13241"/>
      <w:r>
        <w:rPr>
          <w:rFonts w:hint="eastAsia" w:ascii="Times New Roman" w:hAnsi="Times New Roman" w:eastAsia="方正楷体_GBK"/>
        </w:rPr>
        <w:t>（八）拓展物流金融服务</w:t>
      </w:r>
      <w:bookmarkEnd w:id="196"/>
      <w:bookmarkEnd w:id="197"/>
      <w:bookmarkEnd w:id="198"/>
      <w:bookmarkEnd w:id="199"/>
    </w:p>
    <w:p>
      <w:pPr>
        <w:ind w:firstLine="632" w:firstLineChars="200"/>
        <w:rPr>
          <w:rFonts w:hint="eastAsia" w:ascii="Times New Roman" w:hAnsi="Times New Roman"/>
        </w:rPr>
      </w:pPr>
      <w:r>
        <w:rPr>
          <w:rFonts w:hint="eastAsia" w:ascii="Times New Roman" w:hAnsi="Times New Roman"/>
        </w:rPr>
        <w:t>夯实物流金融大数据网络技术支撑基础。加强金融机构与核心的生产、流通、物流企业和面向流通的各类平台合作，创新互联网、大数据、物联网、区块链等技术支持金融与物流虚实结合、联动发展路径。加快构建反映供应链上下游运行关系、物流全程透明可追踪、货物安全监管可闭环、货值评估有保障的大数据网络，提高数据的透明度和安全性，夯实物流金融发展基础。</w:t>
      </w:r>
    </w:p>
    <w:p>
      <w:pPr>
        <w:ind w:firstLine="632" w:firstLineChars="200"/>
        <w:rPr>
          <w:rFonts w:hint="eastAsia" w:ascii="Times New Roman" w:hAnsi="Times New Roman"/>
        </w:rPr>
      </w:pPr>
      <w:r>
        <w:rPr>
          <w:rFonts w:hint="eastAsia" w:ascii="Times New Roman" w:hAnsi="Times New Roman"/>
        </w:rPr>
        <w:t>培育供应链金融服务新业态。支持有条件的物流企业申请金融仓储业务相关牌照，发展大宗商品仓单质押，服务于内陆分拨中心建设。支持金融机构联合供应链核心企业，推动形成以物流供应链运行结构为支撑的金融风险、信用评级体系，围绕货物在造、在库、在途、在售等环节，深度挖掘生产订单、仓储物流、应收账款等潜在金融价值，积极对接人民银行应收账款融资服务平台等公共平台，发展线上应收账款融资、保兑仓融资等供应链金融模式，推进更多场景化、差异化、数据化金融产品发展。</w:t>
      </w:r>
    </w:p>
    <w:p>
      <w:pPr>
        <w:ind w:firstLine="632" w:firstLineChars="200"/>
        <w:rPr>
          <w:rFonts w:ascii="Times New Roman" w:hAnsi="Times New Roman"/>
        </w:rPr>
      </w:pPr>
      <w:r>
        <w:rPr>
          <w:rFonts w:hint="eastAsia" w:ascii="Times New Roman" w:hAnsi="Times New Roman"/>
        </w:rPr>
        <w:t>发掘物流单证金融功能。主要依托中欧班列（成渝）、西部陆海新通道等出海出境通道，探索创新陆上贸易规则和赋予国际联运物流单证金融属性的有效途径，加快推动国际多式联运“一单制”试点和铁路提单商业化应用，助力中小商贸和物流企业扩大融资渠道、降低融资成本。对接国家外汇局跨境金融区块链服务平台，推动物流运费融资、进出口货物融资、物流运费结算等产品应用。支持物流、产业、贸易、融资结算的集成式发展。</w:t>
      </w:r>
    </w:p>
    <w:p>
      <w:pPr>
        <w:ind w:firstLine="632" w:firstLineChars="200"/>
        <w:outlineLvl w:val="1"/>
        <w:rPr>
          <w:rFonts w:hint="eastAsia" w:ascii="Times New Roman" w:hAnsi="Times New Roman" w:eastAsia="方正楷体_GBK"/>
        </w:rPr>
      </w:pPr>
      <w:bookmarkStart w:id="201" w:name="_Toc61863773"/>
      <w:bookmarkStart w:id="202" w:name="_Toc17807"/>
      <w:bookmarkStart w:id="203" w:name="_Toc20762"/>
      <w:bookmarkStart w:id="204" w:name="_Toc8755"/>
      <w:r>
        <w:rPr>
          <w:rFonts w:hint="eastAsia" w:ascii="Times New Roman" w:hAnsi="Times New Roman" w:eastAsia="方正楷体_GBK"/>
        </w:rPr>
        <w:t>（九）培育物流市场主体</w:t>
      </w:r>
      <w:bookmarkEnd w:id="201"/>
      <w:bookmarkEnd w:id="202"/>
      <w:bookmarkEnd w:id="203"/>
      <w:bookmarkEnd w:id="204"/>
    </w:p>
    <w:p>
      <w:pPr>
        <w:ind w:firstLine="632" w:firstLineChars="200"/>
        <w:rPr>
          <w:rFonts w:hint="eastAsia" w:ascii="Times New Roman" w:hAnsi="Times New Roman"/>
        </w:rPr>
      </w:pPr>
      <w:r>
        <w:rPr>
          <w:rFonts w:hint="eastAsia" w:ascii="Times New Roman" w:hAnsi="Times New Roman"/>
        </w:rPr>
        <w:t>引进国内外具有实力的物流企业。创新招商引资模式，加快引进全球50强和国内50强物流企业，吸引具有全程物流组织能力的网络型物流企业、细分市场专业化物流企业和代表未来技术方向的智慧型物流企业进驻重庆。放大中新（重庆）战略性互联互通示范项目和自贸区的政策优势，吸引国际国内优质多式联运、电商物流、快递快运等企业来渝设立西南地区总部，打造国内外品牌物流企业聚集的总部基地，提高境外物流市场资源配置能力。</w:t>
      </w:r>
    </w:p>
    <w:p>
      <w:pPr>
        <w:ind w:firstLine="632" w:firstLineChars="200"/>
        <w:rPr>
          <w:rFonts w:hint="eastAsia" w:ascii="Times New Roman" w:hAnsi="Times New Roman"/>
        </w:rPr>
      </w:pPr>
      <w:r>
        <w:rPr>
          <w:rFonts w:hint="eastAsia" w:ascii="Times New Roman" w:hAnsi="Times New Roman"/>
        </w:rPr>
        <w:t>加大本地龙头物流企业培育。增强本地物流龙头企业竞争力，培育壮大本土5A级物流企业、全国百强物流企业队伍。支持本土物流企业与跨国物流企业开展合资合作，拓展国际物流和供应链服务。</w:t>
      </w:r>
    </w:p>
    <w:p>
      <w:pPr>
        <w:ind w:firstLine="632" w:firstLineChars="200"/>
        <w:rPr>
          <w:rFonts w:hint="eastAsia" w:ascii="Times New Roman" w:hAnsi="Times New Roman"/>
        </w:rPr>
      </w:pPr>
      <w:r>
        <w:rPr>
          <w:rFonts w:hint="eastAsia" w:ascii="Times New Roman" w:hAnsi="Times New Roman"/>
        </w:rPr>
        <w:t>支持中小物流企业平稳健康发展。落实国家和全市支持中小企业发展政策，激发中小物流企业发展活力。鼓励金融机构为中小物流企业提供专项信贷额度、专属信贷产品及优惠利率贷款，降低资金成本。鼓励创新创业基地、“双创”孵化器运营单位为物流个体工商户减免物业租金，对物流企业实行优惠电价，降低用房用能成本。推动按单位参保企业职工养老、事业、工伤保险的物流个体工商户参照中小微企业政策享受一定额度减免，降低人工成本。进一步简化物流企业证照审批手续，对物流模式创新实施包容审慎监管，降低制度性成本。</w:t>
      </w:r>
    </w:p>
    <w:p>
      <w:pPr>
        <w:ind w:firstLine="632" w:firstLineChars="200"/>
        <w:rPr>
          <w:rFonts w:hint="eastAsia" w:ascii="Times New Roman" w:hAnsi="Times New Roman"/>
        </w:rPr>
      </w:pPr>
      <w:r>
        <w:rPr>
          <w:rFonts w:hint="eastAsia" w:ascii="Times New Roman" w:hAnsi="Times New Roman"/>
        </w:rPr>
        <w:t>推动形成各类物流主体协同发展格局。鼓励各类物流企业加强业务合作，形成龙头企业为核心、大中小企业共同参与的物流企业协同发展格局。支持平台运营、通道运营、枢纽运营、区域分拨、仓配一体化经营等物流企业，加强上下游协作，提供全过程物流服务。支持长江航运、远洋航运、铁路、公路、航空、管道运输、货运代理等物流企业，加强多式联运协作，开展“门到门”运输服务。支持物流与制造、商贸、农业生产、信息服务、金融等企业加强供应链协作，探索物流服务模式和业态创新。支持本地物流企业与国内外企业开展跨境、跨区域合作，提供网络化物流服务。</w:t>
      </w:r>
    </w:p>
    <w:p>
      <w:pPr>
        <w:ind w:firstLine="632" w:firstLineChars="200"/>
        <w:outlineLvl w:val="0"/>
        <w:rPr>
          <w:rFonts w:hint="eastAsia" w:ascii="Times New Roman" w:hAnsi="Times New Roman" w:eastAsia="方正黑体_GBK"/>
        </w:rPr>
      </w:pPr>
      <w:bookmarkStart w:id="205" w:name="_Toc11551"/>
      <w:bookmarkStart w:id="206" w:name="_Toc20474"/>
      <w:bookmarkStart w:id="207" w:name="_Toc31078"/>
      <w:bookmarkStart w:id="208" w:name="_Toc61863774"/>
      <w:bookmarkStart w:id="209" w:name="_Toc25126"/>
      <w:r>
        <w:rPr>
          <w:rFonts w:hint="eastAsia" w:ascii="Times New Roman" w:hAnsi="Times New Roman" w:eastAsia="方正黑体_GBK"/>
        </w:rPr>
        <w:t>九、保障措施</w:t>
      </w:r>
      <w:bookmarkEnd w:id="205"/>
      <w:bookmarkEnd w:id="206"/>
      <w:bookmarkEnd w:id="207"/>
      <w:bookmarkEnd w:id="208"/>
      <w:bookmarkEnd w:id="209"/>
    </w:p>
    <w:p>
      <w:pPr>
        <w:ind w:firstLine="632" w:firstLineChars="200"/>
        <w:outlineLvl w:val="1"/>
        <w:rPr>
          <w:rFonts w:hint="eastAsia" w:ascii="Times New Roman" w:hAnsi="Times New Roman" w:eastAsia="方正楷体_GBK"/>
        </w:rPr>
      </w:pPr>
      <w:bookmarkStart w:id="210" w:name="_Toc17949"/>
      <w:bookmarkStart w:id="211" w:name="_Toc13436"/>
      <w:bookmarkStart w:id="212" w:name="_Toc18598"/>
      <w:bookmarkStart w:id="213" w:name="_Toc61863775"/>
      <w:bookmarkStart w:id="214" w:name="_Toc31184"/>
      <w:r>
        <w:rPr>
          <w:rFonts w:hint="eastAsia" w:ascii="Times New Roman" w:hAnsi="Times New Roman" w:eastAsia="方正楷体_GBK"/>
        </w:rPr>
        <w:t>（一）构建高效物流管理体制与机制</w:t>
      </w:r>
      <w:bookmarkEnd w:id="210"/>
      <w:bookmarkEnd w:id="211"/>
      <w:bookmarkEnd w:id="212"/>
      <w:bookmarkEnd w:id="213"/>
      <w:bookmarkEnd w:id="214"/>
    </w:p>
    <w:p>
      <w:pPr>
        <w:ind w:firstLine="632" w:firstLineChars="200"/>
        <w:rPr>
          <w:rFonts w:hint="eastAsia" w:ascii="Times New Roman" w:hAnsi="Times New Roman"/>
        </w:rPr>
      </w:pPr>
      <w:r>
        <w:rPr>
          <w:rFonts w:hint="eastAsia" w:ascii="Times New Roman" w:hAnsi="Times New Roman"/>
        </w:rPr>
        <w:t>按照《重庆市机构改革实施方案》，完善市内物流行业管理部门职能和管理架构，落实编制实施物流业发展规划、主持国家物流枢纽建设实施方案制定、牵头建立跨省市物流协调管理机制和跨区域物流枢纽运行联盟、落实重点规划项目和推进国家物流枢纽建设等职责。以西部陆海新通道、中欧班列（成渝）等为重点，牵头打造国际物流合作平台。依托重庆市口岸物流发展工作联席会议制度，在市辖各区县建立物流发展协调机制，定期向市政府口岸物流办上报物流业发展信息，完善市、区县两级物流管理协调机制。鼓励区县编制物流业发展规划，根据各自地理环境、经济基础和产业传统，配置物流资源，统筹物流系统建设，做大做强特色物流，衔接全市物流规划，形成全市域物流产业发展合力。</w:t>
      </w:r>
    </w:p>
    <w:p>
      <w:pPr>
        <w:ind w:firstLine="632" w:firstLineChars="200"/>
        <w:outlineLvl w:val="1"/>
        <w:rPr>
          <w:rFonts w:hint="eastAsia" w:ascii="Times New Roman" w:hAnsi="Times New Roman" w:eastAsia="方正楷体_GBK"/>
        </w:rPr>
      </w:pPr>
      <w:bookmarkStart w:id="215" w:name="_Toc25730"/>
      <w:bookmarkStart w:id="216" w:name="_Toc16408"/>
      <w:bookmarkStart w:id="217" w:name="_Toc12927"/>
      <w:bookmarkStart w:id="218" w:name="_Toc3946"/>
      <w:bookmarkStart w:id="219" w:name="_Toc61863776"/>
      <w:r>
        <w:rPr>
          <w:rFonts w:hint="eastAsia" w:ascii="Times New Roman" w:hAnsi="Times New Roman" w:eastAsia="方正楷体_GBK"/>
        </w:rPr>
        <w:t>（二）营造物流高质量发展政策环境</w:t>
      </w:r>
      <w:bookmarkEnd w:id="215"/>
      <w:bookmarkEnd w:id="216"/>
      <w:bookmarkEnd w:id="217"/>
      <w:bookmarkEnd w:id="218"/>
      <w:bookmarkEnd w:id="219"/>
    </w:p>
    <w:p>
      <w:pPr>
        <w:ind w:firstLine="632" w:firstLineChars="200"/>
        <w:rPr>
          <w:rFonts w:hint="eastAsia" w:ascii="Times New Roman" w:hAnsi="Times New Roman"/>
        </w:rPr>
      </w:pPr>
      <w:r>
        <w:rPr>
          <w:rFonts w:hint="eastAsia" w:ascii="Times New Roman" w:hAnsi="Times New Roman"/>
        </w:rPr>
        <w:t>根据创建国家物流业高质量发展示范高地的目标</w:t>
      </w:r>
      <w:r>
        <w:rPr>
          <w:rFonts w:ascii="Times New Roman" w:hAnsi="Times New Roman"/>
        </w:rPr>
        <w:t>，</w:t>
      </w:r>
      <w:r>
        <w:rPr>
          <w:rFonts w:hint="eastAsia" w:ascii="Times New Roman" w:hAnsi="Times New Roman"/>
        </w:rPr>
        <w:t>以促进物流业降本增效为导向，建立考核机制，优化调整鼓励和优惠政策，支持符合政策方向的企业发展，加大对物流管理能力较强、网络化运行的生产制造、商贸流通、物流服务等企业招商引资力度。利用大数据营造全新政策环境，提高政府部门数据统计、分析、监管、评价和决策能力，及时准确把握行业动态、企业经营状态，建立基于大数据的物流公共服务模式。加大对国家物流枢纽建设的土地使用、财税支持力度，鼓励区县参与国家物流枢纽和配套设施建设，优化全市域物流与产业布局。加快内陆国际物流枢纽和口岸高地建设，深入推进通关便利化、跨境运输便利化，用好自贸区投资与贸易便利化政策。优化口岸资源配置，健全口岸发展机制，完善口岸服务能力，扩大口岸辐射功能，引导枢纽</w:t>
      </w:r>
      <w:r>
        <w:rPr>
          <w:rFonts w:ascii="Times New Roman" w:hAnsi="Times New Roman"/>
        </w:rPr>
        <w:t>、</w:t>
      </w:r>
      <w:r>
        <w:rPr>
          <w:rFonts w:hint="eastAsia" w:ascii="Times New Roman" w:hAnsi="Times New Roman"/>
        </w:rPr>
        <w:t>口岸与产业互动发展。</w:t>
      </w:r>
    </w:p>
    <w:p>
      <w:pPr>
        <w:ind w:firstLine="632" w:firstLineChars="200"/>
        <w:outlineLvl w:val="1"/>
        <w:rPr>
          <w:rFonts w:hint="eastAsia" w:ascii="Times New Roman" w:hAnsi="Times New Roman" w:eastAsia="方正楷体_GBK"/>
        </w:rPr>
      </w:pPr>
      <w:bookmarkStart w:id="220" w:name="_Toc18776"/>
      <w:bookmarkStart w:id="221" w:name="_Toc31134"/>
      <w:bookmarkStart w:id="222" w:name="_Toc2327"/>
      <w:bookmarkStart w:id="223" w:name="_Toc61863777"/>
      <w:bookmarkStart w:id="224" w:name="_Toc10372"/>
      <w:r>
        <w:rPr>
          <w:rFonts w:hint="eastAsia" w:ascii="Times New Roman" w:hAnsi="Times New Roman" w:eastAsia="方正楷体_GBK"/>
        </w:rPr>
        <w:t>（三）加快完善重点领域物流业政策</w:t>
      </w:r>
      <w:bookmarkEnd w:id="220"/>
      <w:bookmarkEnd w:id="221"/>
      <w:bookmarkEnd w:id="222"/>
      <w:bookmarkEnd w:id="223"/>
      <w:bookmarkEnd w:id="224"/>
    </w:p>
    <w:p>
      <w:pPr>
        <w:ind w:firstLine="632" w:firstLineChars="200"/>
        <w:rPr>
          <w:rFonts w:hint="eastAsia" w:ascii="Times New Roman" w:hAnsi="Times New Roman"/>
        </w:rPr>
      </w:pPr>
      <w:r>
        <w:rPr>
          <w:rFonts w:hint="eastAsia" w:ascii="Times New Roman" w:hAnsi="Times New Roman"/>
        </w:rPr>
        <w:t>以建设现代化国际供应链智慧中枢为引领</w:t>
      </w:r>
      <w:r>
        <w:rPr>
          <w:rFonts w:ascii="Times New Roman" w:hAnsi="Times New Roman"/>
        </w:rPr>
        <w:t>，</w:t>
      </w:r>
      <w:r>
        <w:rPr>
          <w:rFonts w:hint="eastAsia" w:ascii="Times New Roman" w:hAnsi="Times New Roman"/>
        </w:rPr>
        <w:t>强化供应链物流保障能力建设，鼓励发展物流服务新模式新业态，在用地、税收等方面加强政策支持。加快物流设施装备升级迭代，引导物流新技术推广应用，提高物流运行效率和服务专业化水平。启动物流专业人才培养与引进工程，鼓励重庆高等院校设置物流专业，培育相关人才，鼓励企业联合高校定向培养物流人才，对企业引入物流高技术职称、高学历物流管理人才和技术人才，给予一定奖励，在人才落户、子女入学等方面提供便利。充分发挥行业协会作用，加强对行业发展情况的收集和研究分析，完善相关统计工作，提高政策宣传和咨询服务能力。支持绿色物流发展，在市政府口岸物流办设立绿色物流发展专班，负责统筹协调与绿色物流相关的各项工作，加强与环保等部门对接，合理制定物流节能目标和绿色物流考核方案，通过信贷、价格、补贴等方式支持企业发展绿色物流。完善应急物流管理体制机制，市政府口岸物流办牵头建立应急物流管理协调机制，制定预案并组织实施，加强与市政府应急管理部门之间的沟通协调。</w:t>
      </w:r>
    </w:p>
    <w:p>
      <w:pPr>
        <w:ind w:firstLine="632" w:firstLineChars="200"/>
        <w:outlineLvl w:val="1"/>
        <w:rPr>
          <w:rFonts w:hint="eastAsia" w:ascii="Times New Roman" w:hAnsi="Times New Roman" w:eastAsia="方正楷体_GBK"/>
        </w:rPr>
      </w:pPr>
      <w:bookmarkStart w:id="225" w:name="_Toc21364"/>
      <w:bookmarkStart w:id="226" w:name="_Toc13224"/>
      <w:bookmarkStart w:id="227" w:name="_Toc14362"/>
      <w:bookmarkStart w:id="228" w:name="_Toc61863778"/>
      <w:bookmarkStart w:id="229" w:name="_Toc16497"/>
      <w:r>
        <w:rPr>
          <w:rFonts w:hint="eastAsia" w:ascii="Times New Roman" w:hAnsi="Times New Roman" w:eastAsia="方正楷体_GBK"/>
        </w:rPr>
        <w:t>（四）创新物流资源要素聚集与整合</w:t>
      </w:r>
      <w:bookmarkEnd w:id="225"/>
      <w:bookmarkEnd w:id="226"/>
      <w:bookmarkEnd w:id="227"/>
      <w:bookmarkEnd w:id="228"/>
      <w:bookmarkEnd w:id="229"/>
    </w:p>
    <w:p>
      <w:pPr>
        <w:ind w:firstLine="632" w:firstLineChars="200"/>
        <w:rPr>
          <w:rFonts w:hint="eastAsia" w:ascii="Times New Roman" w:hAnsi="Times New Roman"/>
        </w:rPr>
      </w:pPr>
      <w:r>
        <w:rPr>
          <w:rFonts w:hint="eastAsia" w:ascii="Times New Roman" w:hAnsi="Times New Roman"/>
        </w:rPr>
        <w:t>按照打造国际物流要素组织创新中心的要求，建立具有战略价值的物流资源要素甄别标准，创新要素聚集政策。推动成渝地区双城经济圈物流信息互联互通，实现物流信息平台跨区域对接，共同聚集通道化、规模化物流服务和辐射资源。充分发挥国家物流枢纽资源整合作用，支持长江经济带、中欧班列（成渝）、西部陆海新通道等重要对外通道物流服务集聚和组织功能提升，加强与周边、沿线产业布局互动发展，提高枢纽经济、通道经济发展质量。加快港口物流资源分类整合，依托港口型、陆港型和生产服务型国家物流枢纽培育统一运营主体，引导其他港口纳入国家物流枢纽运行体系。在全市产业规划、产业空间布局和重大产业项目引进过程中，由市级口岸物流行业主管部门进行方案的研究，特别是对物流需求量较大、物流成本较为敏感的产业领域，制定物流整体解决方案和进行成本核算。</w:t>
      </w:r>
    </w:p>
    <w:p>
      <w:pPr>
        <w:ind w:firstLine="632" w:firstLineChars="200"/>
        <w:outlineLvl w:val="1"/>
        <w:rPr>
          <w:rFonts w:ascii="Times New Roman" w:hAnsi="Times New Roman" w:eastAsia="方正楷体_GBK"/>
        </w:rPr>
      </w:pPr>
      <w:bookmarkStart w:id="230" w:name="_Toc16166"/>
      <w:bookmarkStart w:id="231" w:name="_Toc24890"/>
      <w:bookmarkStart w:id="232" w:name="_Toc61863779"/>
      <w:bookmarkStart w:id="233" w:name="_Toc25759"/>
      <w:r>
        <w:rPr>
          <w:rFonts w:hint="eastAsia" w:ascii="Times New Roman" w:hAnsi="Times New Roman" w:eastAsia="方正楷体_GBK"/>
        </w:rPr>
        <w:t>（五）强化组织实施与落实主体责任</w:t>
      </w:r>
      <w:bookmarkEnd w:id="230"/>
      <w:bookmarkEnd w:id="231"/>
      <w:bookmarkEnd w:id="232"/>
      <w:bookmarkEnd w:id="233"/>
    </w:p>
    <w:p>
      <w:pPr>
        <w:ind w:firstLine="632" w:firstLineChars="200"/>
        <w:rPr>
          <w:rFonts w:ascii="Times New Roman" w:hAnsi="Times New Roman"/>
        </w:rPr>
      </w:pPr>
      <w:r>
        <w:rPr>
          <w:rFonts w:hint="eastAsia" w:ascii="Times New Roman" w:hAnsi="Times New Roman"/>
        </w:rPr>
        <w:t>市直各相关部门和区县根据本规划，明确时间表和路线图，细化发展目标与重点任务，层层压实主体责任，积极稳妥推进规划实施与项目落地。市政府口岸物流办会同有关部门协调推进规划方案的具体落实，建立物流发展质量评价指标体系和考核办法，强化对重点任务进展情况的督查和评估，建立对重大项目和工程的定期动态跟踪制度，由各级主管单位对规划目标完成情况进行定期监测分析总结并及时上报上级主管部门，建立健全奖励和追责制度，保证项目顺利推进与健康运行。各区县依据本规划，结合当地实际情况，抓紧编制具体实施方案，在鼓励差异化、集约化发展的同时，确保各地物流业发展目标和重点任务落实到位。各区县及相关部门定期在物流联席会议上汇报规划任务进展情况及问题、困难和需求，必要时提出规划调整建议，并在市领导主持协调下，由市政府口岸物流办汇总形成统一意见与解决方案。</w:t>
      </w:r>
    </w:p>
    <w:p>
      <w:pPr>
        <w:ind w:firstLine="632" w:firstLineChars="200"/>
        <w:outlineLvl w:val="1"/>
        <w:rPr>
          <w:rFonts w:ascii="Times New Roman" w:hAnsi="Times New Roman" w:eastAsia="方正楷体_GBK"/>
        </w:rPr>
      </w:pPr>
      <w:bookmarkStart w:id="234" w:name="_Toc29129"/>
      <w:bookmarkStart w:id="235" w:name="_Toc26509"/>
      <w:bookmarkStart w:id="236" w:name="_Toc31897"/>
      <w:bookmarkStart w:id="237" w:name="_Toc61863780"/>
      <w:r>
        <w:rPr>
          <w:rFonts w:hint="eastAsia" w:ascii="Times New Roman" w:hAnsi="Times New Roman" w:eastAsia="方正楷体_GBK"/>
        </w:rPr>
        <w:t>（六）确保实现重庆物流发展战略定位</w:t>
      </w:r>
      <w:bookmarkEnd w:id="234"/>
      <w:bookmarkEnd w:id="235"/>
      <w:bookmarkEnd w:id="236"/>
      <w:bookmarkEnd w:id="237"/>
    </w:p>
    <w:p>
      <w:pPr>
        <w:ind w:firstLine="632" w:firstLineChars="200"/>
        <w:jc w:val="left"/>
        <w:widowControl w:val="1"/>
        <w:rPr>
          <w:rFonts w:hint="eastAsia" w:ascii="Times New Roman" w:hAnsi="Times New Roman"/>
        </w:rPr>
      </w:pPr>
      <w:r>
        <w:rPr>
          <w:rFonts w:hint="eastAsia" w:ascii="Times New Roman" w:hAnsi="Times New Roman"/>
        </w:rPr>
        <w:t>立足新发展格局，明确重庆物流业发展战略方向，锚固内陆国际物流枢纽和口岸高地、国际物流要素组织创新中心、国家物流业高质量发展示范高地、现代化国际供应链智慧中枢四大战略定位。市政府口岸物流办牵头统筹协调与“战略定位”相关的组织保障与考核工作，市有关部门和各区县人民政府根据各自实际情况制定相关综合量化阶段性考核指标，明确职责分工，强化问责与奖励机制。各区县根据自身情况，抓紧开工一批、储备一批、谋划一批与“战略定位”相关的重大工程和重大项目，作为落实“战略定位”的载体。建立与“战略定位”相关的重大项目库和信息管理平台，建立动态调整机制，滚动式推进合作意向和合作项目落地。市政府口岸物流办及各区县物流主管部门应围绕“战略定位”的重大意义、重点领域和相关部署，精心组织策划，积极开展全方位、立体化、多频次的学习宣传，统一思想、凝聚共识、奋发作为。加强宣传舆论引导，充分调动各方力量和智慧，形成全市动员、全域参与、全力支持的重庆物流发展“战略定位”推进落实良好氛围。</w:t>
      </w:r>
    </w:p>
    <w:p>
      <w:pPr>
        <w:pStyle w:val="16"/>
        <w:rPr>
          <w:rFonts w:hint="eastAsia" w:ascii="Times New Roman" w:hAnsi="Times New Roman"/>
        </w:rPr>
      </w:pPr>
    </w:p>
    <w:sectPr>
      <w:docGrid w:charSpace="-849" w:linePitch="579" w:type="linesAndChars"/>
      <w:pgMar w:top="2098" w:right="1531" w:bottom="1985" w:left="1531" w:header="851" w:footer="1474" w:gutter="0"/>
      <w:pgSz w:h="16838" w:w="11906"/>
    </w:sectPr>
  </w:body>
</w:document>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w:p>
    <w:pPr>
      <w:ind w:firstLine="360" w:right="360"/>
      <w:jc w:val="right"/>
      <w:pStyle w:val="29"/>
      <w:tabs>
        <w:tab w:val="center" w:pos="4153" w:leader="none"/>
        <w:tab w:val="right" w:pos="8306" w:leader="none"/>
      </w:tabs>
      <w:rPr>
        <w:sz w:val="28"/>
      </w:rPr>
    </w:pPr>
    <w:r>
      <w:drawing>
        <wp:anchor distT="0" distB="0" distL="114300" distR="114300" simplePos="0" relativeHeight="524288" behindDoc="0" locked="0" layoutInCell="1" allowOverlap="1">
          <wp:simplePos x="0" y="0"/>
          <wp:positionH relativeFrom="margin">
            <wp:posOffset>0</wp:posOffset>
          </wp:positionH>
          <wp:positionV relativeFrom="paragraph">
            <wp:posOffset>0</wp:posOffset>
          </wp:positionV>
          <wp:extent cx="1828800" cy="1828800"/>
          <wp:wrapNone/>
          <wp:docPr id="2" name="文本框 3"/>
          <a:graphic xmlns:a="http://schemas.openxmlformats.org/drawingml/2006/main">
            <a:graphicData uri="http://schemas.microsoft.com/office/word/2010/wordprocessingShape">
              <wps:wsp>
                <wps:cNvPr id="1" name="文本框 3"/>
                <wps:cNvSpPr txBox="1"/>
                <wps:spPr bwMode="auto">
                  <a:xfrm>
                    <a:off x="0" y="0"/>
                    <a:ext cx="1828800" cy="1828800"/>
                  </a:xfrm>
                  <a:custGeom>
                    <a:rect l="0" t="0" r="r" b="b"/>
                    <a:pathLst>
                      <a:path w="21600" h="21600" stroke="1" extrusionOk="1">
                        <a:moveTo>
                          <a:pt x="0" y="0"/>
                        </a:moveTo>
                        <a:lnTo>
                          <a:pt x="0" y="21600"/>
                        </a:lnTo>
                        <a:lnTo>
                          <a:pt x="21600" y="21600"/>
                        </a:lnTo>
                        <a:lnTo>
                          <a:pt x="21600" y="0"/>
                        </a:lnTo>
                        <a:close/>
                      </a:path>
                    </a:pathLst>
                  </a:custGeom>
                </wps:spPr>
                <wps:txbx>
                  <w:txbxContent>
                    <w:p>
                      <w:pPr>
                        <w:ind w:firstLine="360" w:right="360"/>
                        <w:jc w:val="right"/>
                        <w:pStyle w:val="29"/>
                        <w:tabs>
                          <w:tab w:val="center" w:pos="4153" w:leader="none"/>
                          <w:tab w:val="right" w:pos="8306" w:leader="none"/>
                        </w:tabs>
                      </w:pPr>
                      <w:r>
                        <w:rPr>
                          <w:rFonts w:hint="eastAsia"/>
                          <w:rStyle w:val="39"/>
                          <w:sz w:val="28"/>
                        </w:rPr>
                        <w:t>―</w:t>
                      </w:r>
                      <w:r>
                        <w:rPr>
                          <w:kern w:val="0"/>
                          <w:sz w:val="28"/>
                        </w:rPr>
                        <w:t xml:space="preserve"> </w:t>
                      </w:r>
                      <w:r>
                        <w:rPr>
                          <w:kern w:val="0"/>
                          <w:sz w:val="28"/>
                        </w:rPr>
                        <w:fldChar w:fldCharType="begin"/>
                      </w:r>
                      <w:r>
                        <w:rPr>
                          <w:kern w:val="0"/>
                          <w:sz w:val="28"/>
                        </w:rPr>
                        <w:instrText>PAGE</w:instrText>
                      </w:r>
                      <w:r>
                        <w:rPr>
                          <w:kern w:val="0"/>
                          <w:sz w:val="28"/>
                        </w:rPr>
                        <w:fldChar w:fldCharType="separate"/>
                      </w:r>
                      <w:r>
                        <w:rPr>
                          <w:kern w:val="0"/>
                          <w:sz w:val="28"/>
                        </w:rPr>
                        <w:t>69</w:t>
                      </w:r>
                      <w:r>
                        <w:rPr>
                          <w:kern w:val="0"/>
                          <w:sz w:val="28"/>
                        </w:rPr>
                        <w:fldChar w:fldCharType="end"/>
                      </w:r>
                      <w:r>
                        <w:rPr>
                          <w:kern w:val="0"/>
                          <w:sz w:val="28"/>
                        </w:rPr>
                        <w:t xml:space="preserve"> </w:t>
                      </w:r>
                      <w:r>
                        <w:rPr>
                          <w:rFonts w:hint="eastAsia"/>
                          <w:rStyle w:val="39"/>
                          <w:sz w:val="28"/>
                        </w:rPr>
                        <w:t>―</w:t>
                      </w:r>
                    </w:p>
                  </w:txbxContent>
                </wps:txbx>
                <wps:bodyPr vert="horz" wrap="none" anchor="t"/>
              </wps:wsp>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w:p>
    <w:pPr>
      <w:ind w:firstLine="360" w:right="360"/>
      <w:pStyle w:val="29"/>
      <w:tabs>
        <w:tab w:val="center" w:pos="4153" w:leader="none"/>
        <w:tab w:val="right" w:pos="8306" w:leader="none"/>
      </w:tabs>
      <w:rPr>
        <w:sz w:val="28"/>
      </w:rPr>
    </w:pPr>
    <w:r>
      <w:drawing>
        <wp:anchor distT="0" distB="0" distL="114300" distR="114300" simplePos="0" relativeHeight="524289" behindDoc="0" locked="0" layoutInCell="1" allowOverlap="1">
          <wp:simplePos x="0" y="0"/>
          <wp:positionH relativeFrom="margin">
            <wp:posOffset>0</wp:posOffset>
          </wp:positionH>
          <wp:positionV relativeFrom="paragraph">
            <wp:posOffset>0</wp:posOffset>
          </wp:positionV>
          <wp:extent cx="1828800" cy="1828800"/>
          <wp:wrapNone/>
          <wp:docPr id="4" name="文本框 4"/>
          <a:graphic xmlns:a="http://schemas.openxmlformats.org/drawingml/2006/main">
            <a:graphicData uri="http://schemas.microsoft.com/office/word/2010/wordprocessingShape">
              <wps:wsp>
                <wps:cNvPr id="3" name="文本框 4"/>
                <wps:cNvSpPr txBox="1"/>
                <wps:spPr bwMode="auto">
                  <a:xfrm>
                    <a:off x="0" y="0"/>
                    <a:ext cx="1828800" cy="1828800"/>
                  </a:xfrm>
                  <a:custGeom>
                    <a:rect l="0" t="0" r="r" b="b"/>
                    <a:pathLst>
                      <a:path w="21600" h="21600" stroke="1" extrusionOk="1">
                        <a:moveTo>
                          <a:pt x="0" y="0"/>
                        </a:moveTo>
                        <a:lnTo>
                          <a:pt x="0" y="21600"/>
                        </a:lnTo>
                        <a:lnTo>
                          <a:pt x="21600" y="21600"/>
                        </a:lnTo>
                        <a:lnTo>
                          <a:pt x="21600" y="0"/>
                        </a:lnTo>
                        <a:close/>
                      </a:path>
                    </a:pathLst>
                  </a:custGeom>
                </wps:spPr>
                <wps:txbx>
                  <w:txbxContent>
                    <w:p>
                      <w:pPr>
                        <w:ind w:firstLine="360" w:right="360"/>
                        <w:pStyle w:val="29"/>
                        <w:tabs>
                          <w:tab w:val="center" w:pos="4153" w:leader="none"/>
                          <w:tab w:val="right" w:pos="8306" w:leader="none"/>
                        </w:tabs>
                      </w:pPr>
                      <w:r>
                        <w:rPr>
                          <w:rFonts w:hint="eastAsia"/>
                          <w:rStyle w:val="39"/>
                          <w:sz w:val="28"/>
                        </w:rPr>
                        <w:t>―</w:t>
                      </w:r>
                      <w:r>
                        <w:rPr>
                          <w:kern w:val="0"/>
                          <w:sz w:val="28"/>
                        </w:rPr>
                        <w:t xml:space="preserve"> </w:t>
                      </w:r>
                      <w:r>
                        <w:rPr>
                          <w:kern w:val="0"/>
                          <w:sz w:val="28"/>
                        </w:rPr>
                        <w:fldChar w:fldCharType="begin"/>
                      </w:r>
                      <w:r>
                        <w:rPr>
                          <w:kern w:val="0"/>
                          <w:sz w:val="28"/>
                        </w:rPr>
                        <w:instrText>PAGE</w:instrText>
                      </w:r>
                      <w:r>
                        <w:rPr>
                          <w:kern w:val="0"/>
                          <w:sz w:val="28"/>
                        </w:rPr>
                        <w:fldChar w:fldCharType="separate"/>
                      </w:r>
                      <w:r>
                        <w:rPr>
                          <w:kern w:val="0"/>
                          <w:sz w:val="28"/>
                        </w:rPr>
                        <w:t>70</w:t>
                      </w:r>
                      <w:r>
                        <w:rPr>
                          <w:kern w:val="0"/>
                          <w:sz w:val="28"/>
                        </w:rPr>
                        <w:fldChar w:fldCharType="end"/>
                      </w:r>
                      <w:r>
                        <w:rPr>
                          <w:kern w:val="0"/>
                          <w:sz w:val="28"/>
                        </w:rPr>
                        <w:t xml:space="preserve"> </w:t>
                      </w:r>
                      <w:r>
                        <w:rPr>
                          <w:rFonts w:hint="eastAsia"/>
                          <w:rStyle w:val="39"/>
                          <w:sz w:val="28"/>
                        </w:rPr>
                        <w:t>―</w:t>
                      </w:r>
                    </w:p>
                  </w:txbxContent>
                </wps:txbx>
                <wps:bodyPr vert="horz" wrap="none" anchor="t"/>
              </wps:wsp>
            </a:graphicData>
          </a:graphic>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file>

<file path=word/settings.xml><?xml version="1.0" encoding="utf-8"?>
<w:settings xmlns:w="http://schemas.openxmlformats.org/wordprocessingml/2006/main" xmlns:m="http://schemas.openxmlformats.org/officeDocument/2006/math" xmlns:v="urn:schemas-microsoft-com:vml">
  <w:defaultTabStop w:val="425"/>
  <w:evenAndOddHeaders w:val="1"/>
  <w:drawingGridHorizontalSpacing w:val="315"/>
  <w:drawingGridVerticalSpacing w:val="579"/>
  <w:displayHorizontalDrawingGridEvery w:val="1"/>
  <w:displayVerticalDrawingGridEvery w:val="1"/>
  <w:noPunctuationKerning w:val="1"/>
  <w:characterSpacingControl w:val="compressPunctuation"/>
  <w:compat>
    <w:spaceForUL w:val="1"/>
    <w:balanceSingleByteDoubleByteWidth w:val="1"/>
    <w:doNotLeaveBackslashAlone w:val="1"/>
    <w:doNotExpandShiftReturn w:val="1"/>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themeFontLang w:val="en-CN" w:eastAsia="zh-CN" w:bidi="ar-S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docDefaults>
    <w:rPrDefault>
      <w:rPr>
        <w:lang w:val="en-US" w:eastAsia="zh-CN" w:bidi="ar-SA"/>
        <w:rFonts w:ascii="Calibri" w:hAnsi="Calibri" w:eastAsia="宋体" w:cs="Times New Roman"/>
      </w:rPr>
    </w:rPrDefault>
    <w:pPrDefault/>
  </w:docDefaults>
  <w:style w:type="paragraph" w:styleId="1" w:default="1">
    <w:name w:val="正文"/>
    <w:next w:val="16"/>
    <w:link w:val="1"/>
    <w:uiPriority w:val="0"/>
    <w:qFormat w:val="1"/>
    <w:pPr>
      <w:jc w:val="both"/>
      <w:widowControl w:val="0"/>
    </w:pPr>
    <w:rPr>
      <w:kern w:val="2"/>
      <w:rFonts w:eastAsia="方正仿宋_GBK"/>
      <w:sz w:val="32"/>
    </w:rPr>
    <w:tblPr>
      <w:tblLayout w:type="fixed"/>
    </w:tblPr>
  </w:style>
  <w:style w:type="paragraph" w:styleId="2">
    <w:name w:val="标题 1"/>
    <w:basedOn w:val="1"/>
    <w:next w:val="1"/>
    <w:link w:val="1"/>
    <w:uiPriority w:val="0"/>
    <w:qFormat w:val="1"/>
    <w:pPr>
      <w:outlineLvl w:val="0"/>
      <w:spacing w:afterAutospacing="0" w:beforeAutospacing="0" w:line="600" w:lineRule="exact"/>
    </w:pPr>
    <w:rPr>
      <w:kern w:val="44"/>
      <w:rFonts w:ascii="Calibri" w:hAnsi="Calibri" w:eastAsia="方正黑体_GBK"/>
      <w:sz w:val="32"/>
      <w:szCs w:val="32"/>
    </w:rPr>
    <w:tblPr>
      <w:tblLayout w:type="fixed"/>
    </w:tblPr>
  </w:style>
  <w:style w:type="paragraph" w:styleId="3">
    <w:name w:val="标题 2"/>
    <w:basedOn w:val="1"/>
    <w:next w:val="1"/>
    <w:link w:val="17"/>
    <w:uiPriority w:val="0"/>
    <w:qFormat w:val="1"/>
    <w:pPr>
      <w:keepLines w:val="1"/>
      <w:keepNext w:val="1"/>
      <w:outlineLvl w:val="1"/>
      <w:snapToGrid w:val="0"/>
      <w:spacing w:afterAutospacing="0" w:beforeAutospacing="0" w:line="360" w:lineRule="auto"/>
    </w:pPr>
    <w:rPr>
      <w:kern w:val="0"/>
      <w:rFonts w:ascii="宋体" w:hAnsi="宋体" w:eastAsia="方正小标宋_GBK"/>
      <w:sz w:val="20"/>
    </w:rPr>
    <w:tblPr>
      <w:tblLayout w:type="fixed"/>
    </w:tblPr>
  </w:style>
  <w:style w:type="paragraph" w:styleId="4">
    <w:name w:val="标题 3"/>
    <w:basedOn w:val="1"/>
    <w:next w:val="1"/>
    <w:link w:val="18"/>
    <w:uiPriority w:val="0"/>
    <w:qFormat w:val="1"/>
    <w:pPr>
      <w:keepLines w:val="1"/>
      <w:keepNext w:val="1"/>
      <w:outlineLvl w:val="2"/>
      <w:spacing w:afterAutospacing="0" w:beforeAutospacing="0" w:line="600" w:lineRule="exact"/>
    </w:pPr>
    <w:rPr>
      <w:kern w:val="0"/>
      <w:rFonts w:ascii="Calibri" w:hAnsi="Calibri"/>
      <w:szCs w:val="22"/>
    </w:rPr>
    <w:tblPr>
      <w:tblLayout w:type="fixed"/>
    </w:tblPr>
  </w:style>
  <w:style w:type="paragraph" w:styleId="5">
    <w:name w:val="标题 4"/>
    <w:basedOn w:val="1"/>
    <w:next w:val="1"/>
    <w:link w:val="1"/>
    <w:uiPriority w:val="0"/>
    <w:qFormat w:val="1"/>
    <w:pPr>
      <w:keepLines w:val="1"/>
      <w:keepNext w:val="1"/>
      <w:outlineLvl w:val="3"/>
      <w:spacing w:afterAutospacing="0" w:beforeAutospacing="0" w:line="600" w:lineRule="exact"/>
    </w:pPr>
    <w:rPr>
      <w:rFonts w:ascii="Arial" w:hAnsi="Arial" w:eastAsia="方正楷体_GBK"/>
      <w:sz w:val="32"/>
    </w:rPr>
    <w:tblPr>
      <w:tblLayout w:type="fixed"/>
    </w:tblPr>
  </w:style>
  <w:style w:type="character" w:styleId="11" w:default="1">
    <w:name w:val="默认段落字体"/>
    <w:next w:val="11"/>
    <w:link w:val="1"/>
    <w:uiPriority w:val="0"/>
    <w:semiHidden w:val="1"/>
    <w:tblPr>
      <w:tblLayout w:type="fixed"/>
    </w:tblPr>
  </w:style>
  <w:style w:type="table" w:styleId="12" w:default="1">
    <w:name w:val="普通表格"/>
    <w:next w:val="12"/>
    <w:link w:val="1"/>
    <w:uiPriority w:val="0"/>
    <w:semiHidden w:val="1"/>
    <w:tblPr>
      <w:tblStyle w:val="12"/>
      <w:tblLayout w:type="fixed"/>
      <w:tblCellMar>
        <w:top w:w="0" w:type="dxa"/>
        <w:left w:w="108" w:type="dxa"/>
        <w:bottom w:w="0" w:type="dxa"/>
        <w:right w:w="108" w:type="dxa"/>
      </w:tblCellMar>
    </w:tblPr>
  </w:style>
  <w:style w:type="paragraph" w:styleId="16">
    <w:name w:val="Default"/>
    <w:next w:val="16"/>
    <w:link w:val="1"/>
    <w:uiPriority w:val="0"/>
    <w:qFormat w:val="1"/>
    <w:rPr>
      <w:color w:val="000000"/>
      <w:rFonts w:ascii="Arial" w:hAnsi="Arial"/>
      <w:sz w:val="24"/>
      <w:szCs w:val="24"/>
    </w:rPr>
    <w:tblPr>
      <w:tblLayout w:type="fixed"/>
    </w:tblPr>
  </w:style>
  <w:style w:type="character" w:styleId="17">
    <w:name w:val="标题 2 字符"/>
    <w:next w:val="17"/>
    <w:link w:val="3"/>
    <w:uiPriority w:val="0"/>
    <w:qFormat w:val="1"/>
    <w:rPr>
      <w:rFonts w:ascii="宋体" w:hAnsi="宋体"/>
    </w:rPr>
    <w:tblPr>
      <w:tblLayout w:type="fixed"/>
    </w:tblPr>
  </w:style>
  <w:style w:type="character" w:styleId="18">
    <w:name w:val="标题 3 字符"/>
    <w:next w:val="18"/>
    <w:link w:val="4"/>
    <w:uiPriority w:val="0"/>
    <w:qFormat w:val="1"/>
    <w:rPr>
      <w:rFonts w:ascii="Calibri" w:hAnsi="Calibri" w:eastAsia="方正仿宋_GBK"/>
      <w:sz w:val="32"/>
      <w:szCs w:val="22"/>
    </w:rPr>
    <w:tblPr>
      <w:tblLayout w:type="fixed"/>
    </w:tblPr>
  </w:style>
  <w:style w:type="paragraph" w:styleId="19">
    <w:name w:val="正文缩进"/>
    <w:basedOn w:val="1"/>
    <w:next w:val="19"/>
    <w:link w:val="1"/>
    <w:uiPriority w:val="0"/>
    <w:pPr>
      <w:ind w:firstLine="420"/>
    </w:pPr>
    <w:rPr>
      <w:rFonts w:ascii="Times New Roman" w:hAnsi="Times New Roman" w:eastAsia="宋体"/>
      <w:szCs w:val="20"/>
    </w:rPr>
    <w:tblPr>
      <w:tblLayout w:type="fixed"/>
    </w:tblPr>
  </w:style>
  <w:style w:type="paragraph" w:styleId="20">
    <w:name w:val="文档结构图"/>
    <w:basedOn w:val="1"/>
    <w:next w:val="20"/>
    <w:link w:val="21"/>
    <w:uiPriority w:val="0"/>
    <w:rPr>
      <w:rFonts w:ascii="宋体" w:eastAsia="方正小标宋_GBK"/>
      <w:sz w:val="18"/>
      <w:szCs w:val="18"/>
    </w:rPr>
    <w:tblPr>
      <w:tblLayout w:type="fixed"/>
    </w:tblPr>
  </w:style>
  <w:style w:type="character" w:styleId="21">
    <w:name w:val="文档结构图 字符"/>
    <w:next w:val="21"/>
    <w:link w:val="20"/>
    <w:uiPriority w:val="0"/>
    <w:rPr>
      <w:kern w:val="2"/>
      <w:rFonts w:ascii="宋体"/>
      <w:sz w:val="18"/>
      <w:szCs w:val="18"/>
    </w:rPr>
    <w:tblPr>
      <w:tblLayout w:type="fixed"/>
    </w:tblPr>
  </w:style>
  <w:style w:type="paragraph" w:styleId="22">
    <w:name w:val="批注文字"/>
    <w:basedOn w:val="1"/>
    <w:next w:val="22"/>
    <w:link w:val="23"/>
    <w:uiPriority w:val="0"/>
    <w:pPr>
      <w:jc w:val="left"/>
    </w:pPr>
    <w:tblPr>
      <w:tblLayout w:type="fixed"/>
    </w:tblPr>
  </w:style>
  <w:style w:type="character" w:styleId="23">
    <w:name w:val="批注文字 字符"/>
    <w:next w:val="23"/>
    <w:link w:val="22"/>
    <w:uiPriority w:val="0"/>
    <w:rPr>
      <w:kern w:val="2"/>
      <w:rFonts w:eastAsia="方正仿宋_GBK"/>
      <w:sz w:val="32"/>
    </w:rPr>
    <w:tblPr>
      <w:tblLayout w:type="fixed"/>
    </w:tblPr>
  </w:style>
  <w:style w:type="paragraph" w:styleId="24">
    <w:name w:val="正文文本"/>
    <w:basedOn w:val="1"/>
    <w:next w:val="24"/>
    <w:link w:val="1"/>
    <w:uiPriority w:val="0"/>
    <w:pPr>
      <w:spacing w:after="120" w:afterAutospacing="0" w:beforeAutospacing="0"/>
    </w:pPr>
    <w:tblPr>
      <w:tblLayout w:type="fixed"/>
    </w:tblPr>
  </w:style>
  <w:style w:type="paragraph" w:styleId="25">
    <w:name w:val="正文文本缩进"/>
    <w:basedOn w:val="1"/>
    <w:next w:val="25"/>
    <w:link w:val="1"/>
    <w:uiPriority w:val="0"/>
    <w:pPr>
      <w:ind w:firstLine="720" w:firstLineChars="200"/>
      <w:spacing w:afterAutospacing="0" w:beforeAutospacing="0" w:line="480" w:lineRule="auto"/>
    </w:pPr>
    <w:rPr>
      <w:rFonts w:ascii="楷体_GB2312" w:hAnsi="宋体" w:eastAsia="楷体_GB2312"/>
      <w:sz w:val="36"/>
    </w:rPr>
    <w:tblPr>
      <w:tblLayout w:type="fixed"/>
    </w:tblPr>
  </w:style>
  <w:style w:type="paragraph" w:styleId="26">
    <w:name w:val="纯文本"/>
    <w:basedOn w:val="1"/>
    <w:next w:val="26"/>
    <w:link w:val="1"/>
    <w:uiPriority w:val="0"/>
    <w:rPr>
      <w:rFonts w:ascii="宋体" w:hAnsi="Courier New" w:eastAsia="宋体"/>
      <w:szCs w:val="21"/>
    </w:rPr>
    <w:tblPr>
      <w:tblLayout w:type="fixed"/>
    </w:tblPr>
  </w:style>
  <w:style w:type="paragraph" w:styleId="27">
    <w:name w:val="批注框文本"/>
    <w:basedOn w:val="1"/>
    <w:next w:val="27"/>
    <w:link w:val="28"/>
    <w:uiPriority w:val="0"/>
    <w:rPr>
      <w:sz w:val="18"/>
      <w:szCs w:val="18"/>
    </w:rPr>
    <w:tblPr>
      <w:tblLayout w:type="fixed"/>
    </w:tblPr>
  </w:style>
  <w:style w:type="character" w:styleId="28">
    <w:name w:val="批注框文本 字符"/>
    <w:next w:val="28"/>
    <w:link w:val="27"/>
    <w:uiPriority w:val="0"/>
    <w:rPr>
      <w:kern w:val="2"/>
      <w:rFonts w:eastAsia="方正仿宋_GBK"/>
      <w:sz w:val="18"/>
      <w:szCs w:val="18"/>
    </w:rPr>
    <w:tblPr>
      <w:tblLayout w:type="fixed"/>
    </w:tblPr>
  </w:style>
  <w:style w:type="paragraph" w:styleId="29">
    <w:name w:val="页脚"/>
    <w:basedOn w:val="1"/>
    <w:next w:val="29"/>
    <w:link w:val="1"/>
    <w:uiPriority w:val="0"/>
    <w:pPr>
      <w:jc w:val="left"/>
      <w:snapToGrid w:val="0"/>
      <w:tabs>
        <w:tab w:val="center" w:pos="4153" w:leader="none"/>
        <w:tab w:val="right" w:pos="8306" w:leader="none"/>
      </w:tabs>
    </w:pPr>
    <w:rPr>
      <w:sz w:val="18"/>
    </w:rPr>
    <w:tblPr>
      <w:tblLayout w:type="fixed"/>
    </w:tblPr>
  </w:style>
  <w:style w:type="paragraph" w:styleId="30">
    <w:name w:val="页眉"/>
    <w:basedOn w:val="1"/>
    <w:next w:val="30"/>
    <w:link w:val="1"/>
    <w:uiPriority w:val="0"/>
    <w:pPr>
      <w:jc w:val="center"/>
      <w:pBdr>
        <w:bottom w:val="single" w:color="auto" w:sz="6" w:space="1"/>
      </w:pBdr>
      <w:snapToGrid w:val="0"/>
      <w:tabs>
        <w:tab w:val="center" w:pos="4153" w:leader="none"/>
        <w:tab w:val="right" w:pos="8306" w:leader="none"/>
      </w:tabs>
    </w:pPr>
    <w:rPr>
      <w:sz w:val="18"/>
    </w:rPr>
    <w:tblPr>
      <w:tblLayout w:type="fixed"/>
    </w:tblPr>
  </w:style>
  <w:style w:type="paragraph" w:styleId="31">
    <w:name w:val="目录 1"/>
    <w:basedOn w:val="1"/>
    <w:next w:val="1"/>
    <w:link w:val="1"/>
    <w:uiPriority w:val="39"/>
    <w:tblPr>
      <w:tblLayout w:type="fixed"/>
    </w:tblPr>
  </w:style>
  <w:style w:type="paragraph" w:styleId="32">
    <w:name w:val="目录 2"/>
    <w:basedOn w:val="1"/>
    <w:next w:val="1"/>
    <w:link w:val="1"/>
    <w:uiPriority w:val="39"/>
    <w:pPr>
      <w:ind w:left="420" w:leftChars="200"/>
    </w:pPr>
    <w:tblPr>
      <w:tblLayout w:type="fixed"/>
    </w:tblPr>
  </w:style>
  <w:style w:type="paragraph" w:styleId="33">
    <w:name w:val="普通(网站)"/>
    <w:basedOn w:val="1"/>
    <w:next w:val="33"/>
    <w:link w:val="1"/>
    <w:uiPriority w:val="0"/>
    <w:pPr>
      <w:jc w:val="left"/>
      <w:spacing w:after="100" w:afterAutospacing="1" w:before="100" w:beforeAutospacing="1"/>
      <w:widowControl w:val="1"/>
    </w:pPr>
    <w:rPr>
      <w:kern w:val="0"/>
      <w:rFonts w:ascii="宋体" w:hAnsi="宋体"/>
      <w:sz w:val="24"/>
    </w:rPr>
    <w:tblPr>
      <w:tblLayout w:type="fixed"/>
    </w:tblPr>
  </w:style>
  <w:style w:type="paragraph" w:styleId="34">
    <w:name w:val="标题"/>
    <w:basedOn w:val="1"/>
    <w:next w:val="1"/>
    <w:link w:val="1"/>
    <w:uiPriority w:val="0"/>
    <w:qFormat w:val="1"/>
    <w:pPr>
      <w:jc w:val="center"/>
      <w:outlineLvl w:val="0"/>
      <w:spacing w:after="60" w:afterAutospacing="0" w:before="240" w:beforeAutospacing="0"/>
    </w:pPr>
    <w:rPr>
      <w:b w:val="1"/>
      <w:rFonts w:ascii="Arial" w:hAnsi="Arial"/>
      <w:sz w:val="32"/>
    </w:rPr>
    <w:tblPr>
      <w:tblLayout w:type="fixed"/>
    </w:tblPr>
  </w:style>
  <w:style w:type="paragraph" w:styleId="35">
    <w:name w:val="批注主题"/>
    <w:basedOn w:val="22"/>
    <w:next w:val="22"/>
    <w:link w:val="36"/>
    <w:uiPriority w:val="0"/>
    <w:rPr>
      <w:b w:val="1"/>
    </w:rPr>
    <w:tblPr>
      <w:tblLayout w:type="fixed"/>
    </w:tblPr>
  </w:style>
  <w:style w:type="character" w:styleId="36">
    <w:name w:val="批注主题 字符"/>
    <w:next w:val="36"/>
    <w:link w:val="35"/>
    <w:uiPriority w:val="0"/>
    <w:rPr>
      <w:b w:val="1"/>
      <w:kern w:val="2"/>
      <w:rFonts w:eastAsia="方正仿宋_GBK"/>
      <w:sz w:val="32"/>
    </w:rPr>
    <w:tblPr>
      <w:tblLayout w:type="fixed"/>
    </w:tblPr>
  </w:style>
  <w:style w:type="table" w:styleId="37">
    <w:name w:val="网格型"/>
    <w:basedOn w:val="12"/>
    <w:next w:val="37"/>
    <w:link w:val="1"/>
    <w:uiPriority w:val="0"/>
    <w:tblPr>
      <w:tblStyle w:val="3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38">
    <w:name w:val="要点"/>
    <w:next w:val="38"/>
    <w:link w:val="1"/>
    <w:uiPriority w:val="0"/>
    <w:qFormat w:val="1"/>
    <w:rPr>
      <w:b w:val="1"/>
    </w:rPr>
    <w:tblPr>
      <w:tblLayout w:type="fixed"/>
    </w:tblPr>
  </w:style>
  <w:style w:type="character" w:styleId="39">
    <w:name w:val="页码"/>
    <w:basedOn w:val="11"/>
    <w:next w:val="39"/>
    <w:link w:val="1"/>
    <w:uiPriority w:val="0"/>
    <w:rPr>
      <w:rStyle w:val="11"/>
    </w:rPr>
    <w:tblPr>
      <w:tblLayout w:type="fixed"/>
    </w:tblPr>
  </w:style>
  <w:style w:type="character" w:styleId="40">
    <w:name w:val="已访问的超链接"/>
    <w:next w:val="40"/>
    <w:link w:val="1"/>
    <w:uiPriority w:val="0"/>
    <w:rPr>
      <w:color w:val="333333"/>
      <w:u w:val="none"/>
    </w:rPr>
    <w:tblPr>
      <w:tblLayout w:type="fixed"/>
    </w:tblPr>
  </w:style>
  <w:style w:type="character" w:styleId="41">
    <w:name w:val="强调"/>
    <w:next w:val="41"/>
    <w:link w:val="1"/>
    <w:uiPriority w:val="0"/>
    <w:qFormat w:val="1"/>
    <w:rPr>
      <w:i w:val="1"/>
    </w:rPr>
    <w:tblPr>
      <w:tblLayout w:type="fixed"/>
    </w:tblPr>
  </w:style>
  <w:style w:type="character" w:styleId="42">
    <w:name w:val="超链接"/>
    <w:next w:val="42"/>
    <w:link w:val="1"/>
    <w:uiPriority w:val="99"/>
    <w:rPr>
      <w:color w:val="333333"/>
      <w:u w:val="none"/>
    </w:rPr>
    <w:tblPr>
      <w:tblLayout w:type="fixed"/>
    </w:tblPr>
  </w:style>
  <w:style w:type="character" w:styleId="43">
    <w:name w:val="批注引用"/>
    <w:next w:val="43"/>
    <w:link w:val="1"/>
    <w:uiPriority w:val="0"/>
    <w:rPr>
      <w:sz w:val="21"/>
      <w:szCs w:val="21"/>
    </w:rPr>
    <w:tblPr>
      <w:tblLayout w:type="fixed"/>
    </w:tblPr>
  </w:style>
  <w:style w:type="character" w:styleId="44">
    <w:name w:val="Hover43"/>
    <w:next w:val="44"/>
    <w:link w:val="1"/>
    <w:uiPriority w:val="0"/>
    <w:rPr>
      <w:shd w:val="clear" w:color="auto" w:fill="FF0000"/>
    </w:rPr>
    <w:tblPr>
      <w:tblLayout w:type="fixed"/>
    </w:tblPr>
  </w:style>
  <w:style w:type="character" w:styleId="45">
    <w:name w:val="Tyhl"/>
    <w:next w:val="45"/>
    <w:link w:val="1"/>
    <w:uiPriority w:val="0"/>
    <w:rPr>
      <w:shd w:val="clear" w:color="auto" w:fill="FFFFFF"/>
    </w:rPr>
    <w:tblPr>
      <w:tblLayout w:type="fixed"/>
    </w:tblPr>
  </w:style>
  <w:style w:type="character" w:styleId="46">
    <w:name w:val="Font51"/>
    <w:next w:val="46"/>
    <w:link w:val="1"/>
    <w:uiPriority w:val="0"/>
    <w:rPr>
      <w:color w:val="000000"/>
      <w:i w:val="0"/>
      <w:rFonts w:hint="default" w:ascii="Times New Roman" w:hAnsi="Times New Roman"/>
      <w:sz w:val="24"/>
      <w:szCs w:val="24"/>
      <w:u w:val="none"/>
      <w:vertAlign w:val="subscript"/>
    </w:rPr>
    <w:tblPr>
      <w:tblLayout w:type="fixed"/>
    </w:tblPr>
  </w:style>
  <w:style w:type="character" w:styleId="47">
    <w:name w:val="Hover45"/>
    <w:next w:val="47"/>
    <w:link w:val="1"/>
    <w:uiPriority w:val="0"/>
    <w:rPr>
      <w:b w:val="1"/>
    </w:rPr>
    <w:tblPr>
      <w:tblLayout w:type="fixed"/>
    </w:tblPr>
  </w:style>
  <w:style w:type="character" w:styleId="48">
    <w:name w:val="Yjr"/>
    <w:basedOn w:val="11"/>
    <w:next w:val="48"/>
    <w:link w:val="1"/>
    <w:uiPriority w:val="0"/>
    <w:rPr>
      <w:rStyle w:val="11"/>
    </w:rPr>
    <w:tblPr>
      <w:tblLayout w:type="fixed"/>
    </w:tblPr>
  </w:style>
  <w:style w:type="character" w:styleId="49">
    <w:name w:val="Font41"/>
    <w:next w:val="49"/>
    <w:link w:val="1"/>
    <w:uiPriority w:val="0"/>
    <w:rPr>
      <w:color w:val="000000"/>
      <w:i w:val="0"/>
      <w:rFonts w:hint="eastAsia" w:ascii="方正仿宋_GBK" w:hAnsi="方正仿宋_GBK" w:eastAsia="方正仿宋_GBK"/>
      <w:sz w:val="24"/>
      <w:szCs w:val="24"/>
      <w:u w:val="none"/>
    </w:rPr>
    <w:tblPr>
      <w:tblLayout w:type="fixed"/>
    </w:tblPr>
  </w:style>
  <w:style w:type="character" w:styleId="50">
    <w:name w:val="Apple-converted-space"/>
    <w:basedOn w:val="11"/>
    <w:next w:val="50"/>
    <w:link w:val="1"/>
    <w:uiPriority w:val="0"/>
    <w:rPr>
      <w:rStyle w:val="11"/>
    </w:rPr>
    <w:tblPr>
      <w:tblLayout w:type="fixed"/>
    </w:tblPr>
  </w:style>
  <w:style w:type="character" w:styleId="51">
    <w:name w:val="Red3"/>
    <w:next w:val="51"/>
    <w:link w:val="1"/>
    <w:uiPriority w:val="0"/>
    <w:rPr>
      <w:color w:val="E1211F"/>
    </w:rPr>
    <w:tblPr>
      <w:tblLayout w:type="fixed"/>
    </w:tblPr>
  </w:style>
  <w:style w:type="character" w:styleId="52">
    <w:name w:val="Yj-time"/>
    <w:next w:val="52"/>
    <w:link w:val="1"/>
    <w:uiPriority w:val="0"/>
    <w:rPr>
      <w:color w:val="AAAAAA"/>
      <w:sz w:val="18"/>
      <w:szCs w:val="18"/>
    </w:rPr>
    <w:tblPr>
      <w:tblLayout w:type="fixed"/>
    </w:tblPr>
  </w:style>
  <w:style w:type="character" w:styleId="53">
    <w:name w:val="Font31"/>
    <w:next w:val="53"/>
    <w:link w:val="1"/>
    <w:uiPriority w:val="0"/>
    <w:rPr>
      <w:color w:val="000000"/>
      <w:i w:val="0"/>
      <w:rFonts w:hint="default" w:ascii="Times New Roman" w:hAnsi="Times New Roman"/>
      <w:sz w:val="24"/>
      <w:szCs w:val="24"/>
      <w:u w:val="none"/>
    </w:rPr>
    <w:tblPr>
      <w:tblLayout w:type="fixed"/>
    </w:tblPr>
  </w:style>
  <w:style w:type="character" w:styleId="54">
    <w:name w:val="Red5"/>
    <w:next w:val="54"/>
    <w:link w:val="1"/>
    <w:uiPriority w:val="0"/>
    <w:rPr>
      <w:color w:val="E33938"/>
      <w:u w:val="single"/>
    </w:rPr>
    <w:tblPr>
      <w:tblLayout w:type="fixed"/>
    </w:tblPr>
  </w:style>
  <w:style w:type="character" w:styleId="55">
    <w:name w:val="Cur1"/>
    <w:next w:val="55"/>
    <w:link w:val="1"/>
    <w:uiPriority w:val="0"/>
    <w:rPr>
      <w:shd w:val="clear" w:color="auto" w:fill="FF0000"/>
    </w:rPr>
    <w:tblPr>
      <w:tblLayout w:type="fixed"/>
    </w:tblPr>
  </w:style>
  <w:style w:type="character" w:styleId="56">
    <w:name w:val="Yj-time1"/>
    <w:next w:val="56"/>
    <w:link w:val="1"/>
    <w:uiPriority w:val="0"/>
    <w:rPr>
      <w:color w:val="AAAAAA"/>
      <w:sz w:val="18"/>
      <w:szCs w:val="18"/>
    </w:rPr>
    <w:tblPr>
      <w:tblLayout w:type="fixed"/>
    </w:tblPr>
  </w:style>
  <w:style w:type="character" w:styleId="57">
    <w:name w:val="Cur2"/>
    <w:next w:val="57"/>
    <w:link w:val="1"/>
    <w:uiPriority w:val="0"/>
    <w:rPr>
      <w:shd w:val="clear" w:color="auto" w:fill="FF0000"/>
    </w:rPr>
    <w:tblPr>
      <w:tblLayout w:type="fixed"/>
    </w:tblPr>
  </w:style>
  <w:style w:type="character" w:styleId="58">
    <w:name w:val="Cur"/>
    <w:next w:val="58"/>
    <w:link w:val="1"/>
    <w:uiPriority w:val="0"/>
    <w:rPr>
      <w:shd w:val="clear" w:color="auto" w:fill="FFFFFF"/>
    </w:rPr>
    <w:tblPr>
      <w:tblLayout w:type="fixed"/>
    </w:tblPr>
  </w:style>
  <w:style w:type="character" w:styleId="59">
    <w:name w:val="Cur3"/>
    <w:next w:val="59"/>
    <w:link w:val="1"/>
    <w:uiPriority w:val="0"/>
    <w:rPr>
      <w:color w:val="3354A2"/>
    </w:rPr>
    <w:tblPr>
      <w:tblLayout w:type="fixed"/>
    </w:tblPr>
  </w:style>
  <w:style w:type="character" w:styleId="60">
    <w:name w:val="Tit26"/>
    <w:next w:val="60"/>
    <w:link w:val="1"/>
    <w:uiPriority w:val="0"/>
    <w:rPr>
      <w:b w:val="1"/>
      <w:color w:val="333333"/>
      <w:sz w:val="39"/>
      <w:szCs w:val="39"/>
    </w:rPr>
    <w:tblPr>
      <w:tblLayout w:type="fixed"/>
    </w:tblPr>
  </w:style>
  <w:style w:type="character" w:styleId="61">
    <w:name w:val="Red4"/>
    <w:next w:val="61"/>
    <w:link w:val="1"/>
    <w:uiPriority w:val="0"/>
    <w:rPr>
      <w:color w:val="E1211F"/>
    </w:rPr>
    <w:tblPr>
      <w:tblLayout w:type="fixed"/>
    </w:tblPr>
  </w:style>
  <w:style w:type="character" w:styleId="62">
    <w:name w:val="Ban-dy"/>
    <w:next w:val="62"/>
    <w:link w:val="1"/>
    <w:uiPriority w:val="0"/>
    <w:rPr>
      <w:sz w:val="27"/>
      <w:szCs w:val="27"/>
    </w:rPr>
    <w:tblPr>
      <w:tblLayout w:type="fixed"/>
    </w:tblPr>
  </w:style>
  <w:style w:type="character" w:styleId="63">
    <w:name w:val="Red"/>
    <w:next w:val="63"/>
    <w:link w:val="1"/>
    <w:uiPriority w:val="0"/>
    <w:rPr>
      <w:color w:val="E1211F"/>
      <w:u w:val="single"/>
    </w:rPr>
    <w:tblPr>
      <w:tblLayout w:type="fixed"/>
    </w:tblPr>
  </w:style>
  <w:style w:type="character" w:styleId="64">
    <w:name w:val="Font101"/>
    <w:next w:val="64"/>
    <w:link w:val="1"/>
    <w:uiPriority w:val="0"/>
    <w:rPr>
      <w:b w:val="1"/>
      <w:color w:val="000000"/>
      <w:i w:val="0"/>
      <w:rFonts w:ascii="方正黑体_GBK" w:hAnsi="方正黑体_GBK" w:eastAsia="方正黑体_GBK"/>
      <w:sz w:val="24"/>
      <w:szCs w:val="24"/>
      <w:u w:val="none"/>
    </w:rPr>
    <w:tblPr>
      <w:tblLayout w:type="fixed"/>
    </w:tblPr>
  </w:style>
  <w:style w:type="character" w:styleId="65">
    <w:name w:val="Con4"/>
    <w:basedOn w:val="11"/>
    <w:next w:val="65"/>
    <w:link w:val="1"/>
    <w:uiPriority w:val="0"/>
    <w:rPr>
      <w:rStyle w:val="11"/>
    </w:rPr>
    <w:tblPr>
      <w:tblLayout w:type="fixed"/>
    </w:tblPr>
  </w:style>
  <w:style w:type="character" w:styleId="66">
    <w:name w:val="Red2"/>
    <w:next w:val="66"/>
    <w:link w:val="1"/>
    <w:uiPriority w:val="0"/>
    <w:rPr>
      <w:color w:val="E1211F"/>
    </w:rPr>
    <w:tblPr>
      <w:tblLayout w:type="fixed"/>
    </w:tblPr>
  </w:style>
  <w:style w:type="character" w:styleId="67">
    <w:name w:val="Yj-blue"/>
    <w:next w:val="67"/>
    <w:link w:val="1"/>
    <w:uiPriority w:val="0"/>
    <w:rPr>
      <w:b w:val="1"/>
      <w:color w:val="FFFFFF"/>
      <w:shd w:val="clear" w:color="auto" w:fill="1E84CB"/>
      <w:sz w:val="21"/>
      <w:szCs w:val="21"/>
    </w:rPr>
    <w:tblPr>
      <w:tblLayout w:type="fixed"/>
    </w:tblPr>
  </w:style>
  <w:style w:type="character" w:styleId="68">
    <w:name w:val="Red1"/>
    <w:next w:val="68"/>
    <w:link w:val="1"/>
    <w:uiPriority w:val="0"/>
    <w:rPr>
      <w:color w:val="E1211F"/>
    </w:rPr>
    <w:tblPr>
      <w:tblLayout w:type="fixed"/>
    </w:tblPr>
  </w:style>
  <w:style w:type="character" w:styleId="69">
    <w:name w:val="NormalCharacter"/>
    <w:next w:val="69"/>
    <w:link w:val="1"/>
    <w:uiPriority w:val="0"/>
    <w:semiHidden w:val="1"/>
    <w:qFormat w:val="1"/>
    <w:tblPr>
      <w:tblLayout w:type="fixed"/>
    </w:tblPr>
  </w:style>
  <w:style w:type="character" w:styleId="70">
    <w:name w:val="Yjl"/>
    <w:next w:val="70"/>
    <w:link w:val="1"/>
    <w:uiPriority w:val="0"/>
    <w:rPr>
      <w:color w:val="999999"/>
    </w:rPr>
    <w:tblPr>
      <w:tblLayout w:type="fixed"/>
    </w:tblPr>
  </w:style>
  <w:style w:type="character" w:styleId="71">
    <w:name w:val="Name"/>
    <w:next w:val="71"/>
    <w:link w:val="1"/>
    <w:uiPriority w:val="0"/>
    <w:rPr>
      <w:color w:val="2760B7"/>
    </w:rPr>
    <w:tblPr>
      <w:tblLayout w:type="fixed"/>
    </w:tblPr>
  </w:style>
  <w:style w:type="character" w:styleId="72">
    <w:name w:val="W100"/>
    <w:basedOn w:val="11"/>
    <w:next w:val="72"/>
    <w:link w:val="1"/>
    <w:uiPriority w:val="0"/>
    <w:rPr>
      <w:rStyle w:val="11"/>
    </w:rPr>
    <w:tblPr>
      <w:tblLayout w:type="fixed"/>
    </w:tblPr>
  </w:style>
  <w:style w:type="character" w:styleId="73">
    <w:name w:val="Hover44"/>
    <w:next w:val="73"/>
    <w:link w:val="1"/>
    <w:uiPriority w:val="0"/>
    <w:rPr>
      <w:shd w:val="clear" w:color="auto" w:fill="FF0000"/>
    </w:rPr>
    <w:tblPr>
      <w:tblLayout w:type="fixed"/>
    </w:tblPr>
  </w:style>
  <w:style w:type="character" w:styleId="74">
    <w:name w:val="Sp"/>
    <w:next w:val="74"/>
    <w:link w:val="1"/>
    <w:uiPriority w:val="0"/>
    <w:rPr>
      <w:b w:val="1"/>
      <w:color w:val="FFFFFF"/>
      <w:sz w:val="36"/>
      <w:szCs w:val="36"/>
    </w:rPr>
    <w:tblPr>
      <w:tblLayout w:type="fixed"/>
    </w:tblPr>
  </w:style>
  <w:style w:type="paragraph" w:styleId="75">
    <w:name w:val="Tit"/>
    <w:basedOn w:val="1"/>
    <w:next w:val="75"/>
    <w:link w:val="1"/>
    <w:uiPriority w:val="0"/>
    <w:pPr>
      <w:jc w:val="left"/>
      <w:spacing w:afterAutospacing="0" w:before="390" w:beforeAutospacing="0"/>
    </w:pPr>
    <w:rPr>
      <w:color w:val="333333"/>
      <w:kern w:val="0"/>
      <w:sz w:val="30"/>
      <w:szCs w:val="30"/>
    </w:rPr>
    <w:tblPr>
      <w:tblLayout w:type="fixed"/>
    </w:tblPr>
  </w:style>
  <w:style w:type="paragraph" w:styleId="76">
    <w:name w:val="Tit22"/>
    <w:basedOn w:val="1"/>
    <w:next w:val="76"/>
    <w:link w:val="1"/>
    <w:uiPriority w:val="0"/>
    <w:pPr>
      <w:jc w:val="center"/>
      <w:shd w:val="clear" w:color="auto" w:fill="1E84CB"/>
    </w:pPr>
    <w:rPr>
      <w:b w:val="1"/>
      <w:color w:val="FFFFFF"/>
      <w:kern w:val="0"/>
      <w:sz w:val="30"/>
      <w:szCs w:val="30"/>
    </w:rPr>
    <w:tblPr>
      <w:tblLayout w:type="fixed"/>
    </w:tblPr>
  </w:style>
  <w:style w:type="paragraph" w:styleId="77">
    <w:name w:val="Tit14"/>
    <w:basedOn w:val="1"/>
    <w:next w:val="77"/>
    <w:link w:val="1"/>
    <w:uiPriority w:val="0"/>
    <w:pPr>
      <w:jc w:val="left"/>
    </w:pPr>
    <w:rPr>
      <w:b w:val="1"/>
      <w:color w:val="2760B7"/>
      <w:kern w:val="0"/>
      <w:sz w:val="27"/>
      <w:szCs w:val="27"/>
    </w:rPr>
    <w:tblPr>
      <w:tblLayout w:type="fixed"/>
    </w:tblPr>
  </w:style>
  <w:style w:type="paragraph" w:styleId="78">
    <w:name w:val="图例"/>
    <w:basedOn w:val="1"/>
    <w:next w:val="78"/>
    <w:link w:val="1"/>
    <w:uiPriority w:val="0"/>
    <w:qFormat w:val="1"/>
    <w:pPr>
      <w:jc w:val="center"/>
      <w:spacing w:after="120" w:afterAutospacing="0" w:before="120" w:beforeAutospacing="0" w:line="360" w:lineRule="auto"/>
    </w:pPr>
    <w:rPr>
      <w:b w:val="1"/>
      <w:rFonts w:eastAsia="仿宋_GB2312"/>
      <w:sz w:val="24"/>
    </w:rPr>
    <w:tblPr>
      <w:tblLayout w:type="fixed"/>
    </w:tblPr>
  </w:style>
  <w:style w:type="paragraph" w:styleId="79">
    <w:name w:val="Tit12"/>
    <w:basedOn w:val="1"/>
    <w:next w:val="79"/>
    <w:link w:val="1"/>
    <w:uiPriority w:val="0"/>
    <w:pPr>
      <w:jc w:val="left"/>
      <w:pBdr>
        <w:bottom w:val="single" w:color="0D5DB0" w:sz="18" w:space="10"/>
        <w:left w:val="nil" w:color="auto" w:sz="0" w:space="0"/>
        <w:right w:val="nil" w:color="auto" w:sz="0" w:space="0"/>
        <w:top w:val="nil" w:color="auto" w:sz="0" w:space="0"/>
      </w:pBdr>
    </w:pPr>
    <w:rPr>
      <w:b w:val="1"/>
      <w:color w:val="0D5DB0"/>
      <w:kern w:val="0"/>
      <w:sz w:val="27"/>
      <w:szCs w:val="27"/>
    </w:rPr>
    <w:tblPr>
      <w:tblLayout w:type="fixed"/>
    </w:tblPr>
  </w:style>
  <w:style w:type="paragraph" w:styleId="80">
    <w:name w:val="Tit18"/>
    <w:basedOn w:val="1"/>
    <w:next w:val="80"/>
    <w:link w:val="1"/>
    <w:uiPriority w:val="0"/>
    <w:pPr>
      <w:ind w:right="810"/>
      <w:jc w:val="left"/>
    </w:pPr>
    <w:rPr>
      <w:color w:val="333333"/>
      <w:kern w:val="0"/>
      <w:sz w:val="27"/>
      <w:szCs w:val="27"/>
    </w:rPr>
    <w:tblPr>
      <w:tblLayout w:type="fixed"/>
    </w:tblPr>
  </w:style>
  <w:style w:type="paragraph" w:styleId="81">
    <w:name w:val="修订"/>
    <w:next w:val="81"/>
    <w:link w:val="1"/>
    <w:uiPriority w:val="99"/>
    <w:unhideWhenUsed w:val="1"/>
    <w:rPr>
      <w:kern w:val="2"/>
      <w:rFonts w:eastAsia="方正仿宋_GBK"/>
      <w:sz w:val="32"/>
    </w:rPr>
    <w:tblPr>
      <w:tblLayout w:type="fixed"/>
    </w:tblPr>
  </w:style>
  <w:style w:type="paragraph" w:styleId="82">
    <w:name w:val="Tit24"/>
    <w:basedOn w:val="1"/>
    <w:next w:val="82"/>
    <w:link w:val="1"/>
    <w:uiPriority w:val="0"/>
    <w:pPr>
      <w:ind w:right="840"/>
      <w:jc w:val="left"/>
      <w:spacing w:afterAutospacing="0" w:beforeAutospacing="0" w:line="330" w:lineRule="atLeast"/>
    </w:pPr>
    <w:rPr>
      <w:b w:val="1"/>
      <w:color w:val="2760B7"/>
      <w:kern w:val="0"/>
      <w:sz w:val="27"/>
      <w:szCs w:val="27"/>
    </w:rPr>
    <w:tblPr>
      <w:tblLayout w:type="fixed"/>
    </w:tblPr>
  </w:style>
  <w:style w:type="paragraph" w:styleId="83">
    <w:name w:val="Tit10"/>
    <w:basedOn w:val="1"/>
    <w:next w:val="83"/>
    <w:link w:val="1"/>
    <w:uiPriority w:val="0"/>
    <w:pPr>
      <w:ind w:right="270"/>
      <w:jc w:val="right"/>
      <w:spacing w:afterAutospacing="0" w:beforeAutospacing="0" w:line="750" w:lineRule="atLeast"/>
    </w:pPr>
    <w:rPr>
      <w:color w:val="333333"/>
      <w:kern w:val="0"/>
      <w:sz w:val="24"/>
      <w:szCs w:val="24"/>
    </w:rPr>
    <w:tblPr>
      <w:tblLayout w:type="fixed"/>
    </w:tblPr>
  </w:style>
  <w:style w:type="paragraph" w:styleId="84">
    <w:name w:val="Tit16"/>
    <w:basedOn w:val="1"/>
    <w:next w:val="84"/>
    <w:link w:val="1"/>
    <w:uiPriority w:val="0"/>
    <w:pPr>
      <w:jc w:val="left"/>
    </w:pPr>
    <w:rPr>
      <w:b w:val="1"/>
      <w:color w:val="333333"/>
      <w:kern w:val="0"/>
      <w:sz w:val="27"/>
      <w:szCs w:val="27"/>
    </w:rPr>
    <w:tblPr>
      <w:tblLayout w:type="fixed"/>
    </w:tblPr>
  </w:style>
  <w:style w:type="paragraph" w:styleId="85">
    <w:name w:val="WPSOffice手动目录 1"/>
    <w:next w:val="85"/>
    <w:link w:val="1"/>
    <w:uiPriority w:val="0"/>
    <w:tblPr>
      <w:tblLayout w:type="fixed"/>
    </w:tblPr>
  </w:style>
  <w:style w:type="paragraph" w:styleId="86">
    <w:name w:val="Tit8"/>
    <w:basedOn w:val="1"/>
    <w:next w:val="86"/>
    <w:link w:val="1"/>
    <w:uiPriority w:val="0"/>
    <w:pPr>
      <w:jc w:val="left"/>
    </w:pPr>
    <w:rPr>
      <w:kern w:val="0"/>
    </w:rPr>
    <w:tblPr>
      <w:tblLayout w:type="fixed"/>
    </w:tblPr>
  </w:style>
  <w:style w:type="paragraph" w:styleId="87">
    <w:name w:val="WPSOffice手动目录 2"/>
    <w:next w:val="87"/>
    <w:link w:val="1"/>
    <w:uiPriority w:val="0"/>
    <w:pPr>
      <w:ind w:leftChars="200"/>
    </w:pPr>
    <w:tblPr>
      <w:tblLayout w:type="fixed"/>
    </w:tblPr>
  </w:style>
  <w:style w:type="paragraph" w:styleId="88">
    <w:name w:val="Tit4"/>
    <w:basedOn w:val="1"/>
    <w:next w:val="88"/>
    <w:link w:val="1"/>
    <w:uiPriority w:val="0"/>
    <w:pPr>
      <w:ind w:right="750"/>
      <w:jc w:val="left"/>
    </w:pPr>
    <w:rPr>
      <w:color w:val="666666"/>
      <w:kern w:val="0"/>
      <w:sz w:val="30"/>
      <w:szCs w:val="30"/>
    </w:rPr>
    <w:tblPr>
      <w:tblLayout w:type="fixed"/>
    </w:tblPr>
  </w:style>
  <w:style w:type="paragraph" w:styleId="89">
    <w:name w:val="Tit6"/>
    <w:basedOn w:val="1"/>
    <w:next w:val="89"/>
    <w:link w:val="1"/>
    <w:uiPriority w:val="0"/>
    <w:pPr>
      <w:jc w:val="left"/>
    </w:pPr>
    <w:rPr>
      <w:color w:val="666666"/>
      <w:kern w:val="0"/>
      <w:sz w:val="30"/>
      <w:szCs w:val="30"/>
    </w:rPr>
    <w:tblPr>
      <w:tblLayout w:type="fixed"/>
    </w:tblPr>
  </w:style>
  <w:style w:type="paragraph" w:styleId="90">
    <w:name w:val="Tit2"/>
    <w:basedOn w:val="1"/>
    <w:next w:val="90"/>
    <w:link w:val="1"/>
    <w:uiPriority w:val="0"/>
    <w:pPr>
      <w:jc w:val="left"/>
      <w:spacing w:after="60" w:afterAutospacing="0" w:before="300" w:beforeAutospacing="0"/>
    </w:pPr>
    <w:rPr>
      <w:b w:val="1"/>
      <w:color w:val="2760B7"/>
      <w:kern w:val="0"/>
      <w:sz w:val="27"/>
      <w:szCs w:val="27"/>
    </w:rPr>
    <w:tblPr>
      <w:tblLayout w:type="fixed"/>
    </w:tblPr>
  </w:style>
  <w:style w:type="paragraph" w:styleId="91">
    <w:name w:val="Tit1"/>
    <w:basedOn w:val="1"/>
    <w:next w:val="91"/>
    <w:link w:val="1"/>
    <w:uiPriority w:val="0"/>
    <w:pPr>
      <w:jc w:val="left"/>
      <w:pBdr>
        <w:bottom w:val="nil" w:color="auto" w:sz="0" w:space="0"/>
        <w:left w:val="nil" w:color="auto" w:sz="0" w:space="0"/>
        <w:right w:val="nil" w:color="auto" w:sz="0" w:space="0"/>
        <w:top w:val="nil" w:color="auto" w:sz="0" w:space="0"/>
      </w:pBdr>
      <w:spacing w:after="300" w:afterAutospacing="0" w:beforeAutospacing="0"/>
    </w:pPr>
    <w:rPr>
      <w:color w:val="333333"/>
      <w:kern w:val="0"/>
      <w:sz w:val="45"/>
      <w:szCs w:val="45"/>
    </w:rPr>
    <w:tblPr>
      <w:tblLayout w:type="fixed"/>
    </w:tblPr>
  </w:style>
  <w:style w:type="paragraph" w:styleId="92">
    <w:name w:val="Tit20"/>
    <w:basedOn w:val="1"/>
    <w:next w:val="92"/>
    <w:link w:val="1"/>
    <w:uiPriority w:val="0"/>
    <w:pPr>
      <w:jc w:val="left"/>
    </w:pPr>
    <w:rPr>
      <w:b w:val="1"/>
      <w:color w:val="333333"/>
      <w:kern w:val="0"/>
      <w:sz w:val="27"/>
      <w:szCs w:val="27"/>
    </w:rPr>
    <w:tblPr>
      <w:tblLayout w:type="fixed"/>
    </w:tblPr>
  </w:style>
  <w:style w:type="paragraph" w:styleId="93">
    <w:name w:val="Xq_content"/>
    <w:basedOn w:val="1"/>
    <w:next w:val="93"/>
    <w:link w:val="1"/>
    <w:uiPriority w:val="0"/>
    <w:pPr>
      <w:ind w:firstLine="200" w:firstLineChars="200"/>
      <w:jc w:val="left"/>
      <w:snapToGrid w:val="0"/>
      <w:spacing w:afterAutospacing="0" w:before="50" w:beforeAutospacing="0" w:line="360" w:lineRule="auto"/>
    </w:pPr>
    <w:rPr>
      <w:rFonts w:ascii="宋体"/>
      <w:sz w:val="28"/>
    </w:rPr>
    <w:tblPr>
      <w:tblLayout w:type="fixed"/>
    </w:tblPr>
  </w:style>
  <w:style w:type="table" w:styleId="94">
    <w:name w:val="网格型11"/>
    <w:basedOn w:val="12"/>
    <w:next w:val="94"/>
    <w:link w:val="1"/>
    <w:uiPriority w:val="59"/>
    <w:qFormat w:val="1"/>
    <w:tblPr>
      <w:tblStyle w:val="9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5">
    <w:name w:val="网格型2"/>
    <w:basedOn w:val="12"/>
    <w:next w:val="95"/>
    <w:link w:val="1"/>
    <w:uiPriority w:val="59"/>
    <w:qFormat w:val="1"/>
    <w:rPr>
      <w:rFonts w:ascii="Times New Roman" w:hAnsi="Times New Roman" w:eastAsia="宋体"/>
    </w:rPr>
    <w:tblPr>
      <w:tblStyle w:val="95"/>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s>
</file>

<file path=word/_rels/document.xml.rels><?xml version="1.0" encoding="UTF-8" standalone="yes"?><Relationships xmlns="http://schemas.openxmlformats.org/package/2006/relationships"><Relationship Id="rId1" Type="http://schemas.openxmlformats.org/officeDocument/2006/relationships/theme" TargetMode="Internal" Target="theme/theme1.xml"/><Relationship Id="rId2" Type="http://schemas.openxmlformats.org/officeDocument/2006/relationships/settings" TargetMode="Internal" Target="settings.xml"/><Relationship Id="rId9" Type="http://schemas.openxmlformats.org/officeDocument/2006/relationships/image" TargetMode="Internal" Target="media/image3.jpeg"/><Relationship Id="rId8" Type="http://schemas.openxmlformats.org/officeDocument/2006/relationships/image" TargetMode="Internal" Target="media/image2.png"/><Relationship Id="rId6" Type="http://schemas.openxmlformats.org/officeDocument/2006/relationships/numbering" TargetMode="Internal" Target="numbering.xml"/><Relationship Id="rId3" Type="http://schemas.openxmlformats.org/officeDocument/2006/relationships/styles" TargetMode="Internal" Target="styles.xml"/><Relationship Id="rId4" Type="http://schemas.openxmlformats.org/officeDocument/2006/relationships/footer" TargetMode="Internal" Target="footer1.xml"/><Relationship Id="rId7" Type="http://schemas.openxmlformats.org/officeDocument/2006/relationships/image" TargetMode="Internal" Target="media/image1.jpeg"/><Relationship Id="rId5" Type="http://schemas.openxmlformats.org/officeDocument/2006/relationships/footer" TargetMode="Internal"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